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E812E" w14:textId="77777777" w:rsidR="0027143F" w:rsidRDefault="00000000">
      <w:pPr>
        <w:pStyle w:val="Header"/>
        <w:rPr>
          <w:b/>
          <w:color w:val="00B0F0"/>
        </w:rPr>
      </w:pPr>
      <w:r>
        <w:rPr>
          <w:b/>
          <w:color w:val="00B0F0"/>
        </w:rPr>
        <w:t xml:space="preserve">AOBL-A (obligātie kursi) </w:t>
      </w:r>
    </w:p>
    <w:p w14:paraId="6A3E8359" w14:textId="77777777" w:rsidR="0027143F" w:rsidRDefault="0027143F">
      <w:pPr>
        <w:pStyle w:val="Header"/>
        <w:jc w:val="center"/>
        <w:rPr>
          <w:b/>
        </w:rPr>
      </w:pPr>
    </w:p>
    <w:p w14:paraId="7B41CBAA" w14:textId="77777777" w:rsidR="0027143F" w:rsidRDefault="00000000">
      <w:pPr>
        <w:pStyle w:val="Header"/>
        <w:jc w:val="center"/>
        <w:rPr>
          <w:b/>
        </w:rPr>
      </w:pPr>
      <w:r>
        <w:rPr>
          <w:b/>
        </w:rPr>
        <w:t>DAUGAVPILS UNIVERSITĀTES</w:t>
      </w:r>
    </w:p>
    <w:p w14:paraId="262F43E7" w14:textId="77777777" w:rsidR="0027143F" w:rsidRDefault="00000000">
      <w:pPr>
        <w:jc w:val="center"/>
        <w:rPr>
          <w:b/>
          <w:lang w:val="de-DE"/>
        </w:rPr>
      </w:pPr>
      <w:r>
        <w:rPr>
          <w:b/>
        </w:rPr>
        <w:t>STUDIJU KURSA APRAKSTS</w:t>
      </w:r>
    </w:p>
    <w:p w14:paraId="7E4CB43B" w14:textId="77777777" w:rsidR="0027143F" w:rsidRDefault="0027143F"/>
    <w:tbl>
      <w:tblPr>
        <w:tblStyle w:val="TableGrid"/>
        <w:tblW w:w="9640" w:type="dxa"/>
        <w:jc w:val="center"/>
        <w:tblLook w:val="04A0" w:firstRow="1" w:lastRow="0" w:firstColumn="1" w:lastColumn="0" w:noHBand="0" w:noVBand="1"/>
      </w:tblPr>
      <w:tblGrid>
        <w:gridCol w:w="4827"/>
        <w:gridCol w:w="4813"/>
      </w:tblGrid>
      <w:tr w:rsidR="0027143F" w14:paraId="4193ED9C" w14:textId="77777777">
        <w:trPr>
          <w:jc w:val="center"/>
        </w:trPr>
        <w:tc>
          <w:tcPr>
            <w:tcW w:w="4827" w:type="dxa"/>
          </w:tcPr>
          <w:p w14:paraId="5FAB27EE" w14:textId="77777777" w:rsidR="0027143F" w:rsidRDefault="00000000">
            <w:pPr>
              <w:pStyle w:val="Nosaukumi"/>
            </w:pPr>
            <w:r>
              <w:br w:type="page"/>
            </w:r>
            <w:r>
              <w:br w:type="page"/>
            </w:r>
            <w:r>
              <w:br w:type="page"/>
            </w:r>
            <w:r>
              <w:br w:type="page"/>
              <w:t>Studiju kursa nosaukums</w:t>
            </w:r>
          </w:p>
        </w:tc>
        <w:tc>
          <w:tcPr>
            <w:tcW w:w="4813" w:type="dxa"/>
          </w:tcPr>
          <w:p w14:paraId="4427AFE6" w14:textId="77777777" w:rsidR="0027143F" w:rsidRDefault="00000000">
            <w:pPr>
              <w:jc w:val="both"/>
              <w:rPr>
                <w:rFonts w:eastAsia="Times New Roman"/>
                <w:b/>
                <w:bCs w:val="0"/>
                <w:lang w:eastAsia="lv-LV"/>
              </w:rPr>
            </w:pPr>
            <w:r>
              <w:rPr>
                <w:rFonts w:eastAsia="Times New Roman"/>
                <w:lang w:eastAsia="lv-LV"/>
              </w:rPr>
              <w:t>Vides tiesības un likumdošana</w:t>
            </w:r>
          </w:p>
        </w:tc>
      </w:tr>
      <w:tr w:rsidR="0027143F" w14:paraId="39692284" w14:textId="77777777">
        <w:trPr>
          <w:jc w:val="center"/>
        </w:trPr>
        <w:tc>
          <w:tcPr>
            <w:tcW w:w="4827" w:type="dxa"/>
          </w:tcPr>
          <w:p w14:paraId="630F5874" w14:textId="77777777" w:rsidR="0027143F" w:rsidRDefault="00000000">
            <w:pPr>
              <w:pStyle w:val="Nosaukumi"/>
            </w:pPr>
            <w:r>
              <w:t>Studiju kursa kods (DUIS)</w:t>
            </w:r>
          </w:p>
        </w:tc>
        <w:tc>
          <w:tcPr>
            <w:tcW w:w="4813" w:type="dxa"/>
            <w:vAlign w:val="center"/>
          </w:tcPr>
          <w:p w14:paraId="5EC151BA" w14:textId="77777777" w:rsidR="0027143F" w:rsidRDefault="00000000">
            <w:pPr>
              <w:rPr>
                <w:b/>
                <w:bCs w:val="0"/>
                <w:lang w:eastAsia="lv-LV"/>
              </w:rPr>
            </w:pPr>
            <w:r>
              <w:rPr>
                <w:b/>
                <w:bCs w:val="0"/>
              </w:rPr>
              <w:t>VidZ3014</w:t>
            </w:r>
          </w:p>
        </w:tc>
      </w:tr>
      <w:tr w:rsidR="0037069F" w14:paraId="3A0E13E6" w14:textId="77777777">
        <w:trPr>
          <w:jc w:val="center"/>
        </w:trPr>
        <w:tc>
          <w:tcPr>
            <w:tcW w:w="4827" w:type="dxa"/>
          </w:tcPr>
          <w:p w14:paraId="6EC6E162" w14:textId="0DD913FD" w:rsidR="0037069F" w:rsidRDefault="0037069F" w:rsidP="0037069F">
            <w:pPr>
              <w:pStyle w:val="Nosaukumi"/>
            </w:pPr>
            <w:r w:rsidRPr="008A3D54">
              <w:t>Zinātnes nozare</w:t>
            </w:r>
          </w:p>
        </w:tc>
        <w:tc>
          <w:tcPr>
            <w:tcW w:w="4813" w:type="dxa"/>
          </w:tcPr>
          <w:p w14:paraId="5EC15606" w14:textId="5BE08C1A" w:rsidR="0037069F" w:rsidRDefault="0037069F" w:rsidP="0037069F">
            <w:pPr>
              <w:snapToGrid w:val="0"/>
            </w:pPr>
            <w:r w:rsidRPr="008A3D54">
              <w:t>Zemes zinātnes, fiziskā ģeogrāfija un vides zinātnes</w:t>
            </w:r>
          </w:p>
        </w:tc>
      </w:tr>
      <w:tr w:rsidR="0037069F" w14:paraId="0447B91C" w14:textId="77777777">
        <w:trPr>
          <w:jc w:val="center"/>
        </w:trPr>
        <w:tc>
          <w:tcPr>
            <w:tcW w:w="4827" w:type="dxa"/>
          </w:tcPr>
          <w:p w14:paraId="115DE28B" w14:textId="4E0B3058" w:rsidR="0037069F" w:rsidRDefault="0037069F" w:rsidP="0037069F">
            <w:pPr>
              <w:pStyle w:val="Nosaukumi"/>
            </w:pPr>
            <w:r w:rsidRPr="008A3D54">
              <w:t xml:space="preserve">Zinātnes </w:t>
            </w:r>
            <w:proofErr w:type="spellStart"/>
            <w:r w:rsidRPr="008A3D54">
              <w:t>apakšnozare</w:t>
            </w:r>
            <w:proofErr w:type="spellEnd"/>
          </w:p>
        </w:tc>
        <w:tc>
          <w:tcPr>
            <w:tcW w:w="4813" w:type="dxa"/>
          </w:tcPr>
          <w:p w14:paraId="59C8B800" w14:textId="287ADF88" w:rsidR="0037069F" w:rsidRDefault="0037069F" w:rsidP="0037069F">
            <w:pPr>
              <w:snapToGrid w:val="0"/>
            </w:pPr>
            <w:r w:rsidRPr="008A3D54">
              <w:t>Vides zinātne</w:t>
            </w:r>
          </w:p>
        </w:tc>
      </w:tr>
      <w:tr w:rsidR="0027143F" w14:paraId="56A31077" w14:textId="77777777">
        <w:trPr>
          <w:jc w:val="center"/>
        </w:trPr>
        <w:tc>
          <w:tcPr>
            <w:tcW w:w="4827" w:type="dxa"/>
          </w:tcPr>
          <w:p w14:paraId="4E952A3B" w14:textId="77777777" w:rsidR="0027143F" w:rsidRDefault="00000000">
            <w:pPr>
              <w:pStyle w:val="Nosaukumi"/>
            </w:pPr>
            <w:r>
              <w:t>Kursa līmenis</w:t>
            </w:r>
          </w:p>
        </w:tc>
        <w:tc>
          <w:tcPr>
            <w:tcW w:w="4813" w:type="dxa"/>
            <w:shd w:val="clear" w:color="auto" w:fill="auto"/>
          </w:tcPr>
          <w:p w14:paraId="4B820914" w14:textId="253CB363" w:rsidR="0027143F" w:rsidRDefault="0037069F">
            <w:pPr>
              <w:rPr>
                <w:b/>
                <w:bCs w:val="0"/>
                <w:lang w:eastAsia="lv-LV"/>
              </w:rPr>
            </w:pPr>
            <w:r>
              <w:rPr>
                <w:b/>
                <w:bCs w:val="0"/>
              </w:rPr>
              <w:t>3</w:t>
            </w:r>
          </w:p>
        </w:tc>
      </w:tr>
      <w:tr w:rsidR="0027143F" w14:paraId="32E1E53A" w14:textId="77777777">
        <w:trPr>
          <w:jc w:val="center"/>
        </w:trPr>
        <w:tc>
          <w:tcPr>
            <w:tcW w:w="4827" w:type="dxa"/>
          </w:tcPr>
          <w:p w14:paraId="48BB9B04" w14:textId="77777777" w:rsidR="0027143F" w:rsidRDefault="00000000">
            <w:pPr>
              <w:pStyle w:val="Nosaukumi"/>
              <w:rPr>
                <w:u w:val="single"/>
              </w:rPr>
            </w:pPr>
            <w:r>
              <w:t>Kredītpunkti</w:t>
            </w:r>
          </w:p>
        </w:tc>
        <w:tc>
          <w:tcPr>
            <w:tcW w:w="4813" w:type="dxa"/>
            <w:vAlign w:val="center"/>
          </w:tcPr>
          <w:p w14:paraId="6036D6F9" w14:textId="77777777" w:rsidR="0027143F" w:rsidRDefault="00000000">
            <w:pPr>
              <w:rPr>
                <w:lang w:eastAsia="lv-LV"/>
              </w:rPr>
            </w:pPr>
            <w:r>
              <w:rPr>
                <w:lang w:eastAsia="lv-LV"/>
              </w:rPr>
              <w:t>2</w:t>
            </w:r>
          </w:p>
        </w:tc>
      </w:tr>
      <w:tr w:rsidR="0027143F" w14:paraId="517D4CC5" w14:textId="77777777">
        <w:trPr>
          <w:jc w:val="center"/>
        </w:trPr>
        <w:tc>
          <w:tcPr>
            <w:tcW w:w="4827" w:type="dxa"/>
          </w:tcPr>
          <w:p w14:paraId="1F23A296" w14:textId="77777777" w:rsidR="0027143F" w:rsidRDefault="00000000">
            <w:pPr>
              <w:pStyle w:val="Nosaukumi"/>
              <w:rPr>
                <w:u w:val="single"/>
              </w:rPr>
            </w:pPr>
            <w:r>
              <w:t>ECTS kredītpunkti</w:t>
            </w:r>
          </w:p>
        </w:tc>
        <w:tc>
          <w:tcPr>
            <w:tcW w:w="4813" w:type="dxa"/>
          </w:tcPr>
          <w:p w14:paraId="35211708" w14:textId="77777777" w:rsidR="0027143F" w:rsidRDefault="00000000">
            <w:r>
              <w:t>3</w:t>
            </w:r>
          </w:p>
        </w:tc>
      </w:tr>
      <w:tr w:rsidR="0027143F" w14:paraId="39C9B156" w14:textId="77777777">
        <w:trPr>
          <w:jc w:val="center"/>
        </w:trPr>
        <w:tc>
          <w:tcPr>
            <w:tcW w:w="4827" w:type="dxa"/>
          </w:tcPr>
          <w:p w14:paraId="4EF70A9E" w14:textId="77777777" w:rsidR="0027143F" w:rsidRDefault="00000000">
            <w:pPr>
              <w:pStyle w:val="Nosaukumi"/>
            </w:pPr>
            <w:r>
              <w:t>Kopējais kontaktstundu skaits</w:t>
            </w:r>
          </w:p>
        </w:tc>
        <w:tc>
          <w:tcPr>
            <w:tcW w:w="4813" w:type="dxa"/>
            <w:vAlign w:val="center"/>
          </w:tcPr>
          <w:p w14:paraId="765F1C32" w14:textId="77777777" w:rsidR="0027143F" w:rsidRDefault="00000000">
            <w:pPr>
              <w:rPr>
                <w:lang w:eastAsia="lv-LV"/>
              </w:rPr>
            </w:pPr>
            <w:r>
              <w:rPr>
                <w:lang w:eastAsia="lv-LV"/>
              </w:rPr>
              <w:t>32</w:t>
            </w:r>
          </w:p>
        </w:tc>
      </w:tr>
      <w:tr w:rsidR="0027143F" w14:paraId="0A6A224C" w14:textId="77777777">
        <w:trPr>
          <w:jc w:val="center"/>
        </w:trPr>
        <w:tc>
          <w:tcPr>
            <w:tcW w:w="4827" w:type="dxa"/>
          </w:tcPr>
          <w:p w14:paraId="09A4FDCC" w14:textId="77777777" w:rsidR="0027143F" w:rsidRDefault="00000000">
            <w:pPr>
              <w:pStyle w:val="Nosaukumi2"/>
            </w:pPr>
            <w:r>
              <w:t>Lekciju stundu skaits</w:t>
            </w:r>
          </w:p>
        </w:tc>
        <w:tc>
          <w:tcPr>
            <w:tcW w:w="4813" w:type="dxa"/>
          </w:tcPr>
          <w:p w14:paraId="19A92E83" w14:textId="77777777" w:rsidR="0027143F" w:rsidRDefault="00000000">
            <w:r>
              <w:t>16</w:t>
            </w:r>
          </w:p>
        </w:tc>
      </w:tr>
      <w:tr w:rsidR="0027143F" w14:paraId="4C50D9CA" w14:textId="77777777">
        <w:trPr>
          <w:jc w:val="center"/>
        </w:trPr>
        <w:tc>
          <w:tcPr>
            <w:tcW w:w="4827" w:type="dxa"/>
          </w:tcPr>
          <w:p w14:paraId="24B274C2" w14:textId="77777777" w:rsidR="0027143F" w:rsidRDefault="00000000">
            <w:pPr>
              <w:pStyle w:val="Nosaukumi2"/>
            </w:pPr>
            <w:r>
              <w:t>Semināru stundu skaits</w:t>
            </w:r>
          </w:p>
        </w:tc>
        <w:tc>
          <w:tcPr>
            <w:tcW w:w="4813" w:type="dxa"/>
          </w:tcPr>
          <w:p w14:paraId="6D360453" w14:textId="77777777" w:rsidR="0027143F" w:rsidRDefault="00000000">
            <w:r>
              <w:t>16</w:t>
            </w:r>
          </w:p>
        </w:tc>
      </w:tr>
      <w:tr w:rsidR="0027143F" w14:paraId="0CAE7092" w14:textId="77777777">
        <w:trPr>
          <w:jc w:val="center"/>
        </w:trPr>
        <w:tc>
          <w:tcPr>
            <w:tcW w:w="4827" w:type="dxa"/>
          </w:tcPr>
          <w:p w14:paraId="54BFFB1D" w14:textId="77777777" w:rsidR="0027143F" w:rsidRDefault="00000000">
            <w:pPr>
              <w:pStyle w:val="Nosaukumi2"/>
            </w:pPr>
            <w:r>
              <w:t>Praktisko darbu stundu skaits</w:t>
            </w:r>
          </w:p>
        </w:tc>
        <w:tc>
          <w:tcPr>
            <w:tcW w:w="4813" w:type="dxa"/>
          </w:tcPr>
          <w:p w14:paraId="6411747B" w14:textId="77777777" w:rsidR="0027143F" w:rsidRDefault="00000000">
            <w:r>
              <w:t>-</w:t>
            </w:r>
          </w:p>
        </w:tc>
      </w:tr>
      <w:tr w:rsidR="0027143F" w14:paraId="46E8F52B" w14:textId="77777777">
        <w:trPr>
          <w:jc w:val="center"/>
        </w:trPr>
        <w:tc>
          <w:tcPr>
            <w:tcW w:w="4827" w:type="dxa"/>
          </w:tcPr>
          <w:p w14:paraId="1B215B5F" w14:textId="77777777" w:rsidR="0027143F" w:rsidRDefault="00000000">
            <w:pPr>
              <w:pStyle w:val="Nosaukumi2"/>
            </w:pPr>
            <w:r>
              <w:t>Laboratorijas darbu stundu skaits</w:t>
            </w:r>
          </w:p>
        </w:tc>
        <w:tc>
          <w:tcPr>
            <w:tcW w:w="4813" w:type="dxa"/>
          </w:tcPr>
          <w:p w14:paraId="69BB062E" w14:textId="77777777" w:rsidR="0027143F" w:rsidRDefault="00000000">
            <w:r>
              <w:t>-</w:t>
            </w:r>
          </w:p>
        </w:tc>
      </w:tr>
      <w:tr w:rsidR="0027143F" w14:paraId="410709AC" w14:textId="77777777">
        <w:trPr>
          <w:jc w:val="center"/>
        </w:trPr>
        <w:tc>
          <w:tcPr>
            <w:tcW w:w="4827" w:type="dxa"/>
          </w:tcPr>
          <w:p w14:paraId="72124005" w14:textId="77777777" w:rsidR="0027143F" w:rsidRDefault="00000000">
            <w:pPr>
              <w:pStyle w:val="Nosaukumi2"/>
              <w:rPr>
                <w:lang w:eastAsia="lv-LV"/>
              </w:rPr>
            </w:pPr>
            <w:r>
              <w:rPr>
                <w:lang w:eastAsia="lv-LV"/>
              </w:rPr>
              <w:t>Studējošā patstāvīgā darba stundu skaits</w:t>
            </w:r>
          </w:p>
        </w:tc>
        <w:tc>
          <w:tcPr>
            <w:tcW w:w="4813" w:type="dxa"/>
            <w:vAlign w:val="center"/>
          </w:tcPr>
          <w:p w14:paraId="412EF202" w14:textId="77777777" w:rsidR="0027143F" w:rsidRDefault="00000000">
            <w:pPr>
              <w:rPr>
                <w:lang w:eastAsia="lv-LV"/>
              </w:rPr>
            </w:pPr>
            <w:r>
              <w:rPr>
                <w:lang w:eastAsia="lv-LV"/>
              </w:rPr>
              <w:t>48</w:t>
            </w:r>
          </w:p>
        </w:tc>
      </w:tr>
      <w:tr w:rsidR="0027143F" w14:paraId="2B7C8DC8" w14:textId="77777777">
        <w:trPr>
          <w:jc w:val="center"/>
        </w:trPr>
        <w:tc>
          <w:tcPr>
            <w:tcW w:w="9640" w:type="dxa"/>
            <w:gridSpan w:val="2"/>
          </w:tcPr>
          <w:p w14:paraId="460AE83F" w14:textId="77777777" w:rsidR="0027143F" w:rsidRDefault="0027143F">
            <w:pPr>
              <w:rPr>
                <w:lang w:eastAsia="lv-LV"/>
              </w:rPr>
            </w:pPr>
          </w:p>
        </w:tc>
      </w:tr>
      <w:tr w:rsidR="0027143F" w14:paraId="1F95C622" w14:textId="77777777">
        <w:trPr>
          <w:jc w:val="center"/>
        </w:trPr>
        <w:tc>
          <w:tcPr>
            <w:tcW w:w="9640" w:type="dxa"/>
            <w:gridSpan w:val="2"/>
          </w:tcPr>
          <w:p w14:paraId="645803C7" w14:textId="77777777" w:rsidR="0027143F" w:rsidRDefault="00000000">
            <w:pPr>
              <w:pStyle w:val="Nosaukumi"/>
            </w:pPr>
            <w:r>
              <w:t>Kursa autors(-i)</w:t>
            </w:r>
          </w:p>
        </w:tc>
      </w:tr>
      <w:tr w:rsidR="0027143F" w14:paraId="657F235F" w14:textId="77777777">
        <w:trPr>
          <w:jc w:val="center"/>
        </w:trPr>
        <w:tc>
          <w:tcPr>
            <w:tcW w:w="9640" w:type="dxa"/>
            <w:gridSpan w:val="2"/>
          </w:tcPr>
          <w:p w14:paraId="4FDEBBDA" w14:textId="77777777" w:rsidR="0027143F" w:rsidRDefault="00000000">
            <w:pPr>
              <w:rPr>
                <w:bCs w:val="0"/>
              </w:rPr>
            </w:pPr>
            <w:r>
              <w:t xml:space="preserve">Dr. Biol., </w:t>
            </w:r>
            <w:proofErr w:type="spellStart"/>
            <w:r>
              <w:t>pētn</w:t>
            </w:r>
            <w:proofErr w:type="spellEnd"/>
            <w:r>
              <w:t>. Jana Paidere</w:t>
            </w:r>
            <w:r>
              <w:rPr>
                <w:bCs w:val="0"/>
              </w:rPr>
              <w:t>;</w:t>
            </w:r>
          </w:p>
          <w:p w14:paraId="2ED96832" w14:textId="77777777" w:rsidR="0027143F" w:rsidRDefault="00000000">
            <w:r>
              <w:rPr>
                <w:bCs w:val="0"/>
              </w:rPr>
              <w:t>Dr. Geol., asoc. profesors Juris Soms</w:t>
            </w:r>
          </w:p>
        </w:tc>
      </w:tr>
      <w:tr w:rsidR="0027143F" w14:paraId="296507BE" w14:textId="77777777">
        <w:trPr>
          <w:jc w:val="center"/>
        </w:trPr>
        <w:tc>
          <w:tcPr>
            <w:tcW w:w="9640" w:type="dxa"/>
            <w:gridSpan w:val="2"/>
          </w:tcPr>
          <w:p w14:paraId="597CF237" w14:textId="77777777" w:rsidR="0027143F" w:rsidRDefault="00000000">
            <w:pPr>
              <w:pStyle w:val="Nosaukumi"/>
            </w:pPr>
            <w:r>
              <w:t>Kursa docētājs(-i)</w:t>
            </w:r>
          </w:p>
        </w:tc>
      </w:tr>
      <w:tr w:rsidR="0027143F" w14:paraId="6E68BF4B" w14:textId="77777777">
        <w:trPr>
          <w:jc w:val="center"/>
        </w:trPr>
        <w:tc>
          <w:tcPr>
            <w:tcW w:w="9640" w:type="dxa"/>
            <w:gridSpan w:val="2"/>
          </w:tcPr>
          <w:p w14:paraId="23E6BCBF" w14:textId="77777777" w:rsidR="0027143F" w:rsidRDefault="00000000">
            <w:pPr>
              <w:rPr>
                <w:rFonts w:eastAsia="Times New Roman"/>
                <w:bCs w:val="0"/>
                <w:iCs w:val="0"/>
                <w:lang w:eastAsia="lv-LV"/>
              </w:rPr>
            </w:pPr>
            <w:r>
              <w:t xml:space="preserve">Dr. Biol., </w:t>
            </w:r>
            <w:proofErr w:type="spellStart"/>
            <w:r>
              <w:t>pētn</w:t>
            </w:r>
            <w:proofErr w:type="spellEnd"/>
            <w:r>
              <w:t>. Jana Paidere</w:t>
            </w:r>
            <w:r>
              <w:rPr>
                <w:rFonts w:eastAsia="Times New Roman"/>
                <w:bCs w:val="0"/>
                <w:iCs w:val="0"/>
                <w:lang w:eastAsia="lv-LV"/>
              </w:rPr>
              <w:t>;</w:t>
            </w:r>
          </w:p>
          <w:p w14:paraId="65E3B21E" w14:textId="77777777" w:rsidR="0027143F" w:rsidRDefault="00000000">
            <w:proofErr w:type="spellStart"/>
            <w:r>
              <w:t>M.Sc</w:t>
            </w:r>
            <w:proofErr w:type="spellEnd"/>
            <w:r>
              <w:t xml:space="preserve">. vides plānošanā, lekt. Dainis </w:t>
            </w:r>
            <w:proofErr w:type="spellStart"/>
            <w:r>
              <w:t>Lazdāns</w:t>
            </w:r>
            <w:proofErr w:type="spellEnd"/>
            <w:r>
              <w:t>;</w:t>
            </w:r>
          </w:p>
          <w:p w14:paraId="6B3514B8" w14:textId="77777777" w:rsidR="0027143F" w:rsidRDefault="00000000">
            <w:r>
              <w:rPr>
                <w:bCs w:val="0"/>
              </w:rPr>
              <w:t>Dr. Geol., asoc. profesors Juris Soms</w:t>
            </w:r>
          </w:p>
        </w:tc>
      </w:tr>
      <w:tr w:rsidR="0027143F" w14:paraId="0DB1E1C6" w14:textId="77777777">
        <w:trPr>
          <w:jc w:val="center"/>
        </w:trPr>
        <w:tc>
          <w:tcPr>
            <w:tcW w:w="9640" w:type="dxa"/>
            <w:gridSpan w:val="2"/>
          </w:tcPr>
          <w:p w14:paraId="437F822D" w14:textId="77777777" w:rsidR="0027143F" w:rsidRDefault="00000000">
            <w:pPr>
              <w:pStyle w:val="Nosaukumi"/>
            </w:pPr>
            <w:r>
              <w:t>Priekšzināšanas</w:t>
            </w:r>
          </w:p>
        </w:tc>
      </w:tr>
      <w:tr w:rsidR="0027143F" w14:paraId="39A60DD2" w14:textId="77777777">
        <w:trPr>
          <w:jc w:val="center"/>
        </w:trPr>
        <w:tc>
          <w:tcPr>
            <w:tcW w:w="9640" w:type="dxa"/>
            <w:gridSpan w:val="2"/>
          </w:tcPr>
          <w:p w14:paraId="7C2F3235" w14:textId="3E3A4AE7" w:rsidR="0027143F" w:rsidRDefault="00000000">
            <w:pPr>
              <w:snapToGrid w:val="0"/>
            </w:pPr>
            <w:r>
              <w:t>VidZ1049 Vides zinātne</w:t>
            </w:r>
            <w:r w:rsidR="00CD2138">
              <w:t>;</w:t>
            </w:r>
            <w:r>
              <w:t xml:space="preserve"> VidZ2025 Dabas resursu pārvaldība</w:t>
            </w:r>
            <w:r w:rsidR="00CD2138">
              <w:t>;</w:t>
            </w:r>
            <w:r>
              <w:t xml:space="preserve"> VidZ3029 Vides politika un pārvalde</w:t>
            </w:r>
          </w:p>
        </w:tc>
      </w:tr>
      <w:tr w:rsidR="0027143F" w14:paraId="1AC41482" w14:textId="77777777">
        <w:trPr>
          <w:jc w:val="center"/>
        </w:trPr>
        <w:tc>
          <w:tcPr>
            <w:tcW w:w="9640" w:type="dxa"/>
            <w:gridSpan w:val="2"/>
          </w:tcPr>
          <w:p w14:paraId="326D00CA" w14:textId="77777777" w:rsidR="0027143F" w:rsidRDefault="00000000">
            <w:pPr>
              <w:pStyle w:val="Nosaukumi"/>
            </w:pPr>
            <w:r>
              <w:t xml:space="preserve">Studiju kursa anotācija </w:t>
            </w:r>
          </w:p>
        </w:tc>
      </w:tr>
      <w:tr w:rsidR="0027143F" w14:paraId="7B3D1904" w14:textId="77777777">
        <w:trPr>
          <w:trHeight w:val="1119"/>
          <w:jc w:val="center"/>
        </w:trPr>
        <w:tc>
          <w:tcPr>
            <w:tcW w:w="9640" w:type="dxa"/>
            <w:gridSpan w:val="2"/>
          </w:tcPr>
          <w:p w14:paraId="6F5391DF" w14:textId="77777777" w:rsidR="0027143F" w:rsidRDefault="00000000">
            <w:pPr>
              <w:snapToGrid w:val="0"/>
              <w:jc w:val="both"/>
              <w:rPr>
                <w:color w:val="0070C0"/>
              </w:rPr>
            </w:pPr>
            <w:r>
              <w:rPr>
                <w:color w:val="0070C0"/>
              </w:rPr>
              <w:t xml:space="preserve">KURSA MĒRĶIS: </w:t>
            </w:r>
          </w:p>
          <w:p w14:paraId="740FFF43" w14:textId="77777777" w:rsidR="0027143F" w:rsidRDefault="00000000">
            <w:pPr>
              <w:jc w:val="both"/>
              <w:rPr>
                <w:iCs w:val="0"/>
                <w:lang w:eastAsia="ko-KR"/>
              </w:rPr>
            </w:pPr>
            <w:r>
              <w:rPr>
                <w:iCs w:val="0"/>
                <w:lang w:eastAsia="ko-KR"/>
              </w:rPr>
              <w:t>Sniegt zināšanas par cilvēka un dabas tiesiskajām attiecībām, to nozīmi vides aizsardzībā, vides un dabas resursu aizsardzības, izmantošanas un pārvaldes tiesisko regulējumu.</w:t>
            </w:r>
          </w:p>
          <w:p w14:paraId="24C092DF" w14:textId="77777777" w:rsidR="0027143F" w:rsidRDefault="0027143F">
            <w:pPr>
              <w:jc w:val="both"/>
              <w:rPr>
                <w:iCs w:val="0"/>
                <w:lang w:eastAsia="ko-KR"/>
              </w:rPr>
            </w:pPr>
          </w:p>
          <w:p w14:paraId="0ACF2D49" w14:textId="77777777" w:rsidR="0027143F" w:rsidRDefault="00000000">
            <w:pPr>
              <w:suppressAutoHyphens/>
              <w:autoSpaceDE/>
              <w:autoSpaceDN/>
              <w:adjustRightInd/>
              <w:jc w:val="both"/>
              <w:rPr>
                <w:color w:val="0070C0"/>
              </w:rPr>
            </w:pPr>
            <w:r>
              <w:rPr>
                <w:color w:val="0070C0"/>
              </w:rPr>
              <w:t xml:space="preserve">KURSA UZDEVUMI: </w:t>
            </w:r>
          </w:p>
          <w:p w14:paraId="49090CCE" w14:textId="77777777" w:rsidR="0027143F" w:rsidRDefault="00000000">
            <w:pPr>
              <w:suppressAutoHyphens/>
              <w:autoSpaceDE/>
              <w:autoSpaceDN/>
              <w:adjustRightInd/>
              <w:snapToGrid w:val="0"/>
              <w:jc w:val="both"/>
              <w:rPr>
                <w:color w:val="0070C0"/>
              </w:rPr>
            </w:pPr>
            <w:r>
              <w:rPr>
                <w:iCs w:val="0"/>
                <w:lang w:eastAsia="ko-KR"/>
              </w:rPr>
              <w:t xml:space="preserve">Veicināt studējošo teorētiskās zināšanas par vides tiesībām, to </w:t>
            </w:r>
            <w:proofErr w:type="spellStart"/>
            <w:r>
              <w:rPr>
                <w:iCs w:val="0"/>
                <w:lang w:eastAsia="ko-KR"/>
              </w:rPr>
              <w:t>pielietojamību</w:t>
            </w:r>
            <w:proofErr w:type="spellEnd"/>
            <w:r>
              <w:rPr>
                <w:iCs w:val="0"/>
                <w:lang w:eastAsia="ko-KR"/>
              </w:rPr>
              <w:t>; sekmēt studējošo prasmes orientēties un izprast vides un dabas resursu aizsardzības, izmantošanas un pārvaldes (plānošanas, apsaimniekošanas, kvalitātes u.c.) normatīvos aktus vides jautājumu risināšanā.</w:t>
            </w:r>
          </w:p>
        </w:tc>
      </w:tr>
      <w:tr w:rsidR="0027143F" w14:paraId="7B147F5C" w14:textId="77777777">
        <w:trPr>
          <w:jc w:val="center"/>
        </w:trPr>
        <w:tc>
          <w:tcPr>
            <w:tcW w:w="9640" w:type="dxa"/>
            <w:gridSpan w:val="2"/>
          </w:tcPr>
          <w:p w14:paraId="71F5BB04" w14:textId="77777777" w:rsidR="0027143F" w:rsidRDefault="00000000">
            <w:pPr>
              <w:pStyle w:val="Nosaukumi"/>
              <w:jc w:val="both"/>
            </w:pPr>
            <w:r>
              <w:t>Studiju kursa kalendārais plāns</w:t>
            </w:r>
          </w:p>
        </w:tc>
      </w:tr>
      <w:tr w:rsidR="0027143F" w14:paraId="388ABF64" w14:textId="77777777">
        <w:trPr>
          <w:jc w:val="center"/>
        </w:trPr>
        <w:tc>
          <w:tcPr>
            <w:tcW w:w="9640" w:type="dxa"/>
            <w:gridSpan w:val="2"/>
          </w:tcPr>
          <w:p w14:paraId="5C66F6D0" w14:textId="77777777" w:rsidR="0027143F" w:rsidRDefault="00000000">
            <w:pPr>
              <w:ind w:left="34"/>
              <w:jc w:val="both"/>
              <w:rPr>
                <w:i/>
                <w:color w:val="0070C0"/>
                <w:lang w:eastAsia="ko-KR"/>
              </w:rPr>
            </w:pPr>
            <w:r>
              <w:rPr>
                <w:i/>
                <w:color w:val="0070C0"/>
                <w:lang w:eastAsia="ko-KR"/>
              </w:rPr>
              <w:t>L -  lekcija</w:t>
            </w:r>
          </w:p>
          <w:p w14:paraId="75177648" w14:textId="77777777" w:rsidR="0027143F" w:rsidRDefault="00000000">
            <w:pPr>
              <w:ind w:left="34"/>
              <w:jc w:val="both"/>
              <w:rPr>
                <w:i/>
                <w:color w:val="0070C0"/>
                <w:lang w:eastAsia="ko-KR"/>
              </w:rPr>
            </w:pPr>
            <w:r>
              <w:rPr>
                <w:i/>
                <w:color w:val="0070C0"/>
                <w:lang w:eastAsia="ko-KR"/>
              </w:rPr>
              <w:t>S - seminārs</w:t>
            </w:r>
          </w:p>
          <w:p w14:paraId="66545773" w14:textId="77777777" w:rsidR="0027143F" w:rsidRDefault="00000000">
            <w:pPr>
              <w:spacing w:after="160" w:line="259" w:lineRule="auto"/>
              <w:ind w:left="34"/>
              <w:jc w:val="both"/>
              <w:rPr>
                <w:i/>
                <w:color w:val="0070C0"/>
                <w:lang w:eastAsia="ko-KR"/>
              </w:rPr>
            </w:pPr>
            <w:proofErr w:type="spellStart"/>
            <w:r>
              <w:rPr>
                <w:i/>
                <w:color w:val="0070C0"/>
                <w:lang w:eastAsia="ko-KR"/>
              </w:rPr>
              <w:t>Pd</w:t>
            </w:r>
            <w:proofErr w:type="spellEnd"/>
            <w:r>
              <w:rPr>
                <w:i/>
                <w:color w:val="0070C0"/>
                <w:lang w:eastAsia="ko-KR"/>
              </w:rPr>
              <w:t xml:space="preserve"> – patstāvīgais darbs</w:t>
            </w:r>
          </w:p>
          <w:p w14:paraId="4CABBB8E" w14:textId="77777777" w:rsidR="0027143F" w:rsidRDefault="00000000">
            <w:pPr>
              <w:numPr>
                <w:ilvl w:val="0"/>
                <w:numId w:val="1"/>
              </w:numPr>
              <w:tabs>
                <w:tab w:val="clear" w:pos="425"/>
              </w:tabs>
              <w:spacing w:line="260" w:lineRule="auto"/>
              <w:jc w:val="both"/>
              <w:rPr>
                <w:iCs w:val="0"/>
                <w:lang w:eastAsia="ko-KR"/>
              </w:rPr>
            </w:pPr>
            <w:r>
              <w:rPr>
                <w:iCs w:val="0"/>
                <w:lang w:eastAsia="ko-KR"/>
              </w:rPr>
              <w:t xml:space="preserve">Vides tiesību jēdziens, avoti un pamatprincipi, konstitucionālās tiesības uz labvēlīgu vidi. Ekoloģiskās </w:t>
            </w:r>
            <w:proofErr w:type="spellStart"/>
            <w:r>
              <w:rPr>
                <w:iCs w:val="0"/>
                <w:lang w:eastAsia="ko-KR"/>
              </w:rPr>
              <w:t>tiesībattiecības</w:t>
            </w:r>
            <w:proofErr w:type="spellEnd"/>
            <w:r>
              <w:rPr>
                <w:iCs w:val="0"/>
                <w:lang w:eastAsia="ko-KR"/>
              </w:rPr>
              <w:t>, vides tiesību jomas. Tiesību attīstība. (</w:t>
            </w:r>
            <w:r>
              <w:rPr>
                <w:iCs w:val="0"/>
                <w:color w:val="0070C0"/>
                <w:lang w:eastAsia="ko-KR"/>
              </w:rPr>
              <w:t>L4, S2, Pd8</w:t>
            </w:r>
            <w:r>
              <w:rPr>
                <w:iCs w:val="0"/>
                <w:lang w:eastAsia="ko-KR"/>
              </w:rPr>
              <w:t>)</w:t>
            </w:r>
          </w:p>
          <w:p w14:paraId="73471C30" w14:textId="77777777" w:rsidR="0027143F" w:rsidRDefault="00000000">
            <w:pPr>
              <w:numPr>
                <w:ilvl w:val="0"/>
                <w:numId w:val="1"/>
              </w:numPr>
              <w:tabs>
                <w:tab w:val="clear" w:pos="425"/>
              </w:tabs>
              <w:spacing w:line="260" w:lineRule="auto"/>
              <w:jc w:val="both"/>
              <w:rPr>
                <w:iCs w:val="0"/>
                <w:lang w:eastAsia="ko-KR"/>
              </w:rPr>
            </w:pPr>
            <w:r>
              <w:rPr>
                <w:iCs w:val="0"/>
                <w:lang w:eastAsia="ko-KR"/>
              </w:rPr>
              <w:t>Kaitējums videi un atbildība par videi nodarīto kaitējumu, vides kontrole. (</w:t>
            </w:r>
            <w:r>
              <w:rPr>
                <w:iCs w:val="0"/>
                <w:color w:val="0070C0"/>
                <w:lang w:eastAsia="ko-KR"/>
              </w:rPr>
              <w:t>S2, Pd4</w:t>
            </w:r>
            <w:r>
              <w:rPr>
                <w:iCs w:val="0"/>
                <w:lang w:eastAsia="ko-KR"/>
              </w:rPr>
              <w:t>)</w:t>
            </w:r>
          </w:p>
          <w:p w14:paraId="0A1142F8" w14:textId="77777777" w:rsidR="0027143F" w:rsidRDefault="00000000">
            <w:pPr>
              <w:numPr>
                <w:ilvl w:val="0"/>
                <w:numId w:val="1"/>
              </w:numPr>
              <w:tabs>
                <w:tab w:val="clear" w:pos="425"/>
              </w:tabs>
              <w:spacing w:line="260" w:lineRule="auto"/>
              <w:jc w:val="both"/>
              <w:rPr>
                <w:iCs w:val="0"/>
                <w:lang w:eastAsia="ko-KR"/>
              </w:rPr>
            </w:pPr>
            <w:r>
              <w:rPr>
                <w:iCs w:val="0"/>
                <w:lang w:eastAsia="ko-KR"/>
              </w:rPr>
              <w:t>Vides aizsardzības tiesiskais regulējums attīstības un teritorijas plānošanā, aizsargjoslu regulējums. (</w:t>
            </w:r>
            <w:r>
              <w:rPr>
                <w:iCs w:val="0"/>
                <w:color w:val="0070C0"/>
                <w:lang w:eastAsia="ko-KR"/>
              </w:rPr>
              <w:t>L2, S2, Pd6</w:t>
            </w:r>
            <w:r>
              <w:rPr>
                <w:iCs w:val="0"/>
                <w:lang w:eastAsia="ko-KR"/>
              </w:rPr>
              <w:t>)</w:t>
            </w:r>
          </w:p>
          <w:p w14:paraId="5342DC5D" w14:textId="77777777" w:rsidR="0027143F" w:rsidRDefault="00000000">
            <w:pPr>
              <w:numPr>
                <w:ilvl w:val="0"/>
                <w:numId w:val="1"/>
              </w:numPr>
              <w:tabs>
                <w:tab w:val="clear" w:pos="425"/>
              </w:tabs>
              <w:spacing w:line="260" w:lineRule="auto"/>
              <w:jc w:val="both"/>
              <w:rPr>
                <w:iCs w:val="0"/>
                <w:lang w:eastAsia="ko-KR"/>
              </w:rPr>
            </w:pPr>
            <w:r>
              <w:rPr>
                <w:iCs w:val="0"/>
                <w:lang w:eastAsia="ko-KR"/>
              </w:rPr>
              <w:t>Vides aizsardzības tiesiskais regulējums vides kvalitātes aizsardzībā, piesārņojuma kontrolē. (</w:t>
            </w:r>
            <w:r>
              <w:rPr>
                <w:iCs w:val="0"/>
                <w:color w:val="0070C0"/>
                <w:lang w:eastAsia="ko-KR"/>
              </w:rPr>
              <w:t>L2, S1, Pd4</w:t>
            </w:r>
            <w:r>
              <w:rPr>
                <w:iCs w:val="0"/>
                <w:lang w:eastAsia="ko-KR"/>
              </w:rPr>
              <w:t>)</w:t>
            </w:r>
          </w:p>
          <w:p w14:paraId="470CC56F" w14:textId="77777777" w:rsidR="0027143F" w:rsidRDefault="00000000">
            <w:pPr>
              <w:numPr>
                <w:ilvl w:val="0"/>
                <w:numId w:val="1"/>
              </w:numPr>
              <w:tabs>
                <w:tab w:val="clear" w:pos="425"/>
              </w:tabs>
              <w:spacing w:line="260" w:lineRule="auto"/>
              <w:jc w:val="both"/>
              <w:rPr>
                <w:iCs w:val="0"/>
                <w:lang w:eastAsia="ko-KR"/>
              </w:rPr>
            </w:pPr>
            <w:r>
              <w:rPr>
                <w:iCs w:val="0"/>
                <w:lang w:eastAsia="ko-KR"/>
              </w:rPr>
              <w:t>Vides aizsardzības tiesiskais regulējums ūdens kvalitātes un resursu aizsardzībā un apsaimniekošanā. (</w:t>
            </w:r>
            <w:r>
              <w:rPr>
                <w:iCs w:val="0"/>
                <w:color w:val="0070C0"/>
                <w:lang w:eastAsia="ko-KR"/>
              </w:rPr>
              <w:t>L2, S2, Pd6</w:t>
            </w:r>
            <w:r>
              <w:rPr>
                <w:iCs w:val="0"/>
                <w:lang w:eastAsia="ko-KR"/>
              </w:rPr>
              <w:t>)</w:t>
            </w:r>
          </w:p>
          <w:p w14:paraId="4FFF1182" w14:textId="77777777" w:rsidR="0027143F" w:rsidRDefault="00000000">
            <w:pPr>
              <w:numPr>
                <w:ilvl w:val="0"/>
                <w:numId w:val="1"/>
              </w:numPr>
              <w:tabs>
                <w:tab w:val="clear" w:pos="425"/>
              </w:tabs>
              <w:spacing w:line="260" w:lineRule="auto"/>
              <w:jc w:val="both"/>
              <w:rPr>
                <w:iCs w:val="0"/>
                <w:lang w:eastAsia="ko-KR"/>
              </w:rPr>
            </w:pPr>
            <w:r>
              <w:rPr>
                <w:iCs w:val="0"/>
                <w:lang w:eastAsia="ko-KR"/>
              </w:rPr>
              <w:lastRenderedPageBreak/>
              <w:t>Vides aizsardzības tiesiskais regulējums atkritumu apsaimniekošanā. (</w:t>
            </w:r>
            <w:r>
              <w:rPr>
                <w:iCs w:val="0"/>
                <w:color w:val="0070C0"/>
                <w:lang w:eastAsia="ko-KR"/>
              </w:rPr>
              <w:t>L2, S1, Pd4</w:t>
            </w:r>
            <w:r>
              <w:rPr>
                <w:iCs w:val="0"/>
                <w:lang w:eastAsia="ko-KR"/>
              </w:rPr>
              <w:t>)</w:t>
            </w:r>
          </w:p>
          <w:p w14:paraId="074F8E6F" w14:textId="77777777" w:rsidR="0027143F" w:rsidRDefault="00000000">
            <w:pPr>
              <w:numPr>
                <w:ilvl w:val="0"/>
                <w:numId w:val="1"/>
              </w:numPr>
              <w:tabs>
                <w:tab w:val="clear" w:pos="425"/>
              </w:tabs>
              <w:spacing w:line="260" w:lineRule="auto"/>
              <w:jc w:val="both"/>
              <w:rPr>
                <w:iCs w:val="0"/>
                <w:lang w:eastAsia="ko-KR"/>
              </w:rPr>
            </w:pPr>
            <w:r>
              <w:rPr>
                <w:iCs w:val="0"/>
                <w:lang w:eastAsia="ko-KR"/>
              </w:rPr>
              <w:t>Dabas resursu aizsardzības un izmantošanas tiesiskais regulējums. (</w:t>
            </w:r>
            <w:r>
              <w:rPr>
                <w:iCs w:val="0"/>
                <w:color w:val="0070C0"/>
                <w:lang w:eastAsia="ko-KR"/>
              </w:rPr>
              <w:t>L2, S2, Pd6</w:t>
            </w:r>
            <w:r>
              <w:rPr>
                <w:iCs w:val="0"/>
                <w:lang w:eastAsia="ko-KR"/>
              </w:rPr>
              <w:t>)</w:t>
            </w:r>
          </w:p>
          <w:p w14:paraId="1217E283" w14:textId="77777777" w:rsidR="0027143F" w:rsidRDefault="00000000">
            <w:pPr>
              <w:numPr>
                <w:ilvl w:val="0"/>
                <w:numId w:val="1"/>
              </w:numPr>
              <w:tabs>
                <w:tab w:val="clear" w:pos="425"/>
              </w:tabs>
              <w:spacing w:line="260" w:lineRule="auto"/>
              <w:jc w:val="both"/>
              <w:rPr>
                <w:iCs w:val="0"/>
                <w:color w:val="0070C0"/>
              </w:rPr>
            </w:pPr>
            <w:r>
              <w:rPr>
                <w:iCs w:val="0"/>
                <w:lang w:eastAsia="ko-KR"/>
              </w:rPr>
              <w:t>Dabas daudzveidības saglabāšanas tiesiskais regulējums. (</w:t>
            </w:r>
            <w:r>
              <w:rPr>
                <w:iCs w:val="0"/>
                <w:color w:val="0070C0"/>
                <w:lang w:eastAsia="ko-KR"/>
              </w:rPr>
              <w:t>L2, S2, Pd6</w:t>
            </w:r>
            <w:r>
              <w:rPr>
                <w:iCs w:val="0"/>
                <w:lang w:eastAsia="ko-KR"/>
              </w:rPr>
              <w:t>)</w:t>
            </w:r>
          </w:p>
          <w:p w14:paraId="3959792E" w14:textId="77777777" w:rsidR="0027143F" w:rsidRDefault="00000000">
            <w:pPr>
              <w:numPr>
                <w:ilvl w:val="0"/>
                <w:numId w:val="1"/>
              </w:numPr>
              <w:tabs>
                <w:tab w:val="clear" w:pos="425"/>
              </w:tabs>
              <w:spacing w:line="260" w:lineRule="auto"/>
              <w:jc w:val="both"/>
              <w:rPr>
                <w:iCs w:val="0"/>
                <w:color w:val="0070C0"/>
              </w:rPr>
            </w:pPr>
            <w:r>
              <w:rPr>
                <w:iCs w:val="0"/>
                <w:lang w:eastAsia="ko-KR"/>
              </w:rPr>
              <w:t>Vides un dabas aizsardzības tiesiski ekonomiskais regulējums. Brīvprātīgie vides pārvaldības pasākumi vides aizsardzībā. (</w:t>
            </w:r>
            <w:r>
              <w:rPr>
                <w:iCs w:val="0"/>
                <w:color w:val="0070C0"/>
                <w:lang w:eastAsia="ko-KR"/>
              </w:rPr>
              <w:t>S2, Pd4</w:t>
            </w:r>
            <w:r>
              <w:rPr>
                <w:iCs w:val="0"/>
                <w:lang w:eastAsia="ko-KR"/>
              </w:rPr>
              <w:t>)</w:t>
            </w:r>
          </w:p>
        </w:tc>
      </w:tr>
      <w:tr w:rsidR="0027143F" w14:paraId="67F2FA4E" w14:textId="77777777">
        <w:trPr>
          <w:jc w:val="center"/>
        </w:trPr>
        <w:tc>
          <w:tcPr>
            <w:tcW w:w="9640" w:type="dxa"/>
            <w:gridSpan w:val="2"/>
          </w:tcPr>
          <w:p w14:paraId="3DDD2576" w14:textId="77777777" w:rsidR="0027143F" w:rsidRDefault="00000000">
            <w:pPr>
              <w:pStyle w:val="Nosaukumi"/>
            </w:pPr>
            <w:r>
              <w:lastRenderedPageBreak/>
              <w:t>Studiju rezultāti</w:t>
            </w:r>
          </w:p>
        </w:tc>
      </w:tr>
      <w:tr w:rsidR="0027143F" w14:paraId="732CC92A" w14:textId="77777777">
        <w:trPr>
          <w:jc w:val="center"/>
        </w:trPr>
        <w:tc>
          <w:tcPr>
            <w:tcW w:w="9640" w:type="dxa"/>
            <w:gridSpan w:val="2"/>
          </w:tcPr>
          <w:p w14:paraId="6F796563" w14:textId="77777777" w:rsidR="0027143F" w:rsidRDefault="00000000">
            <w:pPr>
              <w:pStyle w:val="ListParagraph"/>
              <w:ind w:left="20"/>
              <w:contextualSpacing w:val="0"/>
              <w:rPr>
                <w:color w:val="0070C0"/>
              </w:rPr>
            </w:pPr>
            <w:r>
              <w:rPr>
                <w:color w:val="0070C0"/>
              </w:rPr>
              <w:t>ZINĀŠANAS:</w:t>
            </w:r>
          </w:p>
          <w:p w14:paraId="1F338C1D" w14:textId="77777777" w:rsidR="0027143F" w:rsidRDefault="00000000">
            <w:pPr>
              <w:pStyle w:val="ListParagraph"/>
              <w:numPr>
                <w:ilvl w:val="0"/>
                <w:numId w:val="2"/>
              </w:numPr>
              <w:contextualSpacing w:val="0"/>
              <w:jc w:val="both"/>
              <w:rPr>
                <w:color w:val="auto"/>
              </w:rPr>
            </w:pPr>
            <w:r>
              <w:rPr>
                <w:color w:val="auto"/>
              </w:rPr>
              <w:t>iegūst zināšanas par vides tiesību avotiem, pamatprincipiem un vides tiesību jomu regulējumu;</w:t>
            </w:r>
          </w:p>
          <w:p w14:paraId="179305D6" w14:textId="77777777" w:rsidR="0027143F" w:rsidRDefault="00000000">
            <w:pPr>
              <w:pStyle w:val="ListParagraph"/>
              <w:numPr>
                <w:ilvl w:val="0"/>
                <w:numId w:val="2"/>
              </w:numPr>
              <w:contextualSpacing w:val="0"/>
              <w:jc w:val="both"/>
              <w:rPr>
                <w:color w:val="auto"/>
              </w:rPr>
            </w:pPr>
            <w:r>
              <w:rPr>
                <w:color w:val="auto"/>
              </w:rPr>
              <w:t>iegūst zināšanas un analizē vides aizsardzības tiesisko regulējumu teritorijas attīstībā un plānošanā;</w:t>
            </w:r>
          </w:p>
          <w:p w14:paraId="7E539949" w14:textId="77777777" w:rsidR="0027143F" w:rsidRDefault="00000000">
            <w:pPr>
              <w:pStyle w:val="ListParagraph"/>
              <w:numPr>
                <w:ilvl w:val="0"/>
                <w:numId w:val="2"/>
              </w:numPr>
              <w:contextualSpacing w:val="0"/>
              <w:jc w:val="both"/>
              <w:rPr>
                <w:color w:val="auto"/>
              </w:rPr>
            </w:pPr>
            <w:r>
              <w:rPr>
                <w:color w:val="auto"/>
              </w:rPr>
              <w:t>iegūst zināšanas un analizē vides aizsardzības tiesisko regulējumu vides kvalitātes aizsardzībā;</w:t>
            </w:r>
          </w:p>
          <w:p w14:paraId="682C8EB6" w14:textId="77777777" w:rsidR="0027143F" w:rsidRDefault="00000000">
            <w:pPr>
              <w:pStyle w:val="ListParagraph"/>
              <w:numPr>
                <w:ilvl w:val="0"/>
                <w:numId w:val="2"/>
              </w:numPr>
              <w:contextualSpacing w:val="0"/>
              <w:jc w:val="both"/>
              <w:rPr>
                <w:color w:val="auto"/>
              </w:rPr>
            </w:pPr>
            <w:r>
              <w:rPr>
                <w:color w:val="auto"/>
              </w:rPr>
              <w:t>iegūst zināšanas un analizē vides aizsardzības tiesisko regulējumu vides un dabas apsaimniekošanā/pārvaldībā;</w:t>
            </w:r>
          </w:p>
          <w:p w14:paraId="106BCC70" w14:textId="77777777" w:rsidR="0027143F" w:rsidRDefault="00000000">
            <w:pPr>
              <w:pStyle w:val="ListParagraph"/>
              <w:numPr>
                <w:ilvl w:val="0"/>
                <w:numId w:val="2"/>
              </w:numPr>
              <w:contextualSpacing w:val="0"/>
              <w:jc w:val="both"/>
              <w:rPr>
                <w:color w:val="auto"/>
              </w:rPr>
            </w:pPr>
            <w:r>
              <w:rPr>
                <w:color w:val="auto"/>
              </w:rPr>
              <w:t>iegūst zināšanas un analizē vides aizsardzības tiesisko regulējumu dabas resursu izmantošanā un aizsardzībā;</w:t>
            </w:r>
          </w:p>
          <w:p w14:paraId="128EA2E2" w14:textId="77777777" w:rsidR="0027143F" w:rsidRDefault="00000000">
            <w:pPr>
              <w:pStyle w:val="ListParagraph"/>
              <w:numPr>
                <w:ilvl w:val="0"/>
                <w:numId w:val="2"/>
              </w:numPr>
              <w:contextualSpacing w:val="0"/>
              <w:jc w:val="both"/>
              <w:rPr>
                <w:color w:val="auto"/>
              </w:rPr>
            </w:pPr>
            <w:r>
              <w:rPr>
                <w:color w:val="auto"/>
              </w:rPr>
              <w:t>iegūst zināšanas un analizē dabas resursa nodokļa un brīvprātīgo vides pasākumu tiesiskā regulējuma nozīmi vides aizsardzībā;</w:t>
            </w:r>
          </w:p>
          <w:p w14:paraId="050B6271" w14:textId="77777777" w:rsidR="0027143F" w:rsidRDefault="0027143F">
            <w:pPr>
              <w:pStyle w:val="ListParagraph"/>
              <w:ind w:left="380"/>
              <w:contextualSpacing w:val="0"/>
              <w:rPr>
                <w:color w:val="auto"/>
              </w:rPr>
            </w:pPr>
          </w:p>
          <w:p w14:paraId="20CC2E38" w14:textId="77777777" w:rsidR="0027143F" w:rsidRDefault="00000000">
            <w:pPr>
              <w:ind w:left="20"/>
            </w:pPr>
            <w:r>
              <w:rPr>
                <w:color w:val="0070C0"/>
              </w:rPr>
              <w:t>PRASMES:</w:t>
            </w:r>
          </w:p>
          <w:p w14:paraId="5415D16A" w14:textId="77777777" w:rsidR="0027143F" w:rsidRDefault="00000000">
            <w:pPr>
              <w:pStyle w:val="ListParagraph"/>
              <w:numPr>
                <w:ilvl w:val="0"/>
                <w:numId w:val="2"/>
              </w:numPr>
              <w:contextualSpacing w:val="0"/>
              <w:rPr>
                <w:color w:val="auto"/>
              </w:rPr>
            </w:pPr>
            <w:r>
              <w:rPr>
                <w:color w:val="auto"/>
              </w:rPr>
              <w:t>apgūst prasmes orientēties vides tiesību normatīvajos aktos, tos piemērot konkrētās situācijās un interpretēt;</w:t>
            </w:r>
          </w:p>
          <w:p w14:paraId="640FBCC0" w14:textId="77777777" w:rsidR="0027143F" w:rsidRDefault="0027143F">
            <w:pPr>
              <w:pStyle w:val="ListParagraph"/>
              <w:ind w:left="380"/>
              <w:contextualSpacing w:val="0"/>
              <w:rPr>
                <w:color w:val="auto"/>
              </w:rPr>
            </w:pPr>
          </w:p>
          <w:p w14:paraId="4AC90B82" w14:textId="77777777" w:rsidR="0027143F" w:rsidRDefault="00000000">
            <w:pPr>
              <w:ind w:left="20"/>
            </w:pPr>
            <w:r>
              <w:rPr>
                <w:color w:val="0070C0"/>
              </w:rPr>
              <w:t>KOMPETENCE:</w:t>
            </w:r>
          </w:p>
          <w:p w14:paraId="1DCB5A70" w14:textId="77777777" w:rsidR="0027143F" w:rsidRDefault="00000000">
            <w:pPr>
              <w:pStyle w:val="ListParagraph"/>
              <w:numPr>
                <w:ilvl w:val="0"/>
                <w:numId w:val="2"/>
              </w:numPr>
              <w:contextualSpacing w:val="0"/>
              <w:jc w:val="both"/>
              <w:rPr>
                <w:color w:val="auto"/>
              </w:rPr>
            </w:pPr>
            <w:r>
              <w:rPr>
                <w:color w:val="auto"/>
              </w:rPr>
              <w:t xml:space="preserve">spēj patstāvīgi apkopot un pielietot iegūtās zināšanas un prasmes vides un dabas resursu aizsardzības un izmantošanas </w:t>
            </w:r>
            <w:proofErr w:type="spellStart"/>
            <w:r>
              <w:rPr>
                <w:color w:val="auto"/>
              </w:rPr>
              <w:t>problēmjautājumos</w:t>
            </w:r>
            <w:proofErr w:type="spellEnd"/>
            <w:r>
              <w:rPr>
                <w:color w:val="auto"/>
              </w:rPr>
              <w:t>;</w:t>
            </w:r>
          </w:p>
          <w:p w14:paraId="1D5936DB" w14:textId="77777777" w:rsidR="0027143F" w:rsidRDefault="00000000">
            <w:pPr>
              <w:pStyle w:val="ListParagraph"/>
              <w:numPr>
                <w:ilvl w:val="0"/>
                <w:numId w:val="2"/>
              </w:numPr>
              <w:contextualSpacing w:val="0"/>
              <w:jc w:val="both"/>
              <w:rPr>
                <w:color w:val="auto"/>
              </w:rPr>
            </w:pPr>
            <w:r>
              <w:rPr>
                <w:color w:val="auto"/>
              </w:rPr>
              <w:t>spēj integrēt vides tiesību jomas vides un dabas aizsardzības problēmjautājumu risināšanā.</w:t>
            </w:r>
          </w:p>
          <w:p w14:paraId="029A43EF" w14:textId="77777777" w:rsidR="0027143F" w:rsidRDefault="0027143F">
            <w:pPr>
              <w:rPr>
                <w:color w:val="0070C0"/>
              </w:rPr>
            </w:pPr>
          </w:p>
        </w:tc>
      </w:tr>
      <w:tr w:rsidR="0027143F" w14:paraId="42D792DE" w14:textId="77777777">
        <w:trPr>
          <w:jc w:val="center"/>
        </w:trPr>
        <w:tc>
          <w:tcPr>
            <w:tcW w:w="9640" w:type="dxa"/>
            <w:gridSpan w:val="2"/>
          </w:tcPr>
          <w:p w14:paraId="182E49F2" w14:textId="77777777" w:rsidR="0027143F" w:rsidRDefault="00000000">
            <w:pPr>
              <w:pStyle w:val="Nosaukumi"/>
            </w:pPr>
            <w:r>
              <w:t>Studējošo patstāvīgo darbu organizācijas un uzdevumu raksturojums</w:t>
            </w:r>
          </w:p>
        </w:tc>
      </w:tr>
      <w:tr w:rsidR="0027143F" w14:paraId="116AC663" w14:textId="77777777">
        <w:trPr>
          <w:jc w:val="center"/>
        </w:trPr>
        <w:tc>
          <w:tcPr>
            <w:tcW w:w="9640" w:type="dxa"/>
            <w:gridSpan w:val="2"/>
          </w:tcPr>
          <w:p w14:paraId="632A3333" w14:textId="77777777" w:rsidR="0027143F" w:rsidRDefault="00000000">
            <w:pPr>
              <w:spacing w:after="160" w:line="259" w:lineRule="auto"/>
              <w:jc w:val="both"/>
              <w:rPr>
                <w:iCs w:val="0"/>
                <w:lang w:eastAsia="ko-KR"/>
              </w:rPr>
            </w:pPr>
            <w:r>
              <w:rPr>
                <w:iCs w:val="0"/>
                <w:lang w:eastAsia="ko-KR"/>
              </w:rPr>
              <w:t>Patstāvīgi apgūt un analizēt atbilstošo literatūru, normatīvus, periodiskos izdevumus, lietas pieejamajās kompetento institūciju mājaslapās (Augstākās tiesas mājas lapa: Judikatūras nolēmumi, pieejama https://www.at.gov.lv/lv/tiesu-prakse/judikaturas-nolemumu-arhivs; Satversmes tiesas mājas lapa: tiesas nolēmumi, pieejama http://www.satv.tiesa.gov.lv/cases; ES Tiesas nolēmumi, pieejama: eur-lex.europa.eu/</w:t>
            </w:r>
            <w:proofErr w:type="spellStart"/>
            <w:r>
              <w:rPr>
                <w:iCs w:val="0"/>
                <w:lang w:eastAsia="ko-KR"/>
              </w:rPr>
              <w:t>collection</w:t>
            </w:r>
            <w:proofErr w:type="spellEnd"/>
            <w:r>
              <w:rPr>
                <w:iCs w:val="0"/>
                <w:lang w:eastAsia="ko-KR"/>
              </w:rPr>
              <w:t>/</w:t>
            </w:r>
            <w:proofErr w:type="spellStart"/>
            <w:r>
              <w:rPr>
                <w:iCs w:val="0"/>
                <w:lang w:eastAsia="ko-KR"/>
              </w:rPr>
              <w:t>eu-law</w:t>
            </w:r>
            <w:proofErr w:type="spellEnd"/>
            <w:r>
              <w:rPr>
                <w:iCs w:val="0"/>
                <w:lang w:eastAsia="ko-KR"/>
              </w:rPr>
              <w:t>/eu-case-law.html; Daugavpils Universitātes Bibliotēkas brīvpieejas resursos, pieejams https://du.lv/par-mums/struktura/biblioteka/brivpieejas-interneta-resursi/brivpieejas-e-resursi/ un DU bibliotēkā</w:t>
            </w:r>
          </w:p>
          <w:p w14:paraId="64FB2296" w14:textId="77777777" w:rsidR="0027143F" w:rsidRDefault="00000000">
            <w:pPr>
              <w:spacing w:after="160" w:line="259" w:lineRule="auto"/>
              <w:jc w:val="both"/>
            </w:pPr>
            <w:r>
              <w:rPr>
                <w:iCs w:val="0"/>
                <w:lang w:eastAsia="ko-KR"/>
              </w:rPr>
              <w:t>Gatavoties noslēguma pārbaudījumam (patstāvīgi izstrādāts rakstisks izpētes darbs un sniegta tā prezentācija noslēguma pārbaudījumā)</w:t>
            </w:r>
          </w:p>
        </w:tc>
      </w:tr>
      <w:tr w:rsidR="0027143F" w14:paraId="4601F584" w14:textId="77777777">
        <w:trPr>
          <w:jc w:val="center"/>
        </w:trPr>
        <w:tc>
          <w:tcPr>
            <w:tcW w:w="9640" w:type="dxa"/>
            <w:gridSpan w:val="2"/>
          </w:tcPr>
          <w:p w14:paraId="48497B09" w14:textId="77777777" w:rsidR="0027143F" w:rsidRDefault="00000000">
            <w:pPr>
              <w:pStyle w:val="Nosaukumi"/>
            </w:pPr>
            <w:r>
              <w:t>Prasības kredītpunktu iegūšanai</w:t>
            </w:r>
          </w:p>
        </w:tc>
      </w:tr>
      <w:tr w:rsidR="0027143F" w14:paraId="6F928D8A" w14:textId="77777777">
        <w:trPr>
          <w:jc w:val="center"/>
        </w:trPr>
        <w:tc>
          <w:tcPr>
            <w:tcW w:w="9640" w:type="dxa"/>
            <w:gridSpan w:val="2"/>
          </w:tcPr>
          <w:p w14:paraId="54349C59" w14:textId="77777777" w:rsidR="0027143F" w:rsidRDefault="00000000">
            <w:pPr>
              <w:rPr>
                <w:color w:val="0070C0"/>
              </w:rPr>
            </w:pPr>
            <w:r>
              <w:rPr>
                <w:color w:val="0070C0"/>
              </w:rPr>
              <w:t>STUDIJU REZULTĀTU VĒRTĒŠANAS KRITĒRIJI</w:t>
            </w:r>
          </w:p>
          <w:p w14:paraId="015EE28B" w14:textId="77777777" w:rsidR="0027143F" w:rsidRDefault="0027143F">
            <w:pPr>
              <w:rPr>
                <w:color w:val="0070C0"/>
              </w:rPr>
            </w:pPr>
          </w:p>
          <w:p w14:paraId="3025AAAA" w14:textId="77777777" w:rsidR="0027143F" w:rsidRDefault="00000000">
            <w:pPr>
              <w:jc w:val="both"/>
              <w:rPr>
                <w:rFonts w:eastAsia="Times New Roman"/>
                <w:color w:val="0070C0"/>
              </w:rPr>
            </w:pPr>
            <w: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color w:val="0070C0"/>
              </w:rPr>
              <w:t xml:space="preserve"> </w:t>
            </w:r>
          </w:p>
          <w:p w14:paraId="30111021" w14:textId="77777777" w:rsidR="0027143F" w:rsidRDefault="0027143F">
            <w:pPr>
              <w:rPr>
                <w:color w:val="0070C0"/>
              </w:rPr>
            </w:pPr>
          </w:p>
          <w:p w14:paraId="19A49533" w14:textId="77777777" w:rsidR="0027143F" w:rsidRDefault="00000000">
            <w:pPr>
              <w:jc w:val="both"/>
            </w:pPr>
            <w:proofErr w:type="spellStart"/>
            <w:r>
              <w:t>Starppārbaudījums</w:t>
            </w:r>
            <w:proofErr w:type="spellEnd"/>
            <w:r>
              <w:t xml:space="preserve"> (70%): darbs semināra nodarbībās ar patstāvīgi sagatavotām tēmām. </w:t>
            </w:r>
          </w:p>
          <w:p w14:paraId="59FC8122" w14:textId="77777777" w:rsidR="0027143F" w:rsidRDefault="0027143F"/>
          <w:p w14:paraId="46F2CF01" w14:textId="77777777" w:rsidR="0027143F" w:rsidRDefault="00000000">
            <w:pPr>
              <w:jc w:val="both"/>
            </w:pPr>
            <w:r>
              <w:t>Noslēguma pārbaudījums (30%): eksāmens (patstāvīgi izstrādāts rakstisks izpētes darbs un sniegta tā prezentācija, atrisinot vides aizsardzības problēmjautājumu).</w:t>
            </w:r>
          </w:p>
          <w:p w14:paraId="6BFC2CD5" w14:textId="77777777" w:rsidR="0027143F" w:rsidRDefault="00000000">
            <w:r>
              <w:lastRenderedPageBreak/>
              <w:t xml:space="preserve">Noslēguma pārbaudījumu studenti drīkst kārtot tikai tad, ja ir izpildīts </w:t>
            </w:r>
            <w:proofErr w:type="spellStart"/>
            <w:r>
              <w:t>starppārbaudījums</w:t>
            </w:r>
            <w:proofErr w:type="spellEnd"/>
            <w:r>
              <w:t>.</w:t>
            </w:r>
          </w:p>
          <w:p w14:paraId="4450CE8E" w14:textId="77777777" w:rsidR="0027143F" w:rsidRDefault="0027143F">
            <w:pPr>
              <w:rPr>
                <w:color w:val="0070C0"/>
              </w:rPr>
            </w:pPr>
          </w:p>
          <w:p w14:paraId="6B10FC11" w14:textId="77777777" w:rsidR="0027143F" w:rsidRDefault="00000000">
            <w:pPr>
              <w:rPr>
                <w:color w:val="0070C0"/>
              </w:rPr>
            </w:pPr>
            <w:r>
              <w:rPr>
                <w:color w:val="0070C0"/>
              </w:rPr>
              <w:t>STUDIJU REZULTĀTU VĒRTĒŠANA</w:t>
            </w:r>
          </w:p>
          <w:tbl>
            <w:tblPr>
              <w:tblW w:w="6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40"/>
              <w:gridCol w:w="458"/>
              <w:gridCol w:w="458"/>
              <w:gridCol w:w="458"/>
              <w:gridCol w:w="458"/>
              <w:gridCol w:w="424"/>
              <w:gridCol w:w="424"/>
              <w:gridCol w:w="424"/>
              <w:gridCol w:w="424"/>
              <w:gridCol w:w="398"/>
            </w:tblGrid>
            <w:tr w:rsidR="0027143F" w14:paraId="53CF5290" w14:textId="77777777">
              <w:trPr>
                <w:jc w:val="center"/>
              </w:trPr>
              <w:tc>
                <w:tcPr>
                  <w:tcW w:w="2940" w:type="dxa"/>
                  <w:vMerge w:val="restart"/>
                  <w:tcMar>
                    <w:top w:w="0" w:type="dxa"/>
                    <w:left w:w="108" w:type="dxa"/>
                    <w:bottom w:w="0" w:type="dxa"/>
                    <w:right w:w="108" w:type="dxa"/>
                  </w:tcMar>
                  <w:vAlign w:val="center"/>
                </w:tcPr>
                <w:p w14:paraId="05A31A41" w14:textId="77777777" w:rsidR="0027143F" w:rsidRDefault="00000000">
                  <w:pPr>
                    <w:jc w:val="center"/>
                  </w:pPr>
                  <w:r>
                    <w:t>Pārbaudījumu veidi</w:t>
                  </w:r>
                </w:p>
              </w:tc>
              <w:tc>
                <w:tcPr>
                  <w:tcW w:w="3528" w:type="dxa"/>
                  <w:gridSpan w:val="8"/>
                  <w:tcMar>
                    <w:top w:w="0" w:type="dxa"/>
                    <w:left w:w="108" w:type="dxa"/>
                    <w:bottom w:w="0" w:type="dxa"/>
                    <w:right w:w="108" w:type="dxa"/>
                  </w:tcMar>
                  <w:vAlign w:val="center"/>
                </w:tcPr>
                <w:p w14:paraId="5D32EFAD" w14:textId="77777777" w:rsidR="0027143F" w:rsidRDefault="00000000">
                  <w:pPr>
                    <w:jc w:val="center"/>
                  </w:pPr>
                  <w:r>
                    <w:t>Studiju rezultāti</w:t>
                  </w:r>
                </w:p>
              </w:tc>
              <w:tc>
                <w:tcPr>
                  <w:tcW w:w="398" w:type="dxa"/>
                  <w:tcMar>
                    <w:top w:w="0" w:type="dxa"/>
                    <w:left w:w="108" w:type="dxa"/>
                    <w:bottom w:w="0" w:type="dxa"/>
                    <w:right w:w="108" w:type="dxa"/>
                  </w:tcMar>
                  <w:vAlign w:val="center"/>
                </w:tcPr>
                <w:p w14:paraId="0621A54E" w14:textId="77777777" w:rsidR="0027143F" w:rsidRDefault="0027143F">
                  <w:pPr>
                    <w:jc w:val="center"/>
                  </w:pPr>
                </w:p>
              </w:tc>
            </w:tr>
            <w:tr w:rsidR="0027143F" w14:paraId="01197DE6" w14:textId="77777777">
              <w:trPr>
                <w:jc w:val="center"/>
              </w:trPr>
              <w:tc>
                <w:tcPr>
                  <w:tcW w:w="2940" w:type="dxa"/>
                  <w:vMerge/>
                  <w:vAlign w:val="center"/>
                </w:tcPr>
                <w:p w14:paraId="539F451D" w14:textId="77777777" w:rsidR="0027143F" w:rsidRDefault="0027143F">
                  <w:pPr>
                    <w:jc w:val="center"/>
                  </w:pPr>
                </w:p>
              </w:tc>
              <w:tc>
                <w:tcPr>
                  <w:tcW w:w="458" w:type="dxa"/>
                  <w:tcMar>
                    <w:top w:w="0" w:type="dxa"/>
                    <w:left w:w="108" w:type="dxa"/>
                    <w:bottom w:w="0" w:type="dxa"/>
                    <w:right w:w="108" w:type="dxa"/>
                  </w:tcMar>
                  <w:vAlign w:val="center"/>
                </w:tcPr>
                <w:p w14:paraId="202B4B78" w14:textId="77777777" w:rsidR="0027143F" w:rsidRDefault="00000000">
                  <w:pPr>
                    <w:jc w:val="center"/>
                  </w:pPr>
                  <w:r>
                    <w:t>1.</w:t>
                  </w:r>
                </w:p>
              </w:tc>
              <w:tc>
                <w:tcPr>
                  <w:tcW w:w="458" w:type="dxa"/>
                  <w:tcMar>
                    <w:top w:w="0" w:type="dxa"/>
                    <w:left w:w="108" w:type="dxa"/>
                    <w:bottom w:w="0" w:type="dxa"/>
                    <w:right w:w="108" w:type="dxa"/>
                  </w:tcMar>
                  <w:vAlign w:val="center"/>
                </w:tcPr>
                <w:p w14:paraId="37FAFD95" w14:textId="77777777" w:rsidR="0027143F" w:rsidRDefault="00000000">
                  <w:pPr>
                    <w:jc w:val="center"/>
                  </w:pPr>
                  <w:r>
                    <w:t>2.</w:t>
                  </w:r>
                </w:p>
              </w:tc>
              <w:tc>
                <w:tcPr>
                  <w:tcW w:w="458" w:type="dxa"/>
                  <w:tcMar>
                    <w:top w:w="0" w:type="dxa"/>
                    <w:left w:w="108" w:type="dxa"/>
                    <w:bottom w:w="0" w:type="dxa"/>
                    <w:right w:w="108" w:type="dxa"/>
                  </w:tcMar>
                  <w:vAlign w:val="center"/>
                </w:tcPr>
                <w:p w14:paraId="32DEFF71" w14:textId="77777777" w:rsidR="0027143F" w:rsidRDefault="00000000">
                  <w:pPr>
                    <w:jc w:val="center"/>
                  </w:pPr>
                  <w:r>
                    <w:t>3.</w:t>
                  </w:r>
                </w:p>
              </w:tc>
              <w:tc>
                <w:tcPr>
                  <w:tcW w:w="458" w:type="dxa"/>
                  <w:tcMar>
                    <w:top w:w="0" w:type="dxa"/>
                    <w:left w:w="108" w:type="dxa"/>
                    <w:bottom w:w="0" w:type="dxa"/>
                    <w:right w:w="108" w:type="dxa"/>
                  </w:tcMar>
                  <w:vAlign w:val="center"/>
                </w:tcPr>
                <w:p w14:paraId="2FFA6260" w14:textId="77777777" w:rsidR="0027143F" w:rsidRDefault="00000000">
                  <w:pPr>
                    <w:jc w:val="center"/>
                  </w:pPr>
                  <w:r>
                    <w:t>4.</w:t>
                  </w:r>
                </w:p>
              </w:tc>
              <w:tc>
                <w:tcPr>
                  <w:tcW w:w="424" w:type="dxa"/>
                  <w:tcMar>
                    <w:top w:w="0" w:type="dxa"/>
                    <w:left w:w="108" w:type="dxa"/>
                    <w:bottom w:w="0" w:type="dxa"/>
                    <w:right w:w="108" w:type="dxa"/>
                  </w:tcMar>
                  <w:vAlign w:val="center"/>
                </w:tcPr>
                <w:p w14:paraId="339CCBED" w14:textId="77777777" w:rsidR="0027143F" w:rsidRDefault="00000000">
                  <w:pPr>
                    <w:jc w:val="center"/>
                  </w:pPr>
                  <w:r>
                    <w:t>5.</w:t>
                  </w:r>
                </w:p>
              </w:tc>
              <w:tc>
                <w:tcPr>
                  <w:tcW w:w="424" w:type="dxa"/>
                  <w:tcMar>
                    <w:top w:w="0" w:type="dxa"/>
                    <w:left w:w="108" w:type="dxa"/>
                    <w:bottom w:w="0" w:type="dxa"/>
                    <w:right w:w="108" w:type="dxa"/>
                  </w:tcMar>
                  <w:vAlign w:val="center"/>
                </w:tcPr>
                <w:p w14:paraId="21480EC7" w14:textId="77777777" w:rsidR="0027143F" w:rsidRDefault="00000000">
                  <w:pPr>
                    <w:jc w:val="center"/>
                  </w:pPr>
                  <w:r>
                    <w:t>6.</w:t>
                  </w:r>
                </w:p>
              </w:tc>
              <w:tc>
                <w:tcPr>
                  <w:tcW w:w="424" w:type="dxa"/>
                  <w:tcMar>
                    <w:top w:w="0" w:type="dxa"/>
                    <w:left w:w="108" w:type="dxa"/>
                    <w:bottom w:w="0" w:type="dxa"/>
                    <w:right w:w="108" w:type="dxa"/>
                  </w:tcMar>
                  <w:vAlign w:val="center"/>
                </w:tcPr>
                <w:p w14:paraId="646BAD4D" w14:textId="77777777" w:rsidR="0027143F" w:rsidRDefault="00000000">
                  <w:pPr>
                    <w:jc w:val="center"/>
                  </w:pPr>
                  <w:r>
                    <w:t>7.</w:t>
                  </w:r>
                </w:p>
              </w:tc>
              <w:tc>
                <w:tcPr>
                  <w:tcW w:w="424" w:type="dxa"/>
                  <w:tcMar>
                    <w:top w:w="0" w:type="dxa"/>
                    <w:left w:w="108" w:type="dxa"/>
                    <w:bottom w:w="0" w:type="dxa"/>
                    <w:right w:w="108" w:type="dxa"/>
                  </w:tcMar>
                  <w:vAlign w:val="center"/>
                </w:tcPr>
                <w:p w14:paraId="11E447FB" w14:textId="77777777" w:rsidR="0027143F" w:rsidRDefault="00000000">
                  <w:pPr>
                    <w:jc w:val="center"/>
                  </w:pPr>
                  <w:r>
                    <w:t>8.</w:t>
                  </w:r>
                </w:p>
              </w:tc>
              <w:tc>
                <w:tcPr>
                  <w:tcW w:w="398" w:type="dxa"/>
                  <w:tcMar>
                    <w:top w:w="0" w:type="dxa"/>
                    <w:left w:w="108" w:type="dxa"/>
                    <w:bottom w:w="0" w:type="dxa"/>
                    <w:right w:w="108" w:type="dxa"/>
                  </w:tcMar>
                  <w:vAlign w:val="center"/>
                </w:tcPr>
                <w:p w14:paraId="7DAA15F6" w14:textId="77777777" w:rsidR="0027143F" w:rsidRDefault="00000000">
                  <w:pPr>
                    <w:jc w:val="center"/>
                  </w:pPr>
                  <w:r>
                    <w:t>9.</w:t>
                  </w:r>
                </w:p>
              </w:tc>
            </w:tr>
            <w:tr w:rsidR="0027143F" w14:paraId="526B1B86" w14:textId="77777777">
              <w:trPr>
                <w:jc w:val="center"/>
              </w:trPr>
              <w:tc>
                <w:tcPr>
                  <w:tcW w:w="2940" w:type="dxa"/>
                </w:tcPr>
                <w:p w14:paraId="49FF9A06" w14:textId="77777777" w:rsidR="0027143F" w:rsidRDefault="00000000">
                  <w:proofErr w:type="spellStart"/>
                  <w:r>
                    <w:t>Starppārbaudījums</w:t>
                  </w:r>
                  <w:proofErr w:type="spellEnd"/>
                </w:p>
              </w:tc>
              <w:tc>
                <w:tcPr>
                  <w:tcW w:w="458" w:type="dxa"/>
                  <w:tcMar>
                    <w:top w:w="0" w:type="dxa"/>
                    <w:left w:w="108" w:type="dxa"/>
                    <w:bottom w:w="0" w:type="dxa"/>
                    <w:right w:w="108" w:type="dxa"/>
                  </w:tcMar>
                  <w:vAlign w:val="center"/>
                </w:tcPr>
                <w:p w14:paraId="6DC4BE3B" w14:textId="77777777" w:rsidR="0027143F" w:rsidRDefault="00000000">
                  <w:pPr>
                    <w:jc w:val="center"/>
                  </w:pPr>
                  <w:r>
                    <w:t>x</w:t>
                  </w:r>
                </w:p>
              </w:tc>
              <w:tc>
                <w:tcPr>
                  <w:tcW w:w="458" w:type="dxa"/>
                  <w:tcMar>
                    <w:top w:w="0" w:type="dxa"/>
                    <w:left w:w="108" w:type="dxa"/>
                    <w:bottom w:w="0" w:type="dxa"/>
                    <w:right w:w="108" w:type="dxa"/>
                  </w:tcMar>
                  <w:vAlign w:val="center"/>
                </w:tcPr>
                <w:p w14:paraId="2FC2D1E0" w14:textId="77777777" w:rsidR="0027143F" w:rsidRDefault="00000000">
                  <w:pPr>
                    <w:jc w:val="center"/>
                  </w:pPr>
                  <w:r>
                    <w:t>x</w:t>
                  </w:r>
                </w:p>
              </w:tc>
              <w:tc>
                <w:tcPr>
                  <w:tcW w:w="458" w:type="dxa"/>
                  <w:tcMar>
                    <w:top w:w="0" w:type="dxa"/>
                    <w:left w:w="108" w:type="dxa"/>
                    <w:bottom w:w="0" w:type="dxa"/>
                    <w:right w:w="108" w:type="dxa"/>
                  </w:tcMar>
                  <w:vAlign w:val="center"/>
                </w:tcPr>
                <w:p w14:paraId="5FFA3C57" w14:textId="77777777" w:rsidR="0027143F" w:rsidRDefault="00000000">
                  <w:pPr>
                    <w:jc w:val="center"/>
                  </w:pPr>
                  <w:r>
                    <w:t>x</w:t>
                  </w:r>
                </w:p>
              </w:tc>
              <w:tc>
                <w:tcPr>
                  <w:tcW w:w="458" w:type="dxa"/>
                  <w:tcMar>
                    <w:top w:w="0" w:type="dxa"/>
                    <w:left w:w="108" w:type="dxa"/>
                    <w:bottom w:w="0" w:type="dxa"/>
                    <w:right w:w="108" w:type="dxa"/>
                  </w:tcMar>
                  <w:vAlign w:val="center"/>
                </w:tcPr>
                <w:p w14:paraId="1DE9B7C4" w14:textId="77777777" w:rsidR="0027143F" w:rsidRDefault="00000000">
                  <w:pPr>
                    <w:jc w:val="center"/>
                  </w:pPr>
                  <w:r>
                    <w:t>x</w:t>
                  </w:r>
                </w:p>
              </w:tc>
              <w:tc>
                <w:tcPr>
                  <w:tcW w:w="424" w:type="dxa"/>
                  <w:tcMar>
                    <w:top w:w="0" w:type="dxa"/>
                    <w:left w:w="108" w:type="dxa"/>
                    <w:bottom w:w="0" w:type="dxa"/>
                    <w:right w:w="108" w:type="dxa"/>
                  </w:tcMar>
                  <w:vAlign w:val="center"/>
                </w:tcPr>
                <w:p w14:paraId="2A3B8BBB" w14:textId="77777777" w:rsidR="0027143F" w:rsidRDefault="00000000">
                  <w:pPr>
                    <w:jc w:val="center"/>
                  </w:pPr>
                  <w:r>
                    <w:t>x</w:t>
                  </w:r>
                </w:p>
              </w:tc>
              <w:tc>
                <w:tcPr>
                  <w:tcW w:w="424" w:type="dxa"/>
                  <w:tcMar>
                    <w:top w:w="0" w:type="dxa"/>
                    <w:left w:w="108" w:type="dxa"/>
                    <w:bottom w:w="0" w:type="dxa"/>
                    <w:right w:w="108" w:type="dxa"/>
                  </w:tcMar>
                  <w:vAlign w:val="center"/>
                </w:tcPr>
                <w:p w14:paraId="496C613F" w14:textId="77777777" w:rsidR="0027143F" w:rsidRDefault="00000000">
                  <w:pPr>
                    <w:jc w:val="center"/>
                  </w:pPr>
                  <w:r>
                    <w:t>x</w:t>
                  </w:r>
                </w:p>
              </w:tc>
              <w:tc>
                <w:tcPr>
                  <w:tcW w:w="424" w:type="dxa"/>
                  <w:tcMar>
                    <w:top w:w="0" w:type="dxa"/>
                    <w:left w:w="108" w:type="dxa"/>
                    <w:bottom w:w="0" w:type="dxa"/>
                    <w:right w:w="108" w:type="dxa"/>
                  </w:tcMar>
                  <w:vAlign w:val="center"/>
                </w:tcPr>
                <w:p w14:paraId="5DDB7F55" w14:textId="77777777" w:rsidR="0027143F" w:rsidRDefault="00000000">
                  <w:pPr>
                    <w:jc w:val="center"/>
                  </w:pPr>
                  <w:r>
                    <w:t>x</w:t>
                  </w:r>
                </w:p>
              </w:tc>
              <w:tc>
                <w:tcPr>
                  <w:tcW w:w="424" w:type="dxa"/>
                  <w:tcMar>
                    <w:top w:w="0" w:type="dxa"/>
                    <w:left w:w="108" w:type="dxa"/>
                    <w:bottom w:w="0" w:type="dxa"/>
                    <w:right w:w="108" w:type="dxa"/>
                  </w:tcMar>
                  <w:vAlign w:val="center"/>
                </w:tcPr>
                <w:p w14:paraId="48B0CABA" w14:textId="77777777" w:rsidR="0027143F" w:rsidRDefault="00000000">
                  <w:pPr>
                    <w:jc w:val="center"/>
                  </w:pPr>
                  <w:r>
                    <w:t>x</w:t>
                  </w:r>
                </w:p>
              </w:tc>
              <w:tc>
                <w:tcPr>
                  <w:tcW w:w="398" w:type="dxa"/>
                  <w:tcMar>
                    <w:top w:w="0" w:type="dxa"/>
                    <w:left w:w="108" w:type="dxa"/>
                    <w:bottom w:w="0" w:type="dxa"/>
                    <w:right w:w="108" w:type="dxa"/>
                  </w:tcMar>
                  <w:vAlign w:val="center"/>
                </w:tcPr>
                <w:p w14:paraId="415E1C29" w14:textId="77777777" w:rsidR="0027143F" w:rsidRDefault="00000000">
                  <w:pPr>
                    <w:jc w:val="center"/>
                  </w:pPr>
                  <w:r>
                    <w:t>x</w:t>
                  </w:r>
                </w:p>
              </w:tc>
            </w:tr>
            <w:tr w:rsidR="0027143F" w14:paraId="5637C4B6" w14:textId="77777777">
              <w:trPr>
                <w:jc w:val="center"/>
              </w:trPr>
              <w:tc>
                <w:tcPr>
                  <w:tcW w:w="2940" w:type="dxa"/>
                </w:tcPr>
                <w:p w14:paraId="720BBA38" w14:textId="77777777" w:rsidR="0027143F" w:rsidRDefault="00000000">
                  <w:r>
                    <w:t xml:space="preserve">Noslēguma pārbaudījums </w:t>
                  </w:r>
                </w:p>
              </w:tc>
              <w:tc>
                <w:tcPr>
                  <w:tcW w:w="458" w:type="dxa"/>
                  <w:vAlign w:val="center"/>
                </w:tcPr>
                <w:p w14:paraId="46F3EEAE" w14:textId="77777777" w:rsidR="0027143F" w:rsidRDefault="00000000">
                  <w:pPr>
                    <w:jc w:val="center"/>
                  </w:pPr>
                  <w:r>
                    <w:t>x</w:t>
                  </w:r>
                </w:p>
              </w:tc>
              <w:tc>
                <w:tcPr>
                  <w:tcW w:w="458" w:type="dxa"/>
                  <w:vAlign w:val="center"/>
                </w:tcPr>
                <w:p w14:paraId="17185843" w14:textId="77777777" w:rsidR="0027143F" w:rsidRDefault="00000000">
                  <w:pPr>
                    <w:jc w:val="center"/>
                  </w:pPr>
                  <w:r>
                    <w:t>x</w:t>
                  </w:r>
                </w:p>
              </w:tc>
              <w:tc>
                <w:tcPr>
                  <w:tcW w:w="458" w:type="dxa"/>
                  <w:vAlign w:val="center"/>
                </w:tcPr>
                <w:p w14:paraId="1BFECE05" w14:textId="77777777" w:rsidR="0027143F" w:rsidRDefault="00000000">
                  <w:pPr>
                    <w:jc w:val="center"/>
                  </w:pPr>
                  <w:r>
                    <w:t>x</w:t>
                  </w:r>
                </w:p>
              </w:tc>
              <w:tc>
                <w:tcPr>
                  <w:tcW w:w="458" w:type="dxa"/>
                  <w:vAlign w:val="center"/>
                </w:tcPr>
                <w:p w14:paraId="19325AD4" w14:textId="77777777" w:rsidR="0027143F" w:rsidRDefault="00000000">
                  <w:pPr>
                    <w:jc w:val="center"/>
                  </w:pPr>
                  <w:r>
                    <w:t>x</w:t>
                  </w:r>
                </w:p>
              </w:tc>
              <w:tc>
                <w:tcPr>
                  <w:tcW w:w="424" w:type="dxa"/>
                  <w:vAlign w:val="center"/>
                </w:tcPr>
                <w:p w14:paraId="3BD335A8" w14:textId="77777777" w:rsidR="0027143F" w:rsidRDefault="00000000">
                  <w:pPr>
                    <w:jc w:val="center"/>
                  </w:pPr>
                  <w:r>
                    <w:t>x</w:t>
                  </w:r>
                </w:p>
              </w:tc>
              <w:tc>
                <w:tcPr>
                  <w:tcW w:w="424" w:type="dxa"/>
                  <w:vAlign w:val="center"/>
                </w:tcPr>
                <w:p w14:paraId="30BE422D" w14:textId="77777777" w:rsidR="0027143F" w:rsidRDefault="00000000">
                  <w:pPr>
                    <w:jc w:val="center"/>
                  </w:pPr>
                  <w:r>
                    <w:t>x</w:t>
                  </w:r>
                </w:p>
              </w:tc>
              <w:tc>
                <w:tcPr>
                  <w:tcW w:w="424" w:type="dxa"/>
                  <w:vAlign w:val="center"/>
                </w:tcPr>
                <w:p w14:paraId="0DFD9184" w14:textId="77777777" w:rsidR="0027143F" w:rsidRDefault="00000000">
                  <w:pPr>
                    <w:jc w:val="center"/>
                  </w:pPr>
                  <w:r>
                    <w:t>x</w:t>
                  </w:r>
                </w:p>
              </w:tc>
              <w:tc>
                <w:tcPr>
                  <w:tcW w:w="424" w:type="dxa"/>
                  <w:vAlign w:val="center"/>
                </w:tcPr>
                <w:p w14:paraId="53C42E46" w14:textId="77777777" w:rsidR="0027143F" w:rsidRDefault="00000000">
                  <w:pPr>
                    <w:jc w:val="center"/>
                  </w:pPr>
                  <w:r>
                    <w:t>x</w:t>
                  </w:r>
                </w:p>
              </w:tc>
              <w:tc>
                <w:tcPr>
                  <w:tcW w:w="398" w:type="dxa"/>
                  <w:vAlign w:val="center"/>
                </w:tcPr>
                <w:p w14:paraId="28300B8C" w14:textId="77777777" w:rsidR="0027143F" w:rsidRDefault="00000000">
                  <w:pPr>
                    <w:jc w:val="center"/>
                  </w:pPr>
                  <w:r>
                    <w:t>x</w:t>
                  </w:r>
                </w:p>
              </w:tc>
            </w:tr>
          </w:tbl>
          <w:p w14:paraId="34826591" w14:textId="77777777" w:rsidR="0027143F" w:rsidRDefault="0027143F"/>
          <w:p w14:paraId="097F314A" w14:textId="77777777" w:rsidR="0027143F" w:rsidRDefault="0027143F">
            <w:pPr>
              <w:textAlignment w:val="baseline"/>
              <w:rPr>
                <w:bCs w:val="0"/>
                <w:iCs w:val="0"/>
                <w:color w:val="0070C0"/>
              </w:rPr>
            </w:pPr>
          </w:p>
        </w:tc>
      </w:tr>
      <w:tr w:rsidR="0027143F" w14:paraId="75482081" w14:textId="77777777">
        <w:trPr>
          <w:jc w:val="center"/>
        </w:trPr>
        <w:tc>
          <w:tcPr>
            <w:tcW w:w="9640" w:type="dxa"/>
            <w:gridSpan w:val="2"/>
          </w:tcPr>
          <w:p w14:paraId="644CE709" w14:textId="77777777" w:rsidR="0027143F" w:rsidRDefault="00000000">
            <w:pPr>
              <w:pStyle w:val="Nosaukumi"/>
            </w:pPr>
            <w:r>
              <w:lastRenderedPageBreak/>
              <w:t>Kursa saturs</w:t>
            </w:r>
          </w:p>
        </w:tc>
      </w:tr>
      <w:tr w:rsidR="0027143F" w14:paraId="4BE1960C" w14:textId="77777777">
        <w:trPr>
          <w:jc w:val="center"/>
        </w:trPr>
        <w:tc>
          <w:tcPr>
            <w:tcW w:w="9640" w:type="dxa"/>
            <w:gridSpan w:val="2"/>
          </w:tcPr>
          <w:p w14:paraId="6B13E5B4" w14:textId="77777777" w:rsidR="0027143F" w:rsidRDefault="00000000">
            <w:pPr>
              <w:ind w:left="34"/>
              <w:jc w:val="both"/>
              <w:rPr>
                <w:i/>
                <w:color w:val="0070C0"/>
                <w:lang w:eastAsia="ko-KR"/>
              </w:rPr>
            </w:pPr>
            <w:r>
              <w:rPr>
                <w:i/>
                <w:color w:val="0070C0"/>
                <w:lang w:eastAsia="ko-KR"/>
              </w:rPr>
              <w:t>L -  lekcija</w:t>
            </w:r>
          </w:p>
          <w:p w14:paraId="75601982" w14:textId="77777777" w:rsidR="0027143F" w:rsidRDefault="00000000">
            <w:pPr>
              <w:ind w:left="34"/>
              <w:jc w:val="both"/>
              <w:rPr>
                <w:i/>
                <w:color w:val="0070C0"/>
                <w:lang w:eastAsia="ko-KR"/>
              </w:rPr>
            </w:pPr>
            <w:r>
              <w:rPr>
                <w:i/>
                <w:color w:val="0070C0"/>
                <w:lang w:eastAsia="ko-KR"/>
              </w:rPr>
              <w:t>S - seminārs</w:t>
            </w:r>
          </w:p>
          <w:p w14:paraId="7BEEAC19" w14:textId="77777777" w:rsidR="0027143F" w:rsidRDefault="00000000">
            <w:pPr>
              <w:spacing w:after="160" w:line="259" w:lineRule="auto"/>
              <w:ind w:left="34"/>
              <w:rPr>
                <w:i/>
                <w:color w:val="0070C0"/>
                <w:lang w:eastAsia="ko-KR"/>
              </w:rPr>
            </w:pPr>
            <w:proofErr w:type="spellStart"/>
            <w:r>
              <w:rPr>
                <w:i/>
                <w:color w:val="0070C0"/>
                <w:lang w:eastAsia="ko-KR"/>
              </w:rPr>
              <w:t>Pd</w:t>
            </w:r>
            <w:proofErr w:type="spellEnd"/>
            <w:r>
              <w:rPr>
                <w:i/>
                <w:color w:val="0070C0"/>
                <w:lang w:eastAsia="ko-KR"/>
              </w:rPr>
              <w:t xml:space="preserve"> – patstāvīgais darbs</w:t>
            </w:r>
          </w:p>
          <w:p w14:paraId="0E4D3DC0" w14:textId="77777777" w:rsidR="0027143F" w:rsidRDefault="00000000">
            <w:pPr>
              <w:rPr>
                <w:b/>
                <w:bCs w:val="0"/>
              </w:rPr>
            </w:pPr>
            <w:r>
              <w:rPr>
                <w:b/>
                <w:bCs w:val="0"/>
              </w:rPr>
              <w:t>Lekcijas (16)</w:t>
            </w:r>
          </w:p>
          <w:p w14:paraId="4446B110" w14:textId="77777777" w:rsidR="0027143F" w:rsidRDefault="00000000">
            <w:pPr>
              <w:numPr>
                <w:ilvl w:val="0"/>
                <w:numId w:val="3"/>
              </w:numPr>
              <w:spacing w:after="60"/>
              <w:jc w:val="both"/>
            </w:pPr>
            <w:r>
              <w:t xml:space="preserve">Vides tiesību jēdziens. Vides tiesību objekti. Vides tiesību avoti un pamatprincipi Eiropas Savienībā un Latvijā. Konstitucionālās tiesības uz labvēlīgu vidi un subjektīvās vides tiesības (tiesības uz vides informāciju, tiesības piedalīties ar vidi saistītu lēmumu pieņemšanā, tiesības vērsties tiesā ar vidi saistītos jautājumos). Vides informācija. Valsts un pašvaldību kompetence vides aizsardzībā. Ekoloģiskās </w:t>
            </w:r>
            <w:proofErr w:type="spellStart"/>
            <w:r>
              <w:t>tiesībattiecības</w:t>
            </w:r>
            <w:proofErr w:type="spellEnd"/>
            <w:r>
              <w:t>, vides tiesību jomas. Starptautisko konvenciju loma vides un dabas vērtību saglabāšanā, galvenie vides tiesību attīstības posmi. (</w:t>
            </w:r>
            <w:r>
              <w:rPr>
                <w:color w:val="0070C0"/>
              </w:rPr>
              <w:t>L4, Pd4</w:t>
            </w:r>
            <w:r>
              <w:t>)</w:t>
            </w:r>
          </w:p>
          <w:p w14:paraId="67038322" w14:textId="77777777" w:rsidR="0027143F" w:rsidRDefault="00000000">
            <w:pPr>
              <w:numPr>
                <w:ilvl w:val="0"/>
                <w:numId w:val="3"/>
              </w:numPr>
              <w:spacing w:after="60"/>
              <w:jc w:val="both"/>
            </w:pPr>
            <w:r>
              <w:t>Vides aizsardzības tiesiskais regulējums attīstības un teritorijas plānošanā. Principi, līmeņi un veidi. Aizsargjoslu regulējums. Aprobežojumi. (</w:t>
            </w:r>
            <w:r>
              <w:rPr>
                <w:color w:val="0070C0"/>
              </w:rPr>
              <w:t>L2, Pd2</w:t>
            </w:r>
            <w:r>
              <w:t>)</w:t>
            </w:r>
          </w:p>
          <w:p w14:paraId="0CCAA4C5" w14:textId="77777777" w:rsidR="0027143F" w:rsidRDefault="00000000">
            <w:pPr>
              <w:numPr>
                <w:ilvl w:val="0"/>
                <w:numId w:val="3"/>
              </w:numPr>
              <w:spacing w:after="60"/>
              <w:jc w:val="both"/>
            </w:pPr>
            <w:r>
              <w:t>Vides aizsardzības tiesiskais regulējums vides (gaiss, augsne, klimats) kvalitātes aizsardzībā, piesārņojuma kontrolē. (</w:t>
            </w:r>
            <w:r>
              <w:rPr>
                <w:color w:val="0070C0"/>
              </w:rPr>
              <w:t>L2, Pd2</w:t>
            </w:r>
            <w:r>
              <w:t>)</w:t>
            </w:r>
          </w:p>
          <w:p w14:paraId="551FBEE1" w14:textId="77777777" w:rsidR="0027143F" w:rsidRDefault="00000000">
            <w:pPr>
              <w:numPr>
                <w:ilvl w:val="0"/>
                <w:numId w:val="3"/>
              </w:numPr>
              <w:spacing w:after="60"/>
              <w:jc w:val="both"/>
              <w:rPr>
                <w:color w:val="0070C0"/>
              </w:rPr>
            </w:pPr>
            <w:r>
              <w:t>Vides aizsardzības tiesiskais regulējums ūdens kvalitātes, ūdens resursu aizsardzībā, izmantošanā un apsaimniekošanā. (</w:t>
            </w:r>
            <w:r>
              <w:rPr>
                <w:color w:val="0070C0"/>
              </w:rPr>
              <w:t>L2, Pd2</w:t>
            </w:r>
            <w:r>
              <w:t>)</w:t>
            </w:r>
          </w:p>
          <w:p w14:paraId="3DEAA91C" w14:textId="77777777" w:rsidR="0027143F" w:rsidRDefault="00000000">
            <w:pPr>
              <w:numPr>
                <w:ilvl w:val="0"/>
                <w:numId w:val="3"/>
              </w:numPr>
              <w:spacing w:after="60"/>
              <w:jc w:val="both"/>
            </w:pPr>
            <w:r>
              <w:t>Vides aizsardzības tiesiskais regulējums atkritumu (sadzīves, bioloģisko, bīstamo, nolietoto transportlīdzekļu u.c.) apsaimniekošanā. Depozīta sistēma. (</w:t>
            </w:r>
            <w:r>
              <w:rPr>
                <w:color w:val="0070C0"/>
              </w:rPr>
              <w:t>L2, Pd2</w:t>
            </w:r>
            <w:r>
              <w:t>)</w:t>
            </w:r>
          </w:p>
          <w:p w14:paraId="6E667C2C" w14:textId="77777777" w:rsidR="0027143F" w:rsidRDefault="00000000">
            <w:pPr>
              <w:numPr>
                <w:ilvl w:val="0"/>
                <w:numId w:val="3"/>
              </w:numPr>
              <w:spacing w:after="60"/>
              <w:jc w:val="both"/>
            </w:pPr>
            <w:r>
              <w:t>Dabas resursu (zemes, zemes dzīļu un ūdens resursu, mežu, medību, zvejniecības resursu) aizsardzības un izmantošanas tiesiskais regulējums. (</w:t>
            </w:r>
            <w:r>
              <w:rPr>
                <w:color w:val="0070C0"/>
              </w:rPr>
              <w:t>L2, Pd2</w:t>
            </w:r>
            <w:r>
              <w:t>)</w:t>
            </w:r>
          </w:p>
          <w:p w14:paraId="6CB69E7D" w14:textId="77777777" w:rsidR="0027143F" w:rsidRDefault="00000000">
            <w:pPr>
              <w:numPr>
                <w:ilvl w:val="0"/>
                <w:numId w:val="3"/>
              </w:numPr>
              <w:spacing w:after="60"/>
              <w:jc w:val="both"/>
            </w:pPr>
            <w:r>
              <w:t>Dabas daudzveidības (īpaši aizsargājamās sugas un biotopi, īpaši aizsargājamās dabas teritorijas, Nature 2000) saglabāšanas un pārvaldības tiesiskais regulējums. (</w:t>
            </w:r>
            <w:r>
              <w:rPr>
                <w:color w:val="0070C0"/>
              </w:rPr>
              <w:t>L2, Pd2</w:t>
            </w:r>
            <w:r>
              <w:t>)</w:t>
            </w:r>
          </w:p>
          <w:p w14:paraId="34EB2104" w14:textId="77777777" w:rsidR="0027143F" w:rsidRDefault="0027143F">
            <w:pPr>
              <w:spacing w:after="160" w:line="259" w:lineRule="auto"/>
              <w:rPr>
                <w:color w:val="0070C0"/>
              </w:rPr>
            </w:pPr>
          </w:p>
          <w:p w14:paraId="3B5E56D1" w14:textId="77777777" w:rsidR="0027143F" w:rsidRDefault="00000000">
            <w:pPr>
              <w:rPr>
                <w:b/>
                <w:bCs w:val="0"/>
              </w:rPr>
            </w:pPr>
            <w:r>
              <w:rPr>
                <w:b/>
                <w:bCs w:val="0"/>
              </w:rPr>
              <w:t>Semināri (16)</w:t>
            </w:r>
          </w:p>
          <w:p w14:paraId="2D356AE4" w14:textId="77777777" w:rsidR="0027143F" w:rsidRDefault="00000000">
            <w:pPr>
              <w:numPr>
                <w:ilvl w:val="0"/>
                <w:numId w:val="4"/>
              </w:numPr>
              <w:jc w:val="both"/>
            </w:pPr>
            <w:r>
              <w:t>Sabiedrības līdzdalības tiesības un tiesības iesniegt pieteikumu tiesā (studējošie iepazīstas, analizē un apspriež tiesu nolēmumus par sabiedrības/privātpersonas līdzdalības tiesībām vides jautājumos) (</w:t>
            </w:r>
            <w:r>
              <w:rPr>
                <w:color w:val="0070C0"/>
              </w:rPr>
              <w:t>S1, Pd2</w:t>
            </w:r>
            <w:r>
              <w:t>)</w:t>
            </w:r>
          </w:p>
          <w:p w14:paraId="755273EF" w14:textId="77777777" w:rsidR="0027143F" w:rsidRDefault="00000000">
            <w:pPr>
              <w:numPr>
                <w:ilvl w:val="0"/>
                <w:numId w:val="4"/>
              </w:numPr>
              <w:jc w:val="both"/>
            </w:pPr>
            <w:r>
              <w:rPr>
                <w:rFonts w:eastAsia="SimSun"/>
                <w:lang w:eastAsia="ko-KR"/>
              </w:rPr>
              <w:t xml:space="preserve">Pašvaldību funkcijas vides pārvaldībā (studējošie iepazīstas, analizē un apspriež Pašvaldību likumā noteiktās vides pārvaldības funkcijas, izskata tiesu nolēmumus par pašvaldību tiesībām). </w:t>
            </w:r>
            <w:r>
              <w:t>(</w:t>
            </w:r>
            <w:r>
              <w:rPr>
                <w:color w:val="0070C0"/>
              </w:rPr>
              <w:t>S1, Pd2</w:t>
            </w:r>
            <w:r>
              <w:t>)</w:t>
            </w:r>
          </w:p>
          <w:p w14:paraId="7736801F" w14:textId="77777777" w:rsidR="0027143F" w:rsidRDefault="00000000">
            <w:pPr>
              <w:numPr>
                <w:ilvl w:val="0"/>
                <w:numId w:val="4"/>
              </w:numPr>
              <w:jc w:val="both"/>
              <w:rPr>
                <w:color w:val="0070C0"/>
              </w:rPr>
            </w:pPr>
            <w:r>
              <w:t>Kaitējums videi jēdziens. Atbildība par videi nodarīto kaitējumu. Administratīvā atbildība un noziedzīgi nodarījumi vides un dabas aizsardzības jomā. Vides kontrole, valsts un privātpersonu pienākumi vides kaitējuma draudu un kaitējuma gadījumā (studējošie noskaidro jēdzienu kaitējums videi (Vides aizsardzības likums), izskata un apspriež tiesu nolēmumus par administratīvajiem pārkāpumiem un vides kontroli). (</w:t>
            </w:r>
            <w:r>
              <w:rPr>
                <w:color w:val="0070C0"/>
              </w:rPr>
              <w:t>S2, Pd4)</w:t>
            </w:r>
          </w:p>
          <w:p w14:paraId="00DE1F79" w14:textId="77777777" w:rsidR="0027143F" w:rsidRDefault="00000000">
            <w:pPr>
              <w:numPr>
                <w:ilvl w:val="0"/>
                <w:numId w:val="4"/>
              </w:numPr>
              <w:jc w:val="both"/>
            </w:pPr>
            <w:r>
              <w:t>Teritorijas plānojuma un aizsargjoslu tiesiskais regulējums (studējošie iepazīstas, analizē un apspriež normatīvos aktus, tiesu nolēmumus, apkopojumus, publikācijas teritorijas plānošanas un aizsargjoslu jautājumus). (</w:t>
            </w:r>
            <w:r>
              <w:rPr>
                <w:color w:val="0070C0"/>
              </w:rPr>
              <w:t>S2, Pd4</w:t>
            </w:r>
            <w:r>
              <w:t>)</w:t>
            </w:r>
          </w:p>
          <w:p w14:paraId="646A2252" w14:textId="77777777" w:rsidR="0027143F" w:rsidRDefault="00000000">
            <w:pPr>
              <w:numPr>
                <w:ilvl w:val="0"/>
                <w:numId w:val="4"/>
              </w:numPr>
              <w:jc w:val="both"/>
            </w:pPr>
            <w:r>
              <w:t xml:space="preserve">Vides kvalitātes tiesiskais regulējums (studējošie iepazīstas, analizē un apspriež likumu, tiesu nolēmumus, apkopojumus, publikācijas vides piesārņojuma novēršanā, gaisa, augsnes </w:t>
            </w:r>
            <w:r>
              <w:lastRenderedPageBreak/>
              <w:t>kvalitātes aizsardzībā un klimata mērķu sasniegšanā). (</w:t>
            </w:r>
            <w:r>
              <w:rPr>
                <w:color w:val="0070C0"/>
              </w:rPr>
              <w:t>S1, Pd2</w:t>
            </w:r>
            <w:r>
              <w:t xml:space="preserve">) </w:t>
            </w:r>
          </w:p>
          <w:p w14:paraId="56B39AED" w14:textId="77777777" w:rsidR="0027143F" w:rsidRDefault="00000000">
            <w:pPr>
              <w:numPr>
                <w:ilvl w:val="0"/>
                <w:numId w:val="4"/>
              </w:numPr>
              <w:jc w:val="both"/>
            </w:pPr>
            <w:r>
              <w:t>Ūdens resursu aizsardzības, izmantošanas, apsaimniekošanas un kvalitātes tiesiskais regulējums (studējošie iepazīstas, analizē un apspriež normatīvos aktus, tiesu nolēmumus, apkopojumus, publikācijas ūdens resursu aizsardzības, izmantošanas, apsaimniekošanas un kvalitātes aizsardzībā). (</w:t>
            </w:r>
            <w:r>
              <w:rPr>
                <w:color w:val="0070C0"/>
              </w:rPr>
              <w:t>S2, Pd4</w:t>
            </w:r>
            <w:r>
              <w:t>)</w:t>
            </w:r>
          </w:p>
          <w:p w14:paraId="434B540F" w14:textId="77777777" w:rsidR="0027143F" w:rsidRDefault="00000000">
            <w:pPr>
              <w:numPr>
                <w:ilvl w:val="0"/>
                <w:numId w:val="4"/>
              </w:numPr>
              <w:jc w:val="both"/>
            </w:pPr>
            <w:r>
              <w:t>Atkritumu apsaimniekošanas tiesiskais regulējums (studējošie iepazīstas, analizē un apspriež normatīvos aktus, tiesu nolēmumus, apkopojumus, publikācijas atkritumu apsaimniekošanas jomā). (</w:t>
            </w:r>
            <w:r>
              <w:rPr>
                <w:color w:val="0070C0"/>
              </w:rPr>
              <w:t>S1, Pd2</w:t>
            </w:r>
            <w:r>
              <w:t>)</w:t>
            </w:r>
          </w:p>
          <w:p w14:paraId="3BE494BF" w14:textId="77777777" w:rsidR="0027143F" w:rsidRDefault="00000000">
            <w:pPr>
              <w:numPr>
                <w:ilvl w:val="0"/>
                <w:numId w:val="4"/>
              </w:numPr>
              <w:jc w:val="both"/>
            </w:pPr>
            <w:r>
              <w:t>Zemes pārvaldības un dabas resursu izmantošanas un aizsardzības tiesiskais regulējums (studējošie iepazīstas, analizē un apspriež normatīvos aktus, tiesu nolēmumus, apkopojumus, publikācijas zemes pārvaldības un dabas resursu izmantošanas un aizsardzības jomā). (</w:t>
            </w:r>
            <w:r>
              <w:rPr>
                <w:color w:val="0070C0"/>
              </w:rPr>
              <w:t>S2, Pd4</w:t>
            </w:r>
            <w:r>
              <w:t>)</w:t>
            </w:r>
          </w:p>
          <w:p w14:paraId="4B2B404C" w14:textId="77777777" w:rsidR="0027143F" w:rsidRDefault="00000000">
            <w:pPr>
              <w:numPr>
                <w:ilvl w:val="0"/>
                <w:numId w:val="4"/>
              </w:numPr>
              <w:jc w:val="both"/>
            </w:pPr>
            <w:r>
              <w:t xml:space="preserve"> Dabas vērtību izmantošanas un aizsardzības tiesiskais regulējums (studējošie iepazīstas, analizē un apspriež normatīvos aktus, tiesu nolēmumus, apkopojumus, publikācijas dabas vērtību saglabāšanas jomā). (</w:t>
            </w:r>
            <w:r>
              <w:rPr>
                <w:color w:val="0070C0"/>
              </w:rPr>
              <w:t>S2, Pd4</w:t>
            </w:r>
            <w:r>
              <w:t>)</w:t>
            </w:r>
          </w:p>
          <w:p w14:paraId="554E8670" w14:textId="77777777" w:rsidR="0027143F" w:rsidRDefault="00000000">
            <w:pPr>
              <w:numPr>
                <w:ilvl w:val="0"/>
                <w:numId w:val="4"/>
              </w:numPr>
              <w:jc w:val="both"/>
            </w:pPr>
            <w:r>
              <w:t xml:space="preserve"> Vides un dabas aizsardzības tiesiski ekonomiskais regulējums (dabas resursa nodoklis). Brīvprātīgie vides pārvaldības pasākumi vides un dabas aizsardzībā (EMAS, zaļais iepirkums u.c.) (studējošie noskaidro dabas resursa nodokļa un brīvprātīgo vides pārvaldības pasākumu nozīmi vides mērķu sasniegšanā, iepazīstas, analizē un apspriež publikācijas par brīvprātīgo vides pārvaldību pasākumu priekšrocībām un ieguvumiem normatīvo aktu līmenī). (</w:t>
            </w:r>
            <w:r>
              <w:rPr>
                <w:color w:val="0070C0"/>
              </w:rPr>
              <w:t>S2, Pd4</w:t>
            </w:r>
            <w:r>
              <w:t>)</w:t>
            </w:r>
          </w:p>
          <w:p w14:paraId="408866EE" w14:textId="77777777" w:rsidR="0027143F" w:rsidRDefault="0027143F">
            <w:pPr>
              <w:spacing w:after="160" w:line="259" w:lineRule="auto"/>
              <w:rPr>
                <w:iCs w:val="0"/>
              </w:rPr>
            </w:pPr>
          </w:p>
        </w:tc>
      </w:tr>
      <w:tr w:rsidR="0027143F" w14:paraId="2526F2DE" w14:textId="77777777">
        <w:trPr>
          <w:jc w:val="center"/>
        </w:trPr>
        <w:tc>
          <w:tcPr>
            <w:tcW w:w="9640" w:type="dxa"/>
            <w:gridSpan w:val="2"/>
          </w:tcPr>
          <w:p w14:paraId="28461F2E" w14:textId="77777777" w:rsidR="0027143F" w:rsidRDefault="00000000">
            <w:pPr>
              <w:pStyle w:val="Nosaukumi"/>
            </w:pPr>
            <w:r>
              <w:lastRenderedPageBreak/>
              <w:t>Obligāti izmantojamie informācijas avoti</w:t>
            </w:r>
          </w:p>
        </w:tc>
      </w:tr>
      <w:tr w:rsidR="0027143F" w14:paraId="2AC6C5BA" w14:textId="77777777">
        <w:trPr>
          <w:jc w:val="center"/>
        </w:trPr>
        <w:tc>
          <w:tcPr>
            <w:tcW w:w="9640" w:type="dxa"/>
            <w:gridSpan w:val="2"/>
          </w:tcPr>
          <w:p w14:paraId="623FE93E" w14:textId="77777777" w:rsidR="0027143F" w:rsidRDefault="00000000">
            <w:pPr>
              <w:numPr>
                <w:ilvl w:val="0"/>
                <w:numId w:val="5"/>
              </w:numPr>
              <w:spacing w:line="260" w:lineRule="auto"/>
              <w:ind w:left="432" w:hanging="432"/>
              <w:jc w:val="both"/>
            </w:pPr>
            <w:proofErr w:type="spellStart"/>
            <w:r>
              <w:t>Pleps</w:t>
            </w:r>
            <w:proofErr w:type="spellEnd"/>
            <w:r>
              <w:t xml:space="preserve">, J., Pastars, E., </w:t>
            </w:r>
            <w:proofErr w:type="spellStart"/>
            <w:r>
              <w:t>Plakane</w:t>
            </w:r>
            <w:proofErr w:type="spellEnd"/>
            <w:r>
              <w:t>, I. 2021. Konstitucionālās tiesības. Rīga, Latvijas Vēstnesis, 679 lpp.</w:t>
            </w:r>
          </w:p>
          <w:p w14:paraId="48E3CB03" w14:textId="77777777" w:rsidR="0027143F" w:rsidRDefault="00000000">
            <w:pPr>
              <w:numPr>
                <w:ilvl w:val="0"/>
                <w:numId w:val="5"/>
              </w:numPr>
              <w:spacing w:line="260" w:lineRule="auto"/>
              <w:ind w:left="432" w:hanging="432"/>
              <w:jc w:val="both"/>
            </w:pPr>
            <w:proofErr w:type="spellStart"/>
            <w:r>
              <w:t>Strautmanis</w:t>
            </w:r>
            <w:proofErr w:type="spellEnd"/>
            <w:r>
              <w:t>, J. 2003. Vides ētika un vides tiesības. Zvaigzne ABC, Rīga, 187.lpp.</w:t>
            </w:r>
          </w:p>
          <w:p w14:paraId="65F0039C" w14:textId="77777777" w:rsidR="0027143F" w:rsidRDefault="00000000">
            <w:pPr>
              <w:numPr>
                <w:ilvl w:val="0"/>
                <w:numId w:val="5"/>
              </w:numPr>
              <w:spacing w:line="260" w:lineRule="auto"/>
              <w:ind w:left="432" w:hanging="432"/>
              <w:jc w:val="both"/>
            </w:pPr>
            <w:proofErr w:type="spellStart"/>
            <w:r>
              <w:t>Meseršmits</w:t>
            </w:r>
            <w:proofErr w:type="spellEnd"/>
            <w:r>
              <w:t>, K., Meiere S., Ūsiņa E. 2003. Eiropas vides tiesības. LU, Rīga</w:t>
            </w:r>
          </w:p>
          <w:p w14:paraId="43C7697D" w14:textId="77777777" w:rsidR="0027143F" w:rsidRDefault="00000000">
            <w:pPr>
              <w:numPr>
                <w:ilvl w:val="0"/>
                <w:numId w:val="5"/>
              </w:numPr>
              <w:spacing w:line="260" w:lineRule="auto"/>
              <w:ind w:left="432" w:hanging="432"/>
              <w:jc w:val="both"/>
            </w:pPr>
            <w:r>
              <w:t xml:space="preserve">Civillikums: Lietu tiesības. Red. </w:t>
            </w:r>
            <w:proofErr w:type="spellStart"/>
            <w:r>
              <w:t>S.Svaža</w:t>
            </w:r>
            <w:proofErr w:type="spellEnd"/>
            <w:r>
              <w:t>. Rīga, Zvaigzne ABC, 144 lpp.</w:t>
            </w:r>
          </w:p>
          <w:p w14:paraId="5426B6E0" w14:textId="77777777" w:rsidR="0027143F" w:rsidRDefault="00000000">
            <w:pPr>
              <w:numPr>
                <w:ilvl w:val="0"/>
                <w:numId w:val="5"/>
              </w:numPr>
              <w:spacing w:line="260" w:lineRule="auto"/>
              <w:ind w:left="432" w:hanging="432"/>
              <w:jc w:val="both"/>
            </w:pPr>
            <w:r>
              <w:t xml:space="preserve">Zaļoksnis J., Kļaviņš M., </w:t>
            </w:r>
            <w:proofErr w:type="spellStart"/>
            <w:r>
              <w:t>Brikše</w:t>
            </w:r>
            <w:proofErr w:type="spellEnd"/>
            <w:r>
              <w:t xml:space="preserve"> I., Meiere S. Vides vadība. Rīga, LU Akadēmiskais apgāds, 2011, 205.lpp.</w:t>
            </w:r>
          </w:p>
          <w:p w14:paraId="6C42A0BD" w14:textId="77777777" w:rsidR="0027143F" w:rsidRDefault="00000000">
            <w:pPr>
              <w:numPr>
                <w:ilvl w:val="0"/>
                <w:numId w:val="5"/>
              </w:numPr>
              <w:spacing w:line="260" w:lineRule="auto"/>
              <w:ind w:left="432" w:hanging="432"/>
              <w:jc w:val="both"/>
            </w:pPr>
            <w:r>
              <w:t xml:space="preserve">Dabas aizsardzība. 2015. Red. </w:t>
            </w:r>
            <w:proofErr w:type="spellStart"/>
            <w:r>
              <w:t>Nikodemus</w:t>
            </w:r>
            <w:proofErr w:type="spellEnd"/>
            <w:r>
              <w:t xml:space="preserve">, O., </w:t>
            </w:r>
            <w:proofErr w:type="spellStart"/>
            <w:r>
              <w:t>Brūmelis</w:t>
            </w:r>
            <w:proofErr w:type="spellEnd"/>
            <w:r>
              <w:t xml:space="preserve"> G.. Rīga, LU Akadēmiskais apgāds, 288 lpp.</w:t>
            </w:r>
          </w:p>
          <w:p w14:paraId="531D6C0B" w14:textId="77777777" w:rsidR="0027143F" w:rsidRDefault="0027143F">
            <w:pPr>
              <w:spacing w:line="260" w:lineRule="auto"/>
              <w:jc w:val="both"/>
            </w:pPr>
          </w:p>
        </w:tc>
      </w:tr>
      <w:tr w:rsidR="0027143F" w14:paraId="53839F77" w14:textId="77777777">
        <w:trPr>
          <w:jc w:val="center"/>
        </w:trPr>
        <w:tc>
          <w:tcPr>
            <w:tcW w:w="9640" w:type="dxa"/>
            <w:gridSpan w:val="2"/>
          </w:tcPr>
          <w:p w14:paraId="269C4158" w14:textId="77777777" w:rsidR="0027143F" w:rsidRDefault="00000000">
            <w:pPr>
              <w:pStyle w:val="Nosaukumi"/>
            </w:pPr>
            <w:r>
              <w:t>Papildus informācijas avoti</w:t>
            </w:r>
          </w:p>
        </w:tc>
      </w:tr>
      <w:tr w:rsidR="0027143F" w14:paraId="2D57624B" w14:textId="77777777">
        <w:trPr>
          <w:jc w:val="center"/>
        </w:trPr>
        <w:tc>
          <w:tcPr>
            <w:tcW w:w="9640" w:type="dxa"/>
            <w:gridSpan w:val="2"/>
          </w:tcPr>
          <w:p w14:paraId="7B89718B" w14:textId="77777777" w:rsidR="0027143F" w:rsidRDefault="00000000">
            <w:pPr>
              <w:numPr>
                <w:ilvl w:val="0"/>
                <w:numId w:val="6"/>
              </w:numPr>
              <w:spacing w:line="260" w:lineRule="auto"/>
              <w:ind w:left="432" w:hanging="432"/>
            </w:pPr>
            <w:r>
              <w:t>Augstākās tiesas Judikatūras nolēmumi, pieejams https://www.at.gov.lv/lv/tiesu-prakse/judikaturas-nolemumu-arhivs</w:t>
            </w:r>
          </w:p>
          <w:p w14:paraId="62D5CF1D" w14:textId="77777777" w:rsidR="0027143F" w:rsidRDefault="00000000">
            <w:pPr>
              <w:numPr>
                <w:ilvl w:val="0"/>
                <w:numId w:val="6"/>
              </w:numPr>
              <w:spacing w:line="260" w:lineRule="auto"/>
              <w:ind w:left="432" w:hanging="432"/>
            </w:pPr>
            <w:r>
              <w:t>Latvijas Republikas tiesību akti, pieejams: likumi.lv</w:t>
            </w:r>
          </w:p>
          <w:p w14:paraId="3F7781D9" w14:textId="77777777" w:rsidR="0027143F" w:rsidRDefault="00000000">
            <w:pPr>
              <w:numPr>
                <w:ilvl w:val="0"/>
                <w:numId w:val="6"/>
              </w:numPr>
              <w:spacing w:line="260" w:lineRule="auto"/>
              <w:ind w:left="432" w:hanging="432"/>
            </w:pPr>
            <w:proofErr w:type="spellStart"/>
            <w:r>
              <w:t>Mikosa</w:t>
            </w:r>
            <w:proofErr w:type="spellEnd"/>
            <w:r>
              <w:t>, Ž. 2018. Ziņojums par normatīvo regulējumu par tiesībām un pienākumiem ūdeņu apsaimniekošanā. BEF, 126. lpp., pieejams: https://www.bef.lv/wp-content/uploads/2020/02/Pielikums-3_Normativo-aktu-analize.pdf</w:t>
            </w:r>
          </w:p>
          <w:p w14:paraId="66BD3467" w14:textId="77777777" w:rsidR="0027143F" w:rsidRDefault="00000000">
            <w:pPr>
              <w:numPr>
                <w:ilvl w:val="0"/>
                <w:numId w:val="6"/>
              </w:numPr>
              <w:spacing w:line="260" w:lineRule="auto"/>
              <w:ind w:left="432" w:hanging="432"/>
            </w:pPr>
            <w:r>
              <w:t xml:space="preserve">Satversmes tiesas nolēmumi, pieejams: http://www.satv.tiesa.gov.lv/cases  </w:t>
            </w:r>
          </w:p>
          <w:p w14:paraId="039033B4" w14:textId="77777777" w:rsidR="0027143F" w:rsidRDefault="00000000">
            <w:pPr>
              <w:numPr>
                <w:ilvl w:val="0"/>
                <w:numId w:val="6"/>
              </w:numPr>
              <w:spacing w:line="260" w:lineRule="auto"/>
              <w:ind w:left="432" w:hanging="432"/>
            </w:pPr>
            <w:r>
              <w:t xml:space="preserve">ES Tiesas nolēmumi, pieejams: </w:t>
            </w:r>
            <w:hyperlink r:id="rId7" w:history="1">
              <w:r>
                <w:rPr>
                  <w:rStyle w:val="Hyperlink"/>
                </w:rPr>
                <w:t>https://eur-lex.europa.eu/collection/eu-law/eu-case-law.html</w:t>
              </w:r>
            </w:hyperlink>
          </w:p>
          <w:p w14:paraId="4E1C4387" w14:textId="77777777" w:rsidR="0027143F" w:rsidRDefault="0027143F">
            <w:pPr>
              <w:spacing w:line="260" w:lineRule="auto"/>
              <w:rPr>
                <w:sz w:val="20"/>
                <w:szCs w:val="20"/>
              </w:rPr>
            </w:pPr>
          </w:p>
        </w:tc>
      </w:tr>
      <w:tr w:rsidR="0027143F" w14:paraId="3E872951" w14:textId="77777777">
        <w:trPr>
          <w:jc w:val="center"/>
        </w:trPr>
        <w:tc>
          <w:tcPr>
            <w:tcW w:w="9640" w:type="dxa"/>
            <w:gridSpan w:val="2"/>
          </w:tcPr>
          <w:p w14:paraId="0C629F55" w14:textId="77777777" w:rsidR="0027143F" w:rsidRDefault="00000000">
            <w:pPr>
              <w:pStyle w:val="Nosaukumi"/>
            </w:pPr>
            <w:r>
              <w:t>Periodika un citi informācijas avoti</w:t>
            </w:r>
          </w:p>
        </w:tc>
      </w:tr>
      <w:tr w:rsidR="0027143F" w14:paraId="1DEFA0FA" w14:textId="77777777">
        <w:trPr>
          <w:jc w:val="center"/>
        </w:trPr>
        <w:tc>
          <w:tcPr>
            <w:tcW w:w="9640" w:type="dxa"/>
            <w:gridSpan w:val="2"/>
          </w:tcPr>
          <w:p w14:paraId="6248CD0F" w14:textId="77777777" w:rsidR="0027143F" w:rsidRDefault="00000000">
            <w:pPr>
              <w:spacing w:after="160" w:line="259" w:lineRule="auto"/>
            </w:pPr>
            <w:r>
              <w:rPr>
                <w:i/>
                <w:iCs w:val="0"/>
              </w:rPr>
              <w:t>Jurista Vārds</w:t>
            </w:r>
          </w:p>
        </w:tc>
      </w:tr>
      <w:tr w:rsidR="0027143F" w14:paraId="3B0E1D8C" w14:textId="77777777">
        <w:trPr>
          <w:jc w:val="center"/>
        </w:trPr>
        <w:tc>
          <w:tcPr>
            <w:tcW w:w="9640" w:type="dxa"/>
            <w:gridSpan w:val="2"/>
          </w:tcPr>
          <w:p w14:paraId="0CFF5936" w14:textId="77777777" w:rsidR="0027143F" w:rsidRDefault="00000000">
            <w:pPr>
              <w:pStyle w:val="Nosaukumi"/>
            </w:pPr>
            <w:r>
              <w:t>Piezīmes</w:t>
            </w:r>
          </w:p>
        </w:tc>
      </w:tr>
      <w:tr w:rsidR="0027143F" w14:paraId="73698FBE" w14:textId="77777777">
        <w:trPr>
          <w:trHeight w:val="645"/>
          <w:jc w:val="center"/>
        </w:trPr>
        <w:tc>
          <w:tcPr>
            <w:tcW w:w="9640" w:type="dxa"/>
            <w:gridSpan w:val="2"/>
          </w:tcPr>
          <w:p w14:paraId="27904ECA" w14:textId="77777777" w:rsidR="0027143F" w:rsidRDefault="00000000">
            <w:r>
              <w:t>ABSP “Vides zinātne” A daļas studiju kurss.</w:t>
            </w:r>
          </w:p>
          <w:p w14:paraId="662B676F" w14:textId="77777777" w:rsidR="0027143F" w:rsidRDefault="0027143F">
            <w:pPr>
              <w:rPr>
                <w:bCs w:val="0"/>
                <w:sz w:val="18"/>
                <w:szCs w:val="18"/>
              </w:rPr>
            </w:pPr>
          </w:p>
          <w:p w14:paraId="2A2BF52D" w14:textId="77777777" w:rsidR="0027143F" w:rsidRDefault="00000000">
            <w:r>
              <w:t>Kurss tiek docēts latviešu un angļu valodā</w:t>
            </w:r>
          </w:p>
        </w:tc>
      </w:tr>
    </w:tbl>
    <w:p w14:paraId="33BC6868" w14:textId="77777777" w:rsidR="0027143F" w:rsidRDefault="0027143F"/>
    <w:sectPr w:rsidR="0027143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ADD4F" w14:textId="77777777" w:rsidR="00691D8B" w:rsidRDefault="00691D8B">
      <w:r>
        <w:separator/>
      </w:r>
    </w:p>
  </w:endnote>
  <w:endnote w:type="continuationSeparator" w:id="0">
    <w:p w14:paraId="17CA2AB8" w14:textId="77777777" w:rsidR="00691D8B" w:rsidRDefault="0069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3357B" w14:textId="77777777" w:rsidR="00691D8B" w:rsidRDefault="00691D8B">
      <w:r>
        <w:separator/>
      </w:r>
    </w:p>
  </w:footnote>
  <w:footnote w:type="continuationSeparator" w:id="0">
    <w:p w14:paraId="65B41913" w14:textId="77777777" w:rsidR="00691D8B" w:rsidRDefault="00691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7194AB1"/>
    <w:multiLevelType w:val="singleLevel"/>
    <w:tmpl w:val="A7194AB1"/>
    <w:lvl w:ilvl="0">
      <w:start w:val="1"/>
      <w:numFmt w:val="decimal"/>
      <w:lvlText w:val="%1."/>
      <w:lvlJc w:val="left"/>
      <w:pPr>
        <w:tabs>
          <w:tab w:val="left" w:pos="425"/>
        </w:tabs>
        <w:ind w:left="425" w:hanging="425"/>
      </w:pPr>
      <w:rPr>
        <w:rFonts w:hint="default"/>
        <w:color w:val="auto"/>
      </w:rPr>
    </w:lvl>
  </w:abstractNum>
  <w:abstractNum w:abstractNumId="1" w15:restartNumberingAfterBreak="0">
    <w:nsid w:val="C67DB44F"/>
    <w:multiLevelType w:val="singleLevel"/>
    <w:tmpl w:val="C67DB44F"/>
    <w:lvl w:ilvl="0">
      <w:start w:val="1"/>
      <w:numFmt w:val="decimal"/>
      <w:lvlText w:val="%1."/>
      <w:lvlJc w:val="left"/>
      <w:pPr>
        <w:tabs>
          <w:tab w:val="left" w:pos="425"/>
        </w:tabs>
        <w:ind w:left="425" w:hanging="425"/>
      </w:pPr>
      <w:rPr>
        <w:rFonts w:hint="default"/>
        <w:color w:val="auto"/>
      </w:rPr>
    </w:lvl>
  </w:abstractNum>
  <w:abstractNum w:abstractNumId="2" w15:restartNumberingAfterBreak="0">
    <w:nsid w:val="CF24A6E8"/>
    <w:multiLevelType w:val="singleLevel"/>
    <w:tmpl w:val="CF24A6E8"/>
    <w:lvl w:ilvl="0">
      <w:start w:val="1"/>
      <w:numFmt w:val="decimal"/>
      <w:lvlText w:val="%1."/>
      <w:lvlJc w:val="left"/>
      <w:pPr>
        <w:tabs>
          <w:tab w:val="left" w:pos="425"/>
        </w:tabs>
        <w:ind w:left="425" w:hanging="425"/>
      </w:pPr>
      <w:rPr>
        <w:rFonts w:hint="default"/>
        <w:color w:val="auto"/>
      </w:rPr>
    </w:lvl>
  </w:abstractNum>
  <w:abstractNum w:abstractNumId="3" w15:restartNumberingAfterBreak="0">
    <w:nsid w:val="E9147BBB"/>
    <w:multiLevelType w:val="singleLevel"/>
    <w:tmpl w:val="E9147BBB"/>
    <w:lvl w:ilvl="0">
      <w:start w:val="1"/>
      <w:numFmt w:val="decimal"/>
      <w:lvlText w:val="%1."/>
      <w:lvlJc w:val="left"/>
      <w:pPr>
        <w:tabs>
          <w:tab w:val="left" w:pos="425"/>
        </w:tabs>
        <w:ind w:left="425" w:hanging="425"/>
      </w:pPr>
      <w:rPr>
        <w:rFonts w:hint="default"/>
      </w:rPr>
    </w:lvl>
  </w:abstractNum>
  <w:abstractNum w:abstractNumId="4" w15:restartNumberingAfterBreak="0">
    <w:nsid w:val="0CC865E6"/>
    <w:multiLevelType w:val="singleLevel"/>
    <w:tmpl w:val="0CC865E6"/>
    <w:lvl w:ilvl="0">
      <w:start w:val="1"/>
      <w:numFmt w:val="decimal"/>
      <w:lvlText w:val="%1."/>
      <w:lvlJc w:val="left"/>
      <w:pPr>
        <w:tabs>
          <w:tab w:val="left" w:pos="425"/>
        </w:tabs>
        <w:ind w:left="425" w:hanging="425"/>
      </w:pPr>
      <w:rPr>
        <w:rFonts w:hint="default"/>
        <w:color w:val="auto"/>
      </w:rPr>
    </w:lvl>
  </w:abstractNum>
  <w:abstractNum w:abstractNumId="5" w15:restartNumberingAfterBreak="0">
    <w:nsid w:val="2AF95F19"/>
    <w:multiLevelType w:val="singleLevel"/>
    <w:tmpl w:val="2AF95F19"/>
    <w:lvl w:ilvl="0">
      <w:start w:val="1"/>
      <w:numFmt w:val="decimal"/>
      <w:lvlText w:val="%1."/>
      <w:lvlJc w:val="left"/>
      <w:pPr>
        <w:tabs>
          <w:tab w:val="left" w:pos="425"/>
        </w:tabs>
        <w:ind w:left="425" w:hanging="425"/>
      </w:pPr>
      <w:rPr>
        <w:rFonts w:hint="default"/>
      </w:rPr>
    </w:lvl>
  </w:abstractNum>
  <w:num w:numId="1" w16cid:durableId="583610889">
    <w:abstractNumId w:val="4"/>
  </w:num>
  <w:num w:numId="2" w16cid:durableId="198931111">
    <w:abstractNumId w:val="5"/>
  </w:num>
  <w:num w:numId="3" w16cid:durableId="1816532398">
    <w:abstractNumId w:val="2"/>
  </w:num>
  <w:num w:numId="4" w16cid:durableId="1663705175">
    <w:abstractNumId w:val="1"/>
  </w:num>
  <w:num w:numId="5" w16cid:durableId="323047347">
    <w:abstractNumId w:val="0"/>
  </w:num>
  <w:num w:numId="6" w16cid:durableId="854148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1025DD"/>
    <w:rsid w:val="00105EDA"/>
    <w:rsid w:val="0010616B"/>
    <w:rsid w:val="0019363E"/>
    <w:rsid w:val="001A24AD"/>
    <w:rsid w:val="001B4907"/>
    <w:rsid w:val="001E0FBF"/>
    <w:rsid w:val="001F0B1E"/>
    <w:rsid w:val="001F6481"/>
    <w:rsid w:val="002308DB"/>
    <w:rsid w:val="00244E4B"/>
    <w:rsid w:val="0026747C"/>
    <w:rsid w:val="0027143F"/>
    <w:rsid w:val="00274920"/>
    <w:rsid w:val="00294615"/>
    <w:rsid w:val="002C5002"/>
    <w:rsid w:val="002D5DBE"/>
    <w:rsid w:val="003274F9"/>
    <w:rsid w:val="00350D7C"/>
    <w:rsid w:val="00360579"/>
    <w:rsid w:val="0037069F"/>
    <w:rsid w:val="003820E1"/>
    <w:rsid w:val="003C2FFF"/>
    <w:rsid w:val="003C51CA"/>
    <w:rsid w:val="003E19E1"/>
    <w:rsid w:val="003E46DC"/>
    <w:rsid w:val="003E5FEA"/>
    <w:rsid w:val="00404796"/>
    <w:rsid w:val="00404DD7"/>
    <w:rsid w:val="00446C78"/>
    <w:rsid w:val="00460D5C"/>
    <w:rsid w:val="0047288B"/>
    <w:rsid w:val="0048400B"/>
    <w:rsid w:val="004A6E15"/>
    <w:rsid w:val="004A7387"/>
    <w:rsid w:val="004B0866"/>
    <w:rsid w:val="005122B7"/>
    <w:rsid w:val="0051265C"/>
    <w:rsid w:val="005160BF"/>
    <w:rsid w:val="005513B8"/>
    <w:rsid w:val="00552752"/>
    <w:rsid w:val="00553A4B"/>
    <w:rsid w:val="0056659C"/>
    <w:rsid w:val="005B4646"/>
    <w:rsid w:val="0060200D"/>
    <w:rsid w:val="00612290"/>
    <w:rsid w:val="00620E1B"/>
    <w:rsid w:val="006214C8"/>
    <w:rsid w:val="00632799"/>
    <w:rsid w:val="00673D3E"/>
    <w:rsid w:val="00691D8B"/>
    <w:rsid w:val="00696CB5"/>
    <w:rsid w:val="006D55DE"/>
    <w:rsid w:val="00704340"/>
    <w:rsid w:val="00726C70"/>
    <w:rsid w:val="00751DCB"/>
    <w:rsid w:val="00760109"/>
    <w:rsid w:val="00783D9A"/>
    <w:rsid w:val="00791E37"/>
    <w:rsid w:val="007A38B5"/>
    <w:rsid w:val="007B6B57"/>
    <w:rsid w:val="007E3D54"/>
    <w:rsid w:val="008464B7"/>
    <w:rsid w:val="008655EB"/>
    <w:rsid w:val="00875ADC"/>
    <w:rsid w:val="00877E76"/>
    <w:rsid w:val="00883B37"/>
    <w:rsid w:val="00884D41"/>
    <w:rsid w:val="008B369A"/>
    <w:rsid w:val="008D4CBD"/>
    <w:rsid w:val="008E5127"/>
    <w:rsid w:val="008F5EB7"/>
    <w:rsid w:val="009353D4"/>
    <w:rsid w:val="00941E56"/>
    <w:rsid w:val="0097207C"/>
    <w:rsid w:val="009D7554"/>
    <w:rsid w:val="009E42B8"/>
    <w:rsid w:val="00A029F0"/>
    <w:rsid w:val="00A07BE3"/>
    <w:rsid w:val="00A321A3"/>
    <w:rsid w:val="00A42761"/>
    <w:rsid w:val="00A515E5"/>
    <w:rsid w:val="00A63126"/>
    <w:rsid w:val="00A65099"/>
    <w:rsid w:val="00A87D98"/>
    <w:rsid w:val="00A944FE"/>
    <w:rsid w:val="00AB0B4E"/>
    <w:rsid w:val="00AD1361"/>
    <w:rsid w:val="00B13E94"/>
    <w:rsid w:val="00B262CA"/>
    <w:rsid w:val="00B63418"/>
    <w:rsid w:val="00B6353B"/>
    <w:rsid w:val="00B64581"/>
    <w:rsid w:val="00B64894"/>
    <w:rsid w:val="00B71DE9"/>
    <w:rsid w:val="00B902FC"/>
    <w:rsid w:val="00BB366D"/>
    <w:rsid w:val="00BC05DC"/>
    <w:rsid w:val="00BE747E"/>
    <w:rsid w:val="00C04C6D"/>
    <w:rsid w:val="00C2027E"/>
    <w:rsid w:val="00C2631F"/>
    <w:rsid w:val="00C30123"/>
    <w:rsid w:val="00C37A9B"/>
    <w:rsid w:val="00C62E84"/>
    <w:rsid w:val="00C808F3"/>
    <w:rsid w:val="00CA5A2E"/>
    <w:rsid w:val="00CB1690"/>
    <w:rsid w:val="00CB4C95"/>
    <w:rsid w:val="00CD2138"/>
    <w:rsid w:val="00CD72AC"/>
    <w:rsid w:val="00CE5486"/>
    <w:rsid w:val="00D02DB9"/>
    <w:rsid w:val="00D33B63"/>
    <w:rsid w:val="00D67127"/>
    <w:rsid w:val="00D74308"/>
    <w:rsid w:val="00D91393"/>
    <w:rsid w:val="00DA2EE3"/>
    <w:rsid w:val="00DB0231"/>
    <w:rsid w:val="00DE6F6C"/>
    <w:rsid w:val="00DE7DC0"/>
    <w:rsid w:val="00DF34D0"/>
    <w:rsid w:val="00DF4436"/>
    <w:rsid w:val="00E23D24"/>
    <w:rsid w:val="00E475A0"/>
    <w:rsid w:val="00E843CF"/>
    <w:rsid w:val="00EA090B"/>
    <w:rsid w:val="00EB4279"/>
    <w:rsid w:val="00EC0A0A"/>
    <w:rsid w:val="00ED323F"/>
    <w:rsid w:val="00ED6ACC"/>
    <w:rsid w:val="00EE0515"/>
    <w:rsid w:val="00F04F8C"/>
    <w:rsid w:val="00F21E8E"/>
    <w:rsid w:val="00F53418"/>
    <w:rsid w:val="00F535B0"/>
    <w:rsid w:val="00FA5EA3"/>
    <w:rsid w:val="00FD08F8"/>
    <w:rsid w:val="00FD34EF"/>
    <w:rsid w:val="00FD4D4A"/>
    <w:rsid w:val="00FD585C"/>
    <w:rsid w:val="00FE2DFF"/>
    <w:rsid w:val="00FF3F0D"/>
    <w:rsid w:val="321C6B3E"/>
    <w:rsid w:val="6F0949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2619E"/>
  <w15:docId w15:val="{C9D4F53E-5113-4EB7-8D10-E95BEAD9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Times New Roman" w:hAnsi="Times New Roman" w:cs="Times New Roman"/>
      <w:bCs/>
      <w:iCs/>
      <w:sz w:val="24"/>
      <w:szCs w:val="24"/>
      <w:lang w:eastAsia="en-US"/>
    </w:rPr>
  </w:style>
  <w:style w:type="paragraph" w:styleId="Heading3">
    <w:name w:val="heading 3"/>
    <w:basedOn w:val="Normal"/>
    <w:link w:val="Heading3Char"/>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qFormat/>
    <w:pPr>
      <w:tabs>
        <w:tab w:val="center" w:pos="4153"/>
        <w:tab w:val="right" w:pos="8306"/>
      </w:tabs>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semiHidden/>
    <w:unhideWhenUsed/>
    <w:pPr>
      <w:autoSpaceDE/>
      <w:autoSpaceDN/>
      <w:adjustRightInd/>
      <w:spacing w:before="100" w:beforeAutospacing="1" w:after="100" w:afterAutospacing="1"/>
    </w:pPr>
    <w:rPr>
      <w:rFonts w:eastAsia="Times New Roman"/>
      <w:bCs w:val="0"/>
      <w:iCs w:val="0"/>
      <w:lang w:eastAsia="lv-LV"/>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qFormat/>
    <w:rPr>
      <w:rFonts w:ascii="Times New Roman" w:hAnsi="Times New Roman"/>
      <w:b/>
      <w:sz w:val="24"/>
      <w:lang w:val="lv-LV"/>
    </w:rPr>
  </w:style>
  <w:style w:type="character" w:customStyle="1" w:styleId="HeaderChar">
    <w:name w:val="Header Char"/>
    <w:basedOn w:val="DefaultParagraphFont"/>
    <w:link w:val="Header"/>
    <w:uiPriority w:val="99"/>
    <w:qFormat/>
    <w:rPr>
      <w:rFonts w:ascii="Times New Roman" w:hAnsi="Times New Roman" w:cs="Times New Roman"/>
      <w:bCs/>
      <w:iCs/>
      <w:sz w:val="24"/>
      <w:szCs w:val="24"/>
      <w:lang w:val="lv-LV"/>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link w:val="ListParagraphChar"/>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uiPriority w:val="99"/>
    <w:qFormat/>
    <w:rPr>
      <w:rFonts w:ascii="Times New Roman" w:hAnsi="Times New Roman" w:cs="Times New Roman"/>
      <w:bCs/>
      <w:iCs/>
      <w:sz w:val="24"/>
      <w:szCs w:val="24"/>
      <w:lang w:val="lv-LV"/>
    </w:rPr>
  </w:style>
  <w:style w:type="paragraph" w:customStyle="1" w:styleId="Parasts1">
    <w:name w:val="Parasts1"/>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uiPriority w:val="34"/>
    <w:qFormat/>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Header1">
    <w:name w:val="Header1"/>
    <w:basedOn w:val="Normal"/>
    <w:next w:val="Header"/>
    <w:uiPriority w:val="99"/>
    <w:unhideWhenUsed/>
    <w:qFormat/>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collection/eu-law/eu-case-law.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6983</Words>
  <Characters>3981</Characters>
  <Application>Microsoft Office Word</Application>
  <DocSecurity>0</DocSecurity>
  <Lines>33</Lines>
  <Paragraphs>21</Paragraphs>
  <ScaleCrop>false</ScaleCrop>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4</cp:revision>
  <dcterms:created xsi:type="dcterms:W3CDTF">2024-02-08T11:12:00Z</dcterms:created>
  <dcterms:modified xsi:type="dcterms:W3CDTF">2024-04-09T06:52:00Z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A74B1014CFF747B997955E900AADC942_13</vt:lpwstr>
  </property>
</Properties>
</file>