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pos="1990"/>
        </w:tabs>
        <w:spacing w:before="100" w:line="240" w:lineRule="auto"/>
        <w:ind w:left="1823" w:right="1361" w:firstLine="0"/>
        <w:jc w:val="center"/>
        <w:rPr>
          <w:rFonts w:ascii="Times New Roman" w:cs="Times New Roman" w:eastAsia="Times New Roman" w:hAnsi="Times New Roman"/>
          <w:b w:val="1"/>
          <w:sz w:val="24"/>
          <w:szCs w:val="24"/>
        </w:rPr>
      </w:pPr>
      <w:bookmarkStart w:colFirst="0" w:colLast="0" w:name="_4i7ojhp" w:id="0"/>
      <w:bookmarkEnd w:id="0"/>
      <w:r w:rsidDel="00000000" w:rsidR="00000000" w:rsidRPr="00000000">
        <w:rPr>
          <w:rFonts w:ascii="Times New Roman" w:cs="Times New Roman" w:eastAsia="Times New Roman" w:hAnsi="Times New Roman"/>
          <w:b w:val="1"/>
          <w:sz w:val="24"/>
          <w:szCs w:val="24"/>
          <w:rtl w:val="0"/>
        </w:rPr>
        <w:t xml:space="preserve">Studiju programmas atbilstība kopīgajai studiju programmai noteiktajām prasībām (Augstskolu likuma </w:t>
      </w:r>
      <w:hyperlink r:id="rId6">
        <w:r w:rsidDel="00000000" w:rsidR="00000000" w:rsidRPr="00000000">
          <w:rPr>
            <w:rFonts w:ascii="Times New Roman" w:cs="Times New Roman" w:eastAsia="Times New Roman" w:hAnsi="Times New Roman"/>
            <w:b w:val="1"/>
            <w:sz w:val="24"/>
            <w:szCs w:val="24"/>
            <w:u w:val="single"/>
            <w:rtl w:val="0"/>
          </w:rPr>
          <w:t xml:space="preserve">55.1 pants</w:t>
        </w:r>
      </w:hyperlink>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02">
      <w:pPr>
        <w:widowControl w:val="0"/>
        <w:spacing w:before="3"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9923.0" w:type="dxa"/>
        <w:jc w:val="left"/>
        <w:tblInd w:w="4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592"/>
        <w:gridCol w:w="4623"/>
        <w:tblGridChange w:id="0">
          <w:tblGrid>
            <w:gridCol w:w="708"/>
            <w:gridCol w:w="4592"/>
            <w:gridCol w:w="4623"/>
          </w:tblGrid>
        </w:tblGridChange>
      </w:tblGrid>
      <w:tr>
        <w:trPr>
          <w:cantSplit w:val="0"/>
          <w:trHeight w:val="460" w:hRule="atLeast"/>
          <w:tblHeader w:val="0"/>
        </w:trPr>
        <w:tc>
          <w:tcPr>
            <w:shd w:fill="b4c5e7" w:val="clear"/>
          </w:tcPr>
          <w:p w:rsidR="00000000" w:rsidDel="00000000" w:rsidP="00000000" w:rsidRDefault="00000000" w:rsidRPr="00000000" w14:paraId="00000003">
            <w:pPr>
              <w:widowControl w:val="0"/>
              <w:spacing w:line="230" w:lineRule="auto"/>
              <w:ind w:left="270" w:right="105" w:hanging="142"/>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Nr.p. k.</w:t>
            </w:r>
          </w:p>
        </w:tc>
        <w:tc>
          <w:tcPr>
            <w:shd w:fill="b4c5e7" w:val="clear"/>
          </w:tcPr>
          <w:p w:rsidR="00000000" w:rsidDel="00000000" w:rsidP="00000000" w:rsidRDefault="00000000" w:rsidRPr="00000000" w14:paraId="00000004">
            <w:pPr>
              <w:widowControl w:val="0"/>
              <w:spacing w:before="113" w:line="240" w:lineRule="auto"/>
              <w:ind w:left="1914" w:right="1905"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Kritēriji</w:t>
            </w:r>
          </w:p>
        </w:tc>
        <w:tc>
          <w:tcPr>
            <w:shd w:fill="b4c5e7" w:val="clear"/>
          </w:tcPr>
          <w:p w:rsidR="00000000" w:rsidDel="00000000" w:rsidP="00000000" w:rsidRDefault="00000000" w:rsidRPr="00000000" w14:paraId="00000005">
            <w:pPr>
              <w:widowControl w:val="0"/>
              <w:spacing w:before="113" w:line="240" w:lineRule="auto"/>
              <w:ind w:left="1694" w:right="168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Atbilstība</w:t>
            </w:r>
          </w:p>
        </w:tc>
      </w:tr>
      <w:tr>
        <w:trPr>
          <w:cantSplit w:val="0"/>
          <w:trHeight w:val="1010" w:hRule="atLeast"/>
          <w:tblHeader w:val="0"/>
        </w:trPr>
        <w:tc>
          <w:tcPr/>
          <w:p w:rsidR="00000000" w:rsidDel="00000000" w:rsidP="00000000" w:rsidRDefault="00000000" w:rsidRPr="00000000" w14:paraId="00000006">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07">
            <w:pPr>
              <w:widowControl w:val="0"/>
              <w:spacing w:line="240" w:lineRule="auto"/>
              <w:ind w:left="10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Augstskola vai koledža kopā ar partnerinstitūciju/-ām ir noslēgusi rakstisku vienošanos par kopīgas studiju programmas</w:t>
            </w:r>
          </w:p>
          <w:p w:rsidR="00000000" w:rsidDel="00000000" w:rsidP="00000000" w:rsidRDefault="00000000" w:rsidRPr="00000000" w14:paraId="00000008">
            <w:pPr>
              <w:widowControl w:val="0"/>
              <w:spacing w:line="237"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īstenošanu</w:t>
            </w:r>
          </w:p>
        </w:tc>
        <w:tc>
          <w:tcPr/>
          <w:p w:rsidR="00000000" w:rsidDel="00000000" w:rsidP="00000000" w:rsidRDefault="00000000" w:rsidRPr="00000000" w14:paraId="00000009">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Starp LU un DU kā partnerinstitūcijām kopīgas programmas izstrādē un īstenošanu ir noslēgta vienošanās, kas pievienota ziņojumam kā</w:t>
            </w:r>
          </w:p>
          <w:p w:rsidR="00000000" w:rsidDel="00000000" w:rsidP="00000000" w:rsidRDefault="00000000" w:rsidRPr="00000000" w14:paraId="0000000A">
            <w:pPr>
              <w:widowControl w:val="0"/>
              <w:spacing w:line="237"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pielikums</w:t>
            </w:r>
          </w:p>
        </w:tc>
      </w:tr>
      <w:tr>
        <w:trPr>
          <w:cantSplit w:val="0"/>
          <w:trHeight w:val="760" w:hRule="atLeast"/>
          <w:tblHeader w:val="0"/>
        </w:trPr>
        <w:tc>
          <w:tcPr/>
          <w:p w:rsidR="00000000" w:rsidDel="00000000" w:rsidP="00000000" w:rsidRDefault="00000000" w:rsidRPr="00000000" w14:paraId="0000000B">
            <w:pPr>
              <w:widowControl w:val="0"/>
              <w:spacing w:line="249"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0C">
            <w:pPr>
              <w:widowControl w:val="0"/>
              <w:spacing w:line="248.00000000000006"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programmu veido augstskolas un</w:t>
            </w:r>
          </w:p>
          <w:p w:rsidR="00000000" w:rsidDel="00000000" w:rsidP="00000000" w:rsidRDefault="00000000" w:rsidRPr="00000000" w14:paraId="0000000D">
            <w:pPr>
              <w:widowControl w:val="0"/>
              <w:spacing w:line="252.00000000000003" w:lineRule="auto"/>
              <w:ind w:left="107" w:right="441"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partnerinstitūciju vienāda augstākās izglītības līmeņa studiju programmu daļas</w:t>
            </w:r>
          </w:p>
        </w:tc>
        <w:tc>
          <w:tcPr/>
          <w:p w:rsidR="00000000" w:rsidDel="00000000" w:rsidP="00000000" w:rsidRDefault="00000000" w:rsidRPr="00000000" w14:paraId="0000000E">
            <w:pPr>
              <w:widowControl w:val="0"/>
              <w:spacing w:line="248.00000000000006"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programmu veido LU un DU, kur abās</w:t>
            </w:r>
          </w:p>
          <w:p w:rsidR="00000000" w:rsidDel="00000000" w:rsidP="00000000" w:rsidRDefault="00000000" w:rsidRPr="00000000" w14:paraId="0000000F">
            <w:pPr>
              <w:widowControl w:val="0"/>
              <w:spacing w:line="252.00000000000003" w:lineRule="auto"/>
              <w:ind w:left="107" w:right="2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augstskolās programma tiks realizēta kā doktora studiju programma “Vēsture un arheoloģija”</w:t>
            </w:r>
          </w:p>
        </w:tc>
      </w:tr>
      <w:tr>
        <w:trPr>
          <w:cantSplit w:val="0"/>
          <w:trHeight w:val="1012" w:hRule="atLeast"/>
          <w:tblHeader w:val="0"/>
        </w:trPr>
        <w:tc>
          <w:tcPr/>
          <w:p w:rsidR="00000000" w:rsidDel="00000000" w:rsidP="00000000" w:rsidRDefault="00000000" w:rsidRPr="00000000" w14:paraId="00000010">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11">
            <w:pPr>
              <w:widowControl w:val="0"/>
              <w:spacing w:line="240" w:lineRule="auto"/>
              <w:ind w:left="107" w:right="46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programmas īstenošanā iesaistītā augstskola un partnerinstitūcijas katra īsteno vismaz vienu desmito daļu no visas attiecīgās</w:t>
            </w:r>
          </w:p>
          <w:p w:rsidR="00000000" w:rsidDel="00000000" w:rsidP="00000000" w:rsidRDefault="00000000" w:rsidRPr="00000000" w14:paraId="00000012">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programmas</w:t>
            </w:r>
          </w:p>
        </w:tc>
        <w:tc>
          <w:tcPr/>
          <w:p w:rsidR="00000000" w:rsidDel="00000000" w:rsidP="00000000" w:rsidRDefault="00000000" w:rsidRPr="00000000" w14:paraId="00000013">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programmas realizācijā iesaistītas divas augstskolas, kur attiecīgi apmēram 70 % katra universitāte īsteno neatkarīgi</w:t>
            </w:r>
          </w:p>
        </w:tc>
      </w:tr>
      <w:tr>
        <w:trPr>
          <w:cantSplit w:val="0"/>
          <w:trHeight w:val="2781" w:hRule="atLeast"/>
          <w:tblHeader w:val="0"/>
        </w:trPr>
        <w:tc>
          <w:tcPr/>
          <w:p w:rsidR="00000000" w:rsidDel="00000000" w:rsidP="00000000" w:rsidRDefault="00000000" w:rsidRPr="00000000" w14:paraId="00000014">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15">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Vienotas prasības attiecībā uz kopīgās studiju programmas īstenošanu, noslēguma pārbaudījumiem, studijās iegūstamo grādu un profesionālās kvalifikācijas piešķiršanu. Kopīgās studiju programmas daļas kopā veido saturiski vienotu un secīgu kopīgu studiju programmu</w:t>
            </w:r>
          </w:p>
        </w:tc>
        <w:tc>
          <w:tcPr/>
          <w:p w:rsidR="00000000" w:rsidDel="00000000" w:rsidP="00000000" w:rsidRDefault="00000000" w:rsidRPr="00000000" w14:paraId="00000016">
            <w:pPr>
              <w:widowControl w:val="0"/>
              <w:spacing w:line="240" w:lineRule="auto"/>
              <w:ind w:left="107" w:right="15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programma ir veidota nosakot vienādus studiju kursu veidošanas un vērtēšanas principus abu iesaistīto augstskolu realizētajiem studiju kursiem. Studiju kursu apraksti ir veidoti vienlaicīgi abu augstskolu apstiprinātajās formās. Programmas saturs veidots tā, lai studiju kursi veidotu secīgu zināšanu un prasmju ieguvi, neatkarīgi no tā, kura augstskola realizē konkrēto studiju kursu. Studiju kursu plānotais saturs ir saskaņots gan ar LU, gan DU, lai nodrošinātu, ka</w:t>
            </w:r>
          </w:p>
          <w:p w:rsidR="00000000" w:rsidDel="00000000" w:rsidP="00000000" w:rsidRDefault="00000000" w:rsidRPr="00000000" w14:paraId="00000017">
            <w:pPr>
              <w:widowControl w:val="0"/>
              <w:spacing w:line="238"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nenotiek nevajadzīgi tēmu atkārtošanās.</w:t>
            </w:r>
          </w:p>
        </w:tc>
      </w:tr>
      <w:tr>
        <w:trPr>
          <w:cantSplit w:val="0"/>
          <w:trHeight w:val="1519" w:hRule="atLeast"/>
          <w:tblHeader w:val="0"/>
        </w:trPr>
        <w:tc>
          <w:tcPr/>
          <w:p w:rsidR="00000000" w:rsidDel="00000000" w:rsidP="00000000" w:rsidRDefault="00000000" w:rsidRPr="00000000" w14:paraId="00000018">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19">
            <w:pPr>
              <w:widowControl w:val="0"/>
              <w:spacing w:line="240" w:lineRule="auto"/>
              <w:ind w:left="107" w:right="75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Augstskola un partnerinstitūcijas ir kopīgi izveidojušas kopīgās studiju programmas kvalitātes nodrošināšanas sistēmu</w:t>
            </w:r>
          </w:p>
        </w:tc>
        <w:tc>
          <w:tcPr/>
          <w:p w:rsidR="00000000" w:rsidDel="00000000" w:rsidP="00000000" w:rsidRDefault="00000000" w:rsidRPr="00000000" w14:paraId="0000001A">
            <w:pPr>
              <w:widowControl w:val="0"/>
              <w:spacing w:line="240" w:lineRule="auto"/>
              <w:ind w:left="107" w:right="229"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Gan LU, gan DU ir savas kvalitātes nodrošināšanas sistēmas, ir panākta izpratne par kopīgiem kvalitātes nodrošināšanas un kontroles principiem studiju programmā. Kvalitātes</w:t>
            </w:r>
          </w:p>
          <w:p w:rsidR="00000000" w:rsidDel="00000000" w:rsidP="00000000" w:rsidRDefault="00000000" w:rsidRPr="00000000" w14:paraId="0000001B">
            <w:pPr>
              <w:widowControl w:val="0"/>
              <w:spacing w:line="252.00000000000003" w:lineRule="auto"/>
              <w:ind w:left="107" w:right="28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nodrošināšanas sistēmas apraksts un koncepcija pieejama ziņojuma 3.3. sadaļā.</w:t>
            </w:r>
          </w:p>
        </w:tc>
      </w:tr>
      <w:tr>
        <w:trPr>
          <w:cantSplit w:val="0"/>
          <w:trHeight w:val="1770" w:hRule="atLeast"/>
          <w:tblHeader w:val="0"/>
        </w:trPr>
        <w:tc>
          <w:tcPr/>
          <w:p w:rsidR="00000000" w:rsidDel="00000000" w:rsidP="00000000" w:rsidRDefault="00000000" w:rsidRPr="00000000" w14:paraId="0000001C">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1D">
            <w:pPr>
              <w:widowControl w:val="0"/>
              <w:spacing w:line="240" w:lineRule="auto"/>
              <w:ind w:left="107" w:right="281"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 nodrošināta studējošo mobilitāte, kas ļauj apgūt kopīgās studiju programmas samērīgu un būtisku daļu arī vienā vai vairākās partnerinstitūcijās</w:t>
            </w:r>
          </w:p>
        </w:tc>
        <w:tc>
          <w:tcPr/>
          <w:p w:rsidR="00000000" w:rsidDel="00000000" w:rsidP="00000000" w:rsidRDefault="00000000" w:rsidRPr="00000000" w14:paraId="0000001E">
            <w:pPr>
              <w:widowControl w:val="0"/>
              <w:spacing w:line="240" w:lineRule="auto"/>
              <w:ind w:left="107" w:right="22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Studiju kursu plānojums veidots tā, ka studējošiem ir jāapgūst studiju kurss tajā augstskolā, kura ir atbildīga par konkrētā studiju kursa realizāciju. Turklāt lekciju plānojums tiks veidots tā, lai studentiem būtu iespēja reāli apmeklēt tiem paredzētās nodarbības abās</w:t>
            </w:r>
          </w:p>
          <w:p w:rsidR="00000000" w:rsidDel="00000000" w:rsidP="00000000" w:rsidRDefault="00000000" w:rsidRPr="00000000" w14:paraId="0000001F">
            <w:pPr>
              <w:widowControl w:val="0"/>
              <w:spacing w:line="239"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partnerinstitūcijās</w:t>
            </w:r>
          </w:p>
        </w:tc>
      </w:tr>
      <w:tr>
        <w:trPr>
          <w:cantSplit w:val="0"/>
          <w:trHeight w:val="1265" w:hRule="atLeast"/>
          <w:tblHeader w:val="0"/>
        </w:trPr>
        <w:tc>
          <w:tcPr/>
          <w:p w:rsidR="00000000" w:rsidDel="00000000" w:rsidP="00000000" w:rsidRDefault="00000000" w:rsidRPr="00000000" w14:paraId="00000020">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21">
            <w:pPr>
              <w:widowControl w:val="0"/>
              <w:spacing w:line="240" w:lineRule="auto"/>
              <w:ind w:left="107" w:right="25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 nodrošināta akadēmiskā personāla mobilitāte, lai tas varētu mācīt arī vismaz vienā partnerinstitūcijā</w:t>
            </w:r>
          </w:p>
        </w:tc>
        <w:tc>
          <w:tcPr/>
          <w:p w:rsidR="00000000" w:rsidDel="00000000" w:rsidP="00000000" w:rsidRDefault="00000000" w:rsidRPr="00000000" w14:paraId="00000022">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Gan LU, gan DU otras partnerinstitūcijas mācībspēkiem tiks nodrošināta piekļuve gan e- studiju videi studiju kursu docēšanas vajadzībām, gan arī piekļuve telpām, kurās norisināsies</w:t>
            </w:r>
          </w:p>
          <w:p w:rsidR="00000000" w:rsidDel="00000000" w:rsidP="00000000" w:rsidRDefault="00000000" w:rsidRPr="00000000" w14:paraId="00000023">
            <w:pPr>
              <w:widowControl w:val="0"/>
              <w:spacing w:line="238"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nodarbības.</w:t>
            </w:r>
          </w:p>
        </w:tc>
      </w:tr>
      <w:tr>
        <w:trPr>
          <w:cantSplit w:val="0"/>
          <w:trHeight w:val="1264" w:hRule="atLeast"/>
          <w:tblHeader w:val="0"/>
        </w:trPr>
        <w:tc>
          <w:tcPr/>
          <w:p w:rsidR="00000000" w:rsidDel="00000000" w:rsidP="00000000" w:rsidRDefault="00000000" w:rsidRPr="00000000" w14:paraId="00000024">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p w:rsidR="00000000" w:rsidDel="00000000" w:rsidP="00000000" w:rsidRDefault="00000000" w:rsidRPr="00000000" w14:paraId="00000025">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 noteikts kopīgās studiju programmas apguves rezultātā piešķiramais grāds vai profesionālā kvalifikācija, kas atbilst Latvijas normatīvajos aktos noteiktajai studijās iegūstamo grādu vai</w:t>
            </w:r>
          </w:p>
          <w:p w:rsidR="00000000" w:rsidDel="00000000" w:rsidP="00000000" w:rsidRDefault="00000000" w:rsidRPr="00000000" w14:paraId="00000026">
            <w:pPr>
              <w:widowControl w:val="0"/>
              <w:spacing w:line="238"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profesionālās kvalifikācijas sistēmai</w:t>
            </w:r>
          </w:p>
        </w:tc>
        <w:tc>
          <w:tcPr/>
          <w:p w:rsidR="00000000" w:rsidDel="00000000" w:rsidP="00000000" w:rsidRDefault="00000000" w:rsidRPr="00000000" w14:paraId="00000027">
            <w:pPr>
              <w:widowControl w:val="0"/>
              <w:spacing w:line="240" w:lineRule="auto"/>
              <w:ind w:left="107" w:right="39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Programmas apguves (pēc promocijas darba aizstāvēšanas ) rezultātā absolventiem tiks piešķirts </w:t>
            </w:r>
            <w:r w:rsidDel="00000000" w:rsidR="00000000" w:rsidRPr="00000000">
              <w:rPr>
                <w:rFonts w:ascii="Times New Roman" w:cs="Times New Roman" w:eastAsia="Times New Roman" w:hAnsi="Times New Roman"/>
                <w:sz w:val="24"/>
                <w:szCs w:val="24"/>
                <w:rtl w:val="0"/>
              </w:rPr>
              <w:t xml:space="preserve">zinātnes doktora grāds zinātnes doktors (-e) (</w:t>
            </w:r>
            <w:r w:rsidDel="00000000" w:rsidR="00000000" w:rsidRPr="00000000">
              <w:rPr>
                <w:rFonts w:ascii="Times New Roman" w:cs="Times New Roman" w:eastAsia="Times New Roman" w:hAnsi="Times New Roman"/>
                <w:i w:val="1"/>
                <w:sz w:val="24"/>
                <w:szCs w:val="24"/>
                <w:rtl w:val="0"/>
              </w:rPr>
              <w:t xml:space="preserve">Ph.D.</w:t>
            </w:r>
            <w:r w:rsidDel="00000000" w:rsidR="00000000" w:rsidRPr="00000000">
              <w:rPr>
                <w:rFonts w:ascii="Times New Roman" w:cs="Times New Roman" w:eastAsia="Times New Roman" w:hAnsi="Times New Roman"/>
                <w:sz w:val="24"/>
                <w:szCs w:val="24"/>
                <w:rtl w:val="0"/>
              </w:rPr>
              <w:t xml:space="preserve">) vēsturē un arheoloģijā</w:t>
            </w:r>
          </w:p>
        </w:tc>
      </w:tr>
      <w:tr>
        <w:trPr>
          <w:cantSplit w:val="0"/>
          <w:trHeight w:val="1012" w:hRule="atLeast"/>
          <w:tblHeader w:val="0"/>
        </w:trPr>
        <w:tc>
          <w:tcPr/>
          <w:p w:rsidR="00000000" w:rsidDel="00000000" w:rsidP="00000000" w:rsidRDefault="00000000" w:rsidRPr="00000000" w14:paraId="00000028">
            <w:pPr>
              <w:widowControl w:val="0"/>
              <w:spacing w:line="246.99999999999994" w:lineRule="auto"/>
              <w:ind w:right="261"/>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p w:rsidR="00000000" w:rsidDel="00000000" w:rsidP="00000000" w:rsidRDefault="00000000" w:rsidRPr="00000000" w14:paraId="00000029">
            <w:pPr>
              <w:widowControl w:val="0"/>
              <w:spacing w:line="240" w:lineRule="auto"/>
              <w:ind w:left="107" w:right="42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 noteikts augstskolas un partnerinstitūciju kopīgi izsniedzamā diploma, kā arī diplomam pievienotā pielikuma saturs, kas atbilst MK</w:t>
            </w:r>
          </w:p>
          <w:p w:rsidR="00000000" w:rsidDel="00000000" w:rsidP="00000000" w:rsidRDefault="00000000" w:rsidRPr="00000000" w14:paraId="0000002A">
            <w:pPr>
              <w:widowControl w:val="0"/>
              <w:spacing w:line="238"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noteikumiem “Kārtība, kādā izsniedz valsts atzītus augstāko izglītību apliecinošus</w:t>
            </w:r>
          </w:p>
          <w:p w:rsidR="00000000" w:rsidDel="00000000" w:rsidP="00000000" w:rsidRDefault="00000000" w:rsidRPr="00000000" w14:paraId="0000002B">
            <w:pPr>
              <w:widowControl w:val="0"/>
              <w:spacing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dokumentus”</w:t>
            </w:r>
          </w:p>
        </w:tc>
        <w:tc>
          <w:tcPr/>
          <w:p w:rsidR="00000000" w:rsidDel="00000000" w:rsidP="00000000" w:rsidRDefault="00000000" w:rsidRPr="00000000" w14:paraId="0000002C">
            <w:pPr>
              <w:widowControl w:val="0"/>
              <w:spacing w:line="242" w:lineRule="auto"/>
              <w:ind w:left="107" w:right="191"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 pievienoti abu augstskolu akadēmiskās izziņas paraugi un kopīgā diploma paraugs,</w:t>
            </w:r>
          </w:p>
        </w:tc>
      </w:tr>
    </w:tbl>
    <w:p w:rsidR="00000000" w:rsidDel="00000000" w:rsidP="00000000" w:rsidRDefault="00000000" w:rsidRPr="00000000" w14:paraId="0000002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ikumi.lv/ta/id/37967-augstskolu-likums#p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