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D787930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3D6699">
              <w:t>Maģistra darba seminārs</w:t>
            </w:r>
            <w:r w:rsidR="00530086" w:rsidRPr="00530086">
              <w:t xml:space="preserve"> (avotu analīze)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11982ADF" w:rsidR="001E37E7" w:rsidRPr="0093308E" w:rsidRDefault="00530086" w:rsidP="007534EA">
            <w:pPr>
              <w:rPr>
                <w:lang w:eastAsia="lv-LV"/>
              </w:rPr>
            </w:pPr>
            <w:permStart w:id="1078017356" w:edGrp="everyone"/>
            <w:r w:rsidRPr="00530086">
              <w:t>Vēst5027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C5DFF2C" w:rsidR="001E37E7" w:rsidRPr="0093308E" w:rsidRDefault="00530086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314567E" w:rsidR="001E37E7" w:rsidRPr="0093308E" w:rsidRDefault="006E1AA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E52EE5C" w:rsidR="00391B74" w:rsidRPr="0093308E" w:rsidRDefault="00530086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38532E9" w:rsidR="00632863" w:rsidRPr="0093308E" w:rsidRDefault="00530086" w:rsidP="007534EA">
            <w:permStart w:id="1082486305" w:edGrp="everyone"/>
            <w:r>
              <w:t>30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06DDECA" w:rsidR="00BB3CCC" w:rsidRPr="0093308E" w:rsidRDefault="0047786F" w:rsidP="007534EA">
                <w:sdt>
                  <w:sdtPr>
                    <w:id w:val="-750195900"/>
                    <w:placeholder>
                      <w:docPart w:val="D60CFC758F0D49658753FE163B29225A"/>
                    </w:placeholder>
                  </w:sdtPr>
                  <w:sdtEndPr/>
                  <w:sdtContent>
                    <w:r w:rsidR="00530086" w:rsidRPr="00530086">
                      <w:t xml:space="preserve">Dr. theol., prof. Anita </w:t>
                    </w:r>
                    <w:proofErr w:type="spellStart"/>
                    <w:r w:rsidR="00530086" w:rsidRPr="00530086">
                      <w:t>Stašulāne</w:t>
                    </w:r>
                    <w:proofErr w:type="spellEnd"/>
                  </w:sdtContent>
                </w:sdt>
                <w:r w:rsidR="00E20AF5"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4B3B2CF" w:rsidR="00FD6E2F" w:rsidRPr="007534EA" w:rsidRDefault="0047786F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sdt>
                  <w:sdtPr>
                    <w:id w:val="-831684310"/>
                    <w:placeholder>
                      <w:docPart w:val="20A337C236F547C8AE5EB0B968D06E91"/>
                    </w:placeholder>
                  </w:sdtPr>
                  <w:sdtEndPr/>
                  <w:sdtContent>
                    <w:r w:rsidR="00530086" w:rsidRPr="00530086">
                      <w:t xml:space="preserve">Dr. theol., prof. Anita </w:t>
                    </w:r>
                    <w:proofErr w:type="spellStart"/>
                    <w:r w:rsidR="00530086" w:rsidRPr="00530086">
                      <w:t>Stašulāne</w:t>
                    </w:r>
                    <w:proofErr w:type="spellEnd"/>
                  </w:sdtContent>
                </w:sdt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B64932B" w:rsidR="00BB3CCC" w:rsidRPr="0093308E" w:rsidRDefault="00E20AF5" w:rsidP="007534EA">
            <w:permStart w:id="1804483927" w:edGrp="everyone"/>
            <w:r>
              <w:t xml:space="preserve"> </w:t>
            </w:r>
            <w:r w:rsidR="00813D77">
              <w:t xml:space="preserve">Nav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B65E3CC" w:rsidR="008B7213" w:rsidRPr="008B7213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530086" w:rsidRPr="00530086">
              <w:t>palīdzēt studentiem īstenot pētījumu vēsturē, attīstot viņu prasmes veikt vēstures pētniecības darbu, izmantojot dažādu avotu datus un kvalitatīvās pētniecības metodes.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2612F326" w14:textId="41E962C8" w:rsidR="00530086" w:rsidRPr="00530086" w:rsidRDefault="00530086" w:rsidP="00530086">
            <w:r>
              <w:t xml:space="preserve">- </w:t>
            </w:r>
            <w:r w:rsidRPr="00530086">
              <w:t>apzināt dažādus avotus kā vēsturiskas liecības;</w:t>
            </w:r>
          </w:p>
          <w:p w14:paraId="4006B6B2" w14:textId="72823C2F" w:rsidR="00530086" w:rsidRPr="00530086" w:rsidRDefault="00530086" w:rsidP="00530086">
            <w:r>
              <w:t xml:space="preserve">- </w:t>
            </w:r>
            <w:r w:rsidRPr="001C6287">
              <w:t xml:space="preserve">sniegt padziļinātu izpratni par </w:t>
            </w:r>
            <w:r w:rsidRPr="00530086">
              <w:t>vēstures pētniecības metodoloģiju un tās pielietošanu;</w:t>
            </w:r>
          </w:p>
          <w:p w14:paraId="5C9BA5DA" w14:textId="7D4C2F8F" w:rsidR="00530086" w:rsidRPr="00530086" w:rsidRDefault="00530086" w:rsidP="00530086">
            <w:r>
              <w:t xml:space="preserve">- </w:t>
            </w:r>
            <w:r w:rsidRPr="00530086">
              <w:t>attīstīt studentu prasmes pielietot kvalitatīvās pētniecības metodes;</w:t>
            </w:r>
          </w:p>
          <w:p w14:paraId="5A367835" w14:textId="56F21C82" w:rsidR="00530086" w:rsidRPr="00530086" w:rsidRDefault="00530086" w:rsidP="00530086">
            <w:r>
              <w:t>- sniegt</w:t>
            </w:r>
            <w:r w:rsidRPr="00530086">
              <w:t xml:space="preserve"> iespēju integrēt dažādas pētniecības metodoloģijas un metodes maģistra darbā;</w:t>
            </w:r>
          </w:p>
          <w:p w14:paraId="76AE6530" w14:textId="099A14DF" w:rsidR="00530086" w:rsidRPr="00530086" w:rsidRDefault="00530086" w:rsidP="00530086">
            <w:r>
              <w:t xml:space="preserve">- </w:t>
            </w:r>
            <w:r w:rsidRPr="001C6287">
              <w:t>stimulēt studentus integrēt savu iepriekšējo pieredzi un zināšan</w:t>
            </w:r>
            <w:r w:rsidRPr="00530086">
              <w:t>as, tādējādi attīstot sistēmisku un uz pētījumiem balstītu pieeju profesionālo jautājumu risināšanai.</w:t>
            </w:r>
          </w:p>
          <w:p w14:paraId="1090AECB" w14:textId="77777777" w:rsidR="008B7213" w:rsidRPr="008B7213" w:rsidRDefault="008B7213" w:rsidP="008B7213"/>
          <w:p w14:paraId="59702CEF" w14:textId="5A7EA0C7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3D6699" w:rsidRPr="008B030A">
              <w:t>docētāja</w:t>
            </w:r>
            <w:r w:rsidRPr="008B030A">
              <w:t xml:space="preserve">  </w:t>
            </w:r>
            <w:r w:rsidR="003D6699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78F288CC" w14:textId="77777777" w:rsidR="00530086" w:rsidRPr="00530086" w:rsidRDefault="00530086" w:rsidP="00530086">
            <w:permStart w:id="44596525" w:edGrp="everyone"/>
            <w:r>
              <w:t>Lekcijas 2</w:t>
            </w:r>
            <w:r w:rsidRPr="00530086">
              <w:t xml:space="preserve"> st., semināri 30 st., patstāvīgais darbs 48st.</w:t>
            </w:r>
          </w:p>
          <w:p w14:paraId="0B76E064" w14:textId="77777777" w:rsidR="00530086" w:rsidRPr="00C413E2" w:rsidRDefault="00530086" w:rsidP="00530086"/>
          <w:p w14:paraId="6A8B0D8E" w14:textId="77777777" w:rsidR="00530086" w:rsidRPr="00530086" w:rsidRDefault="00530086" w:rsidP="00530086">
            <w:r w:rsidRPr="00530086">
              <w:t>I. Ievads. L2 S2</w:t>
            </w:r>
          </w:p>
          <w:p w14:paraId="7393E762" w14:textId="77777777" w:rsidR="00530086" w:rsidRPr="00530086" w:rsidRDefault="00530086" w:rsidP="00530086">
            <w:r w:rsidRPr="00530086">
              <w:t>II. Dažādi avoti kā vēsturiskas liecības. S6</w:t>
            </w:r>
          </w:p>
          <w:p w14:paraId="28A3479B" w14:textId="77777777" w:rsidR="00813D77" w:rsidRDefault="00530086" w:rsidP="007534EA">
            <w:r w:rsidRPr="00530086">
              <w:t>III. Kvalitatīvā pētījuma raksturojums. S22</w:t>
            </w:r>
          </w:p>
          <w:p w14:paraId="36353CC6" w14:textId="1B65BA28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54B5A612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7F144E9" w14:textId="0CEA163F" w:rsidR="00530086" w:rsidRPr="00530086" w:rsidRDefault="00530086" w:rsidP="00530086">
                      <w:r>
                        <w:t xml:space="preserve">1. </w:t>
                      </w:r>
                      <w:r w:rsidRPr="00530086">
                        <w:t>Izprot kvalitatīvā pētījuma pieejas un to pielietojumu.</w:t>
                      </w:r>
                    </w:p>
                    <w:p w14:paraId="3DED77F6" w14:textId="71031F12" w:rsidR="00530086" w:rsidRPr="00530086" w:rsidRDefault="00530086" w:rsidP="00530086">
                      <w:r>
                        <w:t xml:space="preserve">2. </w:t>
                      </w:r>
                      <w:r w:rsidRPr="00530086">
                        <w:t>Veic avotu atlasi un to kritisku izvērtēšanu.</w:t>
                      </w:r>
                    </w:p>
                    <w:p w14:paraId="4CBBEB85" w14:textId="77777777" w:rsidR="007D4849" w:rsidRDefault="00530086" w:rsidP="007D4849">
                      <w:r>
                        <w:t xml:space="preserve">3. </w:t>
                      </w:r>
                      <w:r w:rsidRPr="00530086">
                        <w:t>Pārzina pētījuma teorētiskā pamatojuma un empīriskās daļas izstrādi.</w:t>
                      </w:r>
                    </w:p>
                    <w:p w14:paraId="0C0ABCA7" w14:textId="26B6C54D" w:rsidR="00E531F9" w:rsidRPr="007D4849" w:rsidRDefault="00E531F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AAA839C" w14:textId="1D3D5396" w:rsidR="00530086" w:rsidRPr="00530086" w:rsidRDefault="00530086" w:rsidP="00530086">
                      <w:r>
                        <w:t xml:space="preserve">4. </w:t>
                      </w:r>
                      <w:r w:rsidRPr="00530086">
                        <w:t>Atlasa pētījumam atbilstošos avotus, tos kritiski novērtē un analizē.</w:t>
                      </w:r>
                    </w:p>
                    <w:p w14:paraId="5A87E118" w14:textId="3FA49722" w:rsidR="00530086" w:rsidRPr="00530086" w:rsidRDefault="00530086" w:rsidP="00530086">
                      <w:r>
                        <w:t xml:space="preserve">5. </w:t>
                      </w:r>
                      <w:r w:rsidRPr="00530086">
                        <w:t xml:space="preserve">Salīdzina dažādas </w:t>
                      </w:r>
                      <w:proofErr w:type="spellStart"/>
                      <w:r w:rsidRPr="00530086">
                        <w:t>kvatitatīvās</w:t>
                      </w:r>
                      <w:proofErr w:type="spellEnd"/>
                      <w:r w:rsidRPr="00530086">
                        <w:t xml:space="preserve"> pētniecības pieejas pētījuma problēmas risināšanā.</w:t>
                      </w:r>
                    </w:p>
                    <w:p w14:paraId="29D3455D" w14:textId="4BC9AB4A" w:rsidR="00530086" w:rsidRPr="00530086" w:rsidRDefault="00530086" w:rsidP="00530086">
                      <w:r>
                        <w:t>6. Spēj</w:t>
                      </w:r>
                      <w:r w:rsidRPr="00530086">
                        <w:t xml:space="preserve"> patstāvīgi izvēlēties un izstrādāt problēmai atbilstošu pētījuma dizainu.</w:t>
                      </w:r>
                    </w:p>
                    <w:p w14:paraId="2918CCFD" w14:textId="2AB988AE" w:rsidR="00530086" w:rsidRPr="00530086" w:rsidRDefault="00530086" w:rsidP="00530086">
                      <w:r>
                        <w:t xml:space="preserve">7. </w:t>
                      </w:r>
                      <w:r w:rsidRPr="00530086">
                        <w:t>Pielieto akadēmiskās pētniecības metodoloģijas pamatprincipus atbilstoši izvēlētajai pētniecības tēmai.</w:t>
                      </w:r>
                    </w:p>
                    <w:p w14:paraId="04FB6839" w14:textId="77777777" w:rsidR="007D4849" w:rsidRDefault="00530086" w:rsidP="007D4849">
                      <w:r>
                        <w:t xml:space="preserve">8. </w:t>
                      </w:r>
                      <w:r w:rsidRPr="00530086">
                        <w:t>Spēj patstāvīgi padziļināt savu profesionālo kompetenci, apzinot jaunākās metodes vēstures pētniecībā.</w:t>
                      </w:r>
                    </w:p>
                    <w:p w14:paraId="1AD704DC" w14:textId="2664D2E5" w:rsidR="00E531F9" w:rsidRPr="007D4849" w:rsidRDefault="00E531F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25FB55F8" w:rsidR="007D4849" w:rsidRPr="00530086" w:rsidRDefault="00530086" w:rsidP="00530086">
                      <w:r>
                        <w:t xml:space="preserve">9. </w:t>
                      </w:r>
                      <w:r w:rsidRPr="00530086">
                        <w:t>Skaidri komunicē pētījuma ieceri un rezultātus, pamato savas pētnieciskās darbības.</w:t>
                      </w:r>
                    </w:p>
                  </w:tc>
                </w:tr>
              </w:tbl>
              <w:p w14:paraId="0B6DE13B" w14:textId="77777777" w:rsidR="007D4849" w:rsidRDefault="0047786F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DFE37E2" w14:textId="1AB1D905" w:rsidR="00530086" w:rsidRPr="00530086" w:rsidRDefault="00530086" w:rsidP="00530086">
            <w:permStart w:id="1836219002" w:edGrp="everyone"/>
            <w:r w:rsidRPr="00C413E2">
              <w:t xml:space="preserve">1. Zinātniskās literatūras apguve: </w:t>
            </w:r>
            <w:r w:rsidRPr="00530086">
              <w:t>vēstures avotu un kvalitatīvo pētījumu analīze un argumentēta izvērtēšana</w:t>
            </w:r>
            <w:r w:rsidR="00813D77">
              <w:t>;</w:t>
            </w:r>
          </w:p>
          <w:p w14:paraId="4CB2D901" w14:textId="45CA472A" w:rsidR="00530086" w:rsidRPr="00530086" w:rsidRDefault="00530086" w:rsidP="00530086">
            <w:r w:rsidRPr="00C413E2">
              <w:t xml:space="preserve">2. </w:t>
            </w:r>
            <w:r w:rsidRPr="00530086">
              <w:t>Gatavošanās semināru nodarbībām un vienam testam par terminoloģiju ar atvērtiem jautājumiem</w:t>
            </w:r>
            <w:r w:rsidR="00813D77">
              <w:t>;</w:t>
            </w:r>
            <w:r w:rsidRPr="00530086">
              <w:t xml:space="preserve"> </w:t>
            </w:r>
          </w:p>
          <w:p w14:paraId="5054DECC" w14:textId="11B4721D" w:rsidR="00E33F4D" w:rsidRPr="0093308E" w:rsidRDefault="00530086" w:rsidP="007534EA">
            <w:r w:rsidRPr="00C413E2">
              <w:t xml:space="preserve">3. Studentiem </w:t>
            </w:r>
            <w:r w:rsidRPr="00530086">
              <w:t xml:space="preserve">jāuzraksta piecas kritiskas apceres (katra - 1 lpp. apjomā) par docētāja norādītajos pētījumos pielietojām metodēm, brīvi izvēloties </w:t>
            </w:r>
            <w:proofErr w:type="spellStart"/>
            <w:r w:rsidRPr="00530086">
              <w:t>papildliteratūrā</w:t>
            </w:r>
            <w:proofErr w:type="spellEnd"/>
            <w:r w:rsidRPr="00530086">
              <w:t xml:space="preserve"> norādīto autoru darbus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639AF2D" w14:textId="77777777" w:rsidR="00530086" w:rsidRPr="00530086" w:rsidRDefault="00530086" w:rsidP="00530086">
            <w:permStart w:id="1677921679" w:edGrp="everyone"/>
            <w:r w:rsidRPr="00530086">
              <w:t xml:space="preserve">Studiju kursa apguves gala vērtējums (ieskaite ar atzīmi) veidojas, summējot patstāvīgi veiktā darba rezultātus, ko apliecina prezentācijas semināros, atbildes uz viena testa </w:t>
            </w:r>
            <w:proofErr w:type="spellStart"/>
            <w:r w:rsidRPr="00530086">
              <w:t>arvērtajiem</w:t>
            </w:r>
            <w:proofErr w:type="spellEnd"/>
            <w:r w:rsidRPr="00530086">
              <w:t xml:space="preserve"> jautājumiem, docētājam iesniegtās piecas kritiskās apceres un studējošo rakstiskās atbildes uz docētāja uzdotiem trīs jautājumiem eksāmena laikā.</w:t>
            </w:r>
          </w:p>
          <w:p w14:paraId="6E01F9E2" w14:textId="77777777" w:rsidR="00530086" w:rsidRPr="00530086" w:rsidRDefault="00530086" w:rsidP="00530086"/>
          <w:p w14:paraId="5CDC3734" w14:textId="77777777" w:rsidR="00530086" w:rsidRPr="00530086" w:rsidRDefault="00530086" w:rsidP="00530086">
            <w:r w:rsidRPr="00530086">
              <w:t>Eksāmena vērtējums var tikt saņemts, ja ir izpildīti visi minētie nosacījumi un studējošais ir piedalījies 30% lekcijās un 70% semināros.</w:t>
            </w:r>
          </w:p>
          <w:p w14:paraId="073EB982" w14:textId="77777777" w:rsidR="00530086" w:rsidRPr="00530086" w:rsidRDefault="00530086" w:rsidP="00530086"/>
          <w:p w14:paraId="0C5F6E1F" w14:textId="77777777" w:rsidR="00530086" w:rsidRPr="00530086" w:rsidRDefault="00530086" w:rsidP="00530086">
            <w:r w:rsidRPr="00530086">
              <w:t xml:space="preserve">STARPPĀRBAUDĪJUMI: </w:t>
            </w:r>
          </w:p>
          <w:p w14:paraId="44105016" w14:textId="77777777" w:rsidR="00530086" w:rsidRPr="00530086" w:rsidRDefault="00530086" w:rsidP="00530086">
            <w:r w:rsidRPr="00530086">
              <w:t>(starppārbaudījuma uzdevumi tiek izstrādāti un vērtēti pēc docētāja noteiktajiem kritērijiem)</w:t>
            </w:r>
          </w:p>
          <w:p w14:paraId="40DD3801" w14:textId="77777777" w:rsidR="00530086" w:rsidRPr="00530086" w:rsidRDefault="00530086" w:rsidP="00530086">
            <w:r w:rsidRPr="00530086">
              <w:t xml:space="preserve">1. Kritiskās apceres  – 25%. </w:t>
            </w:r>
          </w:p>
          <w:p w14:paraId="01BA5A4E" w14:textId="77777777" w:rsidR="00530086" w:rsidRPr="00530086" w:rsidRDefault="00530086" w:rsidP="00530086">
            <w:r w:rsidRPr="00530086">
              <w:t xml:space="preserve">2. Uzstāšanās </w:t>
            </w:r>
            <w:proofErr w:type="spellStart"/>
            <w:r w:rsidRPr="00530086">
              <w:t>seminārnodarbībās</w:t>
            </w:r>
            <w:proofErr w:type="spellEnd"/>
            <w:r w:rsidRPr="00530086">
              <w:t xml:space="preserve"> – 25%.</w:t>
            </w:r>
          </w:p>
          <w:p w14:paraId="652710F0" w14:textId="77777777" w:rsidR="00530086" w:rsidRPr="00530086" w:rsidRDefault="00530086" w:rsidP="00530086">
            <w:r w:rsidRPr="00530086">
              <w:t>3. Nokārtots viens tests ar atvērtajiem jautājumiem – 25%.</w:t>
            </w:r>
          </w:p>
          <w:p w14:paraId="26C1C6A5" w14:textId="77777777" w:rsidR="00530086" w:rsidRPr="00530086" w:rsidRDefault="00530086" w:rsidP="00530086">
            <w:r w:rsidRPr="00530086">
              <w:t xml:space="preserve">NOSLĒGUMA PĀRBAUDĪJUMS: </w:t>
            </w:r>
          </w:p>
          <w:p w14:paraId="72EE714B" w14:textId="77777777" w:rsidR="00530086" w:rsidRPr="00530086" w:rsidRDefault="00530086" w:rsidP="00530086">
            <w:r w:rsidRPr="00530086">
              <w:t>Rakstiskas atbildes uz docētāja uzdotiem trīs jautājumiem – 25%.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1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88"/>
              <w:gridCol w:w="396"/>
              <w:gridCol w:w="468"/>
              <w:gridCol w:w="396"/>
              <w:gridCol w:w="401"/>
              <w:gridCol w:w="401"/>
              <w:gridCol w:w="401"/>
              <w:gridCol w:w="401"/>
              <w:gridCol w:w="401"/>
              <w:gridCol w:w="396"/>
            </w:tblGrid>
            <w:tr w:rsidR="00530086" w:rsidRPr="00C413E2" w14:paraId="12CD3385" w14:textId="77777777" w:rsidTr="00530086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FE33D97" w14:textId="77777777" w:rsidR="00530086" w:rsidRPr="00530086" w:rsidRDefault="00530086" w:rsidP="00530086"/>
                <w:p w14:paraId="4BBEC077" w14:textId="77777777" w:rsidR="00530086" w:rsidRPr="00530086" w:rsidRDefault="00530086" w:rsidP="00530086">
                  <w:r w:rsidRPr="00530086">
                    <w:t>Pārbaudījumu veidi</w:t>
                  </w:r>
                </w:p>
              </w:tc>
              <w:tc>
                <w:tcPr>
                  <w:tcW w:w="3637" w:type="dxa"/>
                  <w:gridSpan w:val="9"/>
                  <w:shd w:val="clear" w:color="auto" w:fill="auto"/>
                </w:tcPr>
                <w:p w14:paraId="6FEA83BF" w14:textId="77777777" w:rsidR="00530086" w:rsidRPr="00530086" w:rsidRDefault="00530086" w:rsidP="00530086">
                  <w:r w:rsidRPr="00530086">
                    <w:t>Studiju rezultāti *</w:t>
                  </w:r>
                </w:p>
              </w:tc>
            </w:tr>
            <w:tr w:rsidR="00530086" w:rsidRPr="00C413E2" w14:paraId="2CAFE82E" w14:textId="77777777" w:rsidTr="00530086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653E35FA" w14:textId="77777777" w:rsidR="00530086" w:rsidRPr="00530086" w:rsidRDefault="00530086" w:rsidP="00530086"/>
              </w:tc>
              <w:tc>
                <w:tcPr>
                  <w:tcW w:w="396" w:type="dxa"/>
                  <w:shd w:val="clear" w:color="auto" w:fill="auto"/>
                </w:tcPr>
                <w:p w14:paraId="1EA9AEA9" w14:textId="77777777" w:rsidR="00530086" w:rsidRPr="00530086" w:rsidRDefault="00530086" w:rsidP="00530086">
                  <w:r w:rsidRPr="00530086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E9E4004" w14:textId="77777777" w:rsidR="00530086" w:rsidRPr="00530086" w:rsidRDefault="00530086" w:rsidP="00530086">
                  <w:r w:rsidRPr="00530086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80AC340" w14:textId="77777777" w:rsidR="00530086" w:rsidRPr="00530086" w:rsidRDefault="00530086" w:rsidP="00530086">
                  <w:r w:rsidRPr="00530086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FF15A5F" w14:textId="77777777" w:rsidR="00530086" w:rsidRPr="00530086" w:rsidRDefault="00530086" w:rsidP="00530086">
                  <w:r w:rsidRPr="00530086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924CC79" w14:textId="77777777" w:rsidR="00530086" w:rsidRPr="00530086" w:rsidRDefault="00530086" w:rsidP="00530086">
                  <w:r w:rsidRPr="00530086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3C50F42" w14:textId="77777777" w:rsidR="00530086" w:rsidRPr="00530086" w:rsidRDefault="00530086" w:rsidP="00530086">
                  <w:r w:rsidRPr="00530086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9E70D86" w14:textId="77777777" w:rsidR="00530086" w:rsidRPr="00530086" w:rsidRDefault="00530086" w:rsidP="00530086">
                  <w:r w:rsidRPr="00530086">
                    <w:t>7.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FFEB083" w14:textId="77777777" w:rsidR="00530086" w:rsidRPr="00530086" w:rsidRDefault="00530086" w:rsidP="00530086">
                  <w:r w:rsidRPr="00530086">
                    <w:t>8.</w:t>
                  </w:r>
                </w:p>
              </w:tc>
              <w:tc>
                <w:tcPr>
                  <w:tcW w:w="371" w:type="dxa"/>
                  <w:shd w:val="clear" w:color="auto" w:fill="auto"/>
                </w:tcPr>
                <w:p w14:paraId="38C65B78" w14:textId="77777777" w:rsidR="00530086" w:rsidRPr="00530086" w:rsidRDefault="00530086" w:rsidP="00530086">
                  <w:r w:rsidRPr="00530086">
                    <w:t>9.</w:t>
                  </w:r>
                </w:p>
              </w:tc>
            </w:tr>
            <w:tr w:rsidR="00530086" w:rsidRPr="00C413E2" w14:paraId="2115F080" w14:textId="77777777" w:rsidTr="00530086">
              <w:trPr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36B0187" w14:textId="77777777" w:rsidR="00530086" w:rsidRPr="00530086" w:rsidRDefault="00530086" w:rsidP="00530086">
                  <w:r w:rsidRPr="00530086">
                    <w:t>1. Kritiskās apceres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B26898F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07813FB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9A366B7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CA84ED9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E5C8E8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D59194F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E2CF245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D572398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12FD78F4" w14:textId="77777777" w:rsidR="00530086" w:rsidRPr="00530086" w:rsidRDefault="00530086" w:rsidP="00530086">
                  <w:r w:rsidRPr="00530086">
                    <w:t>+</w:t>
                  </w:r>
                </w:p>
              </w:tc>
            </w:tr>
            <w:tr w:rsidR="00530086" w:rsidRPr="00C413E2" w14:paraId="23C4CDE0" w14:textId="77777777" w:rsidTr="00530086">
              <w:trPr>
                <w:trHeight w:val="71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1B81964" w14:textId="77777777" w:rsidR="00530086" w:rsidRPr="00530086" w:rsidRDefault="00530086" w:rsidP="00530086">
                  <w:r w:rsidRPr="00530086">
                    <w:t xml:space="preserve">2. Uzstāšanās </w:t>
                  </w:r>
                  <w:proofErr w:type="spellStart"/>
                  <w:r w:rsidRPr="00530086">
                    <w:t>seminārnodarbībās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EB308B0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5612F56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61E98E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49DB55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701130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D5038F3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9A5AC4D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3CFE0B6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78EC7EAE" w14:textId="77777777" w:rsidR="00530086" w:rsidRPr="00530086" w:rsidRDefault="00530086" w:rsidP="00530086">
                  <w:r w:rsidRPr="00530086">
                    <w:t>+</w:t>
                  </w:r>
                </w:p>
              </w:tc>
            </w:tr>
            <w:tr w:rsidR="00530086" w:rsidRPr="00C413E2" w14:paraId="2141EC21" w14:textId="77777777" w:rsidTr="00530086">
              <w:trPr>
                <w:trHeight w:val="724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01ADD2C" w14:textId="77777777" w:rsidR="00530086" w:rsidRPr="00530086" w:rsidRDefault="00530086" w:rsidP="00530086">
                  <w:r w:rsidRPr="00530086">
                    <w:t>3. Viens tests ar atvērtajiem jautājumiem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1A3AFCF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F9C7555" w14:textId="77777777" w:rsidR="00530086" w:rsidRPr="00530086" w:rsidRDefault="00530086" w:rsidP="0053008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4E359D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6BAC11" w14:textId="77777777" w:rsidR="00530086" w:rsidRPr="00530086" w:rsidRDefault="00530086" w:rsidP="0053008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4B4CE75" w14:textId="77777777" w:rsidR="00530086" w:rsidRPr="00530086" w:rsidRDefault="00530086" w:rsidP="0053008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6146E0" w14:textId="77777777" w:rsidR="00530086" w:rsidRPr="00530086" w:rsidRDefault="00530086" w:rsidP="0053008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9E9008E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C700C2" w14:textId="77777777" w:rsidR="00530086" w:rsidRPr="00530086" w:rsidRDefault="00530086" w:rsidP="00530086"/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5F74DCA7" w14:textId="77777777" w:rsidR="00530086" w:rsidRPr="00530086" w:rsidRDefault="00530086" w:rsidP="00530086"/>
              </w:tc>
            </w:tr>
            <w:tr w:rsidR="00530086" w:rsidRPr="00C413E2" w14:paraId="0585C6E8" w14:textId="77777777" w:rsidTr="00530086">
              <w:trPr>
                <w:trHeight w:val="25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90C7252" w14:textId="77777777" w:rsidR="00530086" w:rsidRPr="00530086" w:rsidRDefault="00530086" w:rsidP="00530086">
                  <w:r w:rsidRPr="00530086">
                    <w:t>4. Rakstiskas atbildes uz docētāja uzdotiem trīs jautājumiem.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D8AA6CD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B2DFFC7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EBA787E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2AD55B6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BDFC17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97CB115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FA24B58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0314B36" w14:textId="77777777" w:rsidR="00530086" w:rsidRPr="00530086" w:rsidRDefault="00530086" w:rsidP="00530086">
                  <w:r w:rsidRPr="00530086">
                    <w:t>+</w:t>
                  </w:r>
                </w:p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7E1EFABB" w14:textId="77777777" w:rsidR="00530086" w:rsidRPr="00530086" w:rsidRDefault="00530086" w:rsidP="00530086">
                  <w:r w:rsidRPr="00530086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C46D42B" w14:textId="77777777" w:rsidR="00530086" w:rsidRPr="00530086" w:rsidRDefault="00F24CB8" w:rsidP="00530086">
            <w:permStart w:id="370084287" w:edGrp="everyone"/>
            <w:r>
              <w:t xml:space="preserve"> </w:t>
            </w:r>
            <w:r w:rsidR="00530086" w:rsidRPr="00530086">
              <w:t>I. Ievads.</w:t>
            </w:r>
          </w:p>
          <w:p w14:paraId="144627E7" w14:textId="77777777" w:rsidR="00530086" w:rsidRPr="00530086" w:rsidRDefault="00530086" w:rsidP="00530086">
            <w:r w:rsidRPr="00530086">
              <w:t>1. Vēsturisko liecību raksturs un avotu kritika. L2</w:t>
            </w:r>
          </w:p>
          <w:p w14:paraId="627577D2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4F82A840" w14:textId="52CBF351" w:rsidR="00530086" w:rsidRDefault="00530086" w:rsidP="00530086">
            <w:r w:rsidRPr="00530086">
              <w:t xml:space="preserve">2. Vēstures zināšanu veidošanas problēmas. S2 </w:t>
            </w:r>
          </w:p>
          <w:p w14:paraId="75424131" w14:textId="77777777" w:rsidR="00813D77" w:rsidRPr="00530086" w:rsidRDefault="00813D77" w:rsidP="00530086"/>
          <w:p w14:paraId="627D8DD8" w14:textId="77777777" w:rsidR="00530086" w:rsidRPr="00530086" w:rsidRDefault="00530086" w:rsidP="00530086">
            <w:r w:rsidRPr="00530086">
              <w:t xml:space="preserve">II. Dažādi avoti kā vēsturiskas liecības. </w:t>
            </w:r>
          </w:p>
          <w:p w14:paraId="05B77535" w14:textId="77777777" w:rsidR="00530086" w:rsidRPr="00530086" w:rsidRDefault="00530086" w:rsidP="00530086">
            <w:r w:rsidRPr="00530086">
              <w:t>3. Vēstures pētījumos izmantoto avotu noteikšana. S2</w:t>
            </w:r>
          </w:p>
          <w:p w14:paraId="6A182EA5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3CC25937" w14:textId="77777777" w:rsidR="00530086" w:rsidRPr="00530086" w:rsidRDefault="00530086" w:rsidP="00530086">
            <w:r w:rsidRPr="00530086">
              <w:t>4. Primāro avotu izmantošana: valdības dokumenti, publiski ieraksti, intervijas, dienasgrāmatas, vēstules, žurnāli, autobiogrāfijas, liecinieku liecības utt. S2</w:t>
            </w:r>
          </w:p>
          <w:p w14:paraId="06E574B1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2BBA5862" w14:textId="77777777" w:rsidR="00530086" w:rsidRPr="00530086" w:rsidRDefault="00530086" w:rsidP="00530086">
            <w:r w:rsidRPr="00530086">
              <w:t>5. Sekundāro avotu izmantošana: vēsturiskas filmas, māksla, biogrāfijas, raksti par pagātnes personām un notikumiem utt. Terciāro avotu izmantošana: mācību grāmatas, uzziņu literatūra, indeksi, kopsavilkumi utt. S2</w:t>
            </w:r>
          </w:p>
          <w:p w14:paraId="26DD7647" w14:textId="2CEFD116" w:rsid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0734F5EA" w14:textId="77777777" w:rsidR="00813D77" w:rsidRPr="00530086" w:rsidRDefault="00813D77" w:rsidP="00530086"/>
          <w:p w14:paraId="190F50FF" w14:textId="77777777" w:rsidR="00530086" w:rsidRPr="00530086" w:rsidRDefault="00530086" w:rsidP="00530086">
            <w:r w:rsidRPr="00530086">
              <w:t>III. Kvalitatīvā pētījuma raksturojums.</w:t>
            </w:r>
          </w:p>
          <w:p w14:paraId="7BA2F9E2" w14:textId="77777777" w:rsidR="00530086" w:rsidRPr="00530086" w:rsidRDefault="00530086" w:rsidP="00530086">
            <w:r w:rsidRPr="00530086">
              <w:t xml:space="preserve">6. </w:t>
            </w:r>
            <w:proofErr w:type="spellStart"/>
            <w:r w:rsidRPr="00530086">
              <w:t>Naratīvā</w:t>
            </w:r>
            <w:proofErr w:type="spellEnd"/>
            <w:r w:rsidRPr="00530086">
              <w:t xml:space="preserve"> pētījuma pieeja. S2</w:t>
            </w:r>
          </w:p>
          <w:p w14:paraId="36595C99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1D42190C" w14:textId="77777777" w:rsidR="00530086" w:rsidRPr="00530086" w:rsidRDefault="00530086" w:rsidP="00530086">
            <w:r w:rsidRPr="00530086">
              <w:t xml:space="preserve">7. </w:t>
            </w:r>
            <w:proofErr w:type="spellStart"/>
            <w:r w:rsidRPr="00530086">
              <w:t>Naratīvā</w:t>
            </w:r>
            <w:proofErr w:type="spellEnd"/>
            <w:r w:rsidRPr="00530086">
              <w:t xml:space="preserve"> pētījuma pieejas pielietojums. S2</w:t>
            </w:r>
          </w:p>
          <w:p w14:paraId="0BC7B56F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07880F29" w14:textId="77777777" w:rsidR="00530086" w:rsidRPr="00530086" w:rsidRDefault="00530086" w:rsidP="00530086">
            <w:r w:rsidRPr="00530086">
              <w:t>8. Fenomenoloģiskā pētījuma pieeja. S2</w:t>
            </w:r>
          </w:p>
          <w:p w14:paraId="09BA5557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4C689BFC" w14:textId="77777777" w:rsidR="00530086" w:rsidRPr="00530086" w:rsidRDefault="00530086" w:rsidP="00530086">
            <w:r w:rsidRPr="00530086">
              <w:t>9. Fenomenoloģiskā pētījuma pieejas pielietojums. S2</w:t>
            </w:r>
          </w:p>
          <w:p w14:paraId="6434E0EC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5BA5976C" w14:textId="77777777" w:rsidR="00530086" w:rsidRPr="00530086" w:rsidRDefault="00530086" w:rsidP="00530086">
            <w:r w:rsidRPr="00530086">
              <w:t>10. Pamatotā pētījuma pieeja.</w:t>
            </w:r>
          </w:p>
          <w:p w14:paraId="7AAEF454" w14:textId="77777777" w:rsidR="00530086" w:rsidRPr="00530086" w:rsidRDefault="00530086" w:rsidP="00530086">
            <w:r w:rsidRPr="00530086">
              <w:lastRenderedPageBreak/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24E04283" w14:textId="77777777" w:rsidR="00530086" w:rsidRPr="00530086" w:rsidRDefault="00530086" w:rsidP="00530086">
            <w:r w:rsidRPr="00530086">
              <w:t>11. Pamatotā pētījuma pieejas pielietojums. S2</w:t>
            </w:r>
          </w:p>
          <w:p w14:paraId="4A646924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092263D9" w14:textId="77777777" w:rsidR="00530086" w:rsidRPr="00530086" w:rsidRDefault="00530086" w:rsidP="00530086">
            <w:r w:rsidRPr="00530086">
              <w:t>12. Etnogrāfiskā pētījuma pieeja. S2</w:t>
            </w:r>
          </w:p>
          <w:p w14:paraId="075D202D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1AA8157F" w14:textId="77777777" w:rsidR="00530086" w:rsidRPr="00530086" w:rsidRDefault="00530086" w:rsidP="00530086">
            <w:r w:rsidRPr="00530086">
              <w:t>13. Etnogrāfiskā pētījuma pieejas pielietojums. S2</w:t>
            </w:r>
          </w:p>
          <w:p w14:paraId="3D4D76FD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5FDA972F" w14:textId="77777777" w:rsidR="00530086" w:rsidRPr="00530086" w:rsidRDefault="00530086" w:rsidP="00530086">
            <w:r w:rsidRPr="00530086">
              <w:t>14. Rīcības pētījuma pieeja. S2</w:t>
            </w:r>
          </w:p>
          <w:p w14:paraId="5FE6C6A8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335FFA0B" w14:textId="77777777" w:rsidR="00530086" w:rsidRPr="00530086" w:rsidRDefault="00530086" w:rsidP="00530086">
            <w:r w:rsidRPr="00530086">
              <w:t>15. Rīcības pētījuma pieejas pielietojums. S2</w:t>
            </w:r>
          </w:p>
          <w:p w14:paraId="040837C4" w14:textId="77777777" w:rsidR="00530086" w:rsidRPr="00530086" w:rsidRDefault="00530086" w:rsidP="00530086">
            <w:r w:rsidRPr="00530086">
              <w:t xml:space="preserve">Patstāvīgais darbs: sagatavoties </w:t>
            </w:r>
            <w:proofErr w:type="spellStart"/>
            <w:r w:rsidRPr="00530086">
              <w:t>seminārnodarbībai</w:t>
            </w:r>
            <w:proofErr w:type="spellEnd"/>
            <w:r w:rsidRPr="00530086">
              <w:t xml:space="preserve">, izmantojot norādīto mācību literatūru un </w:t>
            </w:r>
            <w:proofErr w:type="spellStart"/>
            <w:r w:rsidRPr="00530086">
              <w:t>papildliteratūru</w:t>
            </w:r>
            <w:proofErr w:type="spellEnd"/>
            <w:r w:rsidRPr="00530086">
              <w:t xml:space="preserve">. </w:t>
            </w:r>
          </w:p>
          <w:p w14:paraId="56440ACE" w14:textId="3CCC20CB" w:rsidR="003F3E33" w:rsidRPr="00530086" w:rsidRDefault="00530086" w:rsidP="00916D56">
            <w:r w:rsidRPr="00530086">
              <w:t>16. Vēstures pētījumu ētika. S2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permStart w:id="580019727" w:edGrp="everyone" w:displacedByCustomXml="next"/>
        <w:sdt>
          <w:sdtPr>
            <w:id w:val="-1708412624"/>
            <w:placeholder>
              <w:docPart w:val="137440A63D094904B837022FD8752935"/>
            </w:placeholder>
          </w:sdtPr>
          <w:sdtEndPr/>
          <w:sdtContent>
            <w:sdt>
              <w:sdtPr>
                <w:id w:val="-481543431"/>
                <w:placeholder>
                  <w:docPart w:val="98F07D2272B84F7A827F2DA99873E6A0"/>
                </w:placeholder>
              </w:sdtPr>
              <w:sdtEndPr/>
              <w:sdtContent>
                <w:tc>
                  <w:tcPr>
                    <w:tcW w:w="9039" w:type="dxa"/>
                    <w:gridSpan w:val="2"/>
                  </w:tcPr>
                  <w:p w14:paraId="2C56324F" w14:textId="77777777" w:rsidR="00530086" w:rsidRPr="00530086" w:rsidRDefault="00530086" w:rsidP="00530086">
                    <w:proofErr w:type="spellStart"/>
                    <w:r w:rsidRPr="00530086">
                      <w:t>Mārtinsone</w:t>
                    </w:r>
                    <w:proofErr w:type="spellEnd"/>
                    <w:r w:rsidRPr="00530086">
                      <w:t xml:space="preserve">, K., </w:t>
                    </w:r>
                    <w:proofErr w:type="spellStart"/>
                    <w:r w:rsidRPr="00530086">
                      <w:t>Pipere</w:t>
                    </w:r>
                    <w:proofErr w:type="spellEnd"/>
                    <w:r w:rsidRPr="00530086">
                      <w:t xml:space="preserve">, A., </w:t>
                    </w:r>
                    <w:proofErr w:type="spellStart"/>
                    <w:r w:rsidRPr="00530086">
                      <w:t>Kamerāde</w:t>
                    </w:r>
                    <w:proofErr w:type="spellEnd"/>
                    <w:r w:rsidRPr="00530086">
                      <w:t>, D. (</w:t>
                    </w:r>
                    <w:proofErr w:type="spellStart"/>
                    <w:r w:rsidRPr="00530086">
                      <w:t>red</w:t>
                    </w:r>
                    <w:proofErr w:type="spellEnd"/>
                    <w:r w:rsidRPr="00530086">
                      <w:t xml:space="preserve">.). Pētniecība: teorija un prakse. Rīga: </w:t>
                    </w:r>
                    <w:proofErr w:type="spellStart"/>
                    <w:r w:rsidRPr="00530086">
                      <w:t>RaKa</w:t>
                    </w:r>
                    <w:proofErr w:type="spellEnd"/>
                    <w:r w:rsidRPr="00530086">
                      <w:t>, 2016.</w:t>
                    </w:r>
                  </w:p>
                  <w:p w14:paraId="01D4C5DD" w14:textId="77777777" w:rsidR="00530086" w:rsidRPr="00530086" w:rsidRDefault="00530086" w:rsidP="00530086">
                    <w:proofErr w:type="spellStart"/>
                    <w:r w:rsidRPr="005C52ED">
                      <w:t>Mārtinsone</w:t>
                    </w:r>
                    <w:proofErr w:type="spellEnd"/>
                    <w:r w:rsidRPr="005C52ED">
                      <w:t xml:space="preserve">, K., </w:t>
                    </w:r>
                    <w:proofErr w:type="spellStart"/>
                    <w:r w:rsidRPr="005C52ED">
                      <w:t>Pipere</w:t>
                    </w:r>
                    <w:proofErr w:type="spellEnd"/>
                    <w:r w:rsidRPr="005C52ED">
                      <w:t>, A. (</w:t>
                    </w:r>
                    <w:proofErr w:type="spellStart"/>
                    <w:r w:rsidRPr="005C52ED">
                      <w:t>red</w:t>
                    </w:r>
                    <w:proofErr w:type="spellEnd"/>
                    <w:r w:rsidRPr="005C52ED">
                      <w:t>.) Ievads pētniecībā.</w:t>
                    </w:r>
                    <w:r w:rsidRPr="00530086">
                      <w:t xml:space="preserve"> Stratēģijas, dizaini, metodes. Rīga: </w:t>
                    </w:r>
                    <w:proofErr w:type="spellStart"/>
                    <w:r w:rsidRPr="00530086">
                      <w:t>RaKa</w:t>
                    </w:r>
                    <w:proofErr w:type="spellEnd"/>
                    <w:r w:rsidRPr="00530086">
                      <w:t>, 2011.</w:t>
                    </w:r>
                  </w:p>
                  <w:p w14:paraId="579C65A1" w14:textId="5AB7557F" w:rsidR="00525213" w:rsidRPr="0093308E" w:rsidRDefault="00530086" w:rsidP="007534EA">
                    <w:proofErr w:type="spellStart"/>
                    <w:r w:rsidRPr="005C52ED">
                      <w:t>Mārtinsone</w:t>
                    </w:r>
                    <w:proofErr w:type="spellEnd"/>
                    <w:r w:rsidRPr="005C52ED">
                      <w:t xml:space="preserve">, K., </w:t>
                    </w:r>
                    <w:proofErr w:type="spellStart"/>
                    <w:r w:rsidRPr="005C52ED">
                      <w:t>Pipere</w:t>
                    </w:r>
                    <w:proofErr w:type="spellEnd"/>
                    <w:r w:rsidRPr="005C52ED">
                      <w:t>, A. (</w:t>
                    </w:r>
                    <w:proofErr w:type="spellStart"/>
                    <w:r w:rsidRPr="005C52ED">
                      <w:t>red</w:t>
                    </w:r>
                    <w:proofErr w:type="spellEnd"/>
                    <w:r w:rsidRPr="005C52ED">
                      <w:t xml:space="preserve">.) </w:t>
                    </w:r>
                    <w:r w:rsidRPr="00530086">
                      <w:rPr>
                        <w:rStyle w:val="Izclums"/>
                      </w:rPr>
                      <w:t>Zinātniskās darbības metodoloģija: starpdisciplināra perspektīva. Rīga: RSU, 2021.</w:t>
                    </w:r>
                  </w:p>
                </w:tc>
              </w:sdtContent>
            </w:sdt>
          </w:sdtContent>
        </w:sdt>
        <w:permEnd w:id="580019727" w:displacedByCustomXml="prev"/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F07DA15" w14:textId="402FEAE5" w:rsidR="00530086" w:rsidRPr="00530086" w:rsidRDefault="00530086" w:rsidP="00530086">
            <w:permStart w:id="1596548908" w:edGrp="everyone"/>
            <w:r w:rsidRPr="00530086">
              <w:t xml:space="preserve">Anderson, T., </w:t>
            </w:r>
            <w:proofErr w:type="spellStart"/>
            <w:r w:rsidRPr="00530086">
              <w:t>Kanuka</w:t>
            </w:r>
            <w:proofErr w:type="spellEnd"/>
            <w:r w:rsidRPr="00530086">
              <w:t>, H. E-</w:t>
            </w:r>
            <w:proofErr w:type="spellStart"/>
            <w:r w:rsidRPr="00530086">
              <w:t>research</w:t>
            </w:r>
            <w:proofErr w:type="spellEnd"/>
            <w:r w:rsidRPr="00530086">
              <w:t xml:space="preserve">: </w:t>
            </w:r>
            <w:proofErr w:type="spellStart"/>
            <w:r w:rsidRPr="00530086">
              <w:t>Methods</w:t>
            </w:r>
            <w:proofErr w:type="spellEnd"/>
            <w:r w:rsidRPr="00530086">
              <w:t xml:space="preserve">, </w:t>
            </w:r>
            <w:proofErr w:type="spellStart"/>
            <w:r w:rsidRPr="00530086">
              <w:t>strategies</w:t>
            </w:r>
            <w:proofErr w:type="spellEnd"/>
            <w:r w:rsidRPr="00530086">
              <w:t xml:space="preserve">, </w:t>
            </w:r>
            <w:proofErr w:type="spellStart"/>
            <w:r w:rsidRPr="00530086">
              <w:t>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issues</w:t>
            </w:r>
            <w:proofErr w:type="spellEnd"/>
            <w:r w:rsidRPr="00530086">
              <w:t xml:space="preserve">. Boston: </w:t>
            </w:r>
            <w:proofErr w:type="spellStart"/>
            <w:r w:rsidRPr="00530086">
              <w:t>Allyn</w:t>
            </w:r>
            <w:proofErr w:type="spellEnd"/>
            <w:r w:rsidRPr="00530086">
              <w:t xml:space="preserve"> &amp; </w:t>
            </w:r>
            <w:proofErr w:type="spellStart"/>
            <w:r w:rsidRPr="00530086">
              <w:t>Bacon</w:t>
            </w:r>
            <w:proofErr w:type="spellEnd"/>
            <w:r w:rsidRPr="00530086">
              <w:t>, 2003.</w:t>
            </w:r>
          </w:p>
          <w:p w14:paraId="6B46646B" w14:textId="2161C58C" w:rsidR="00530086" w:rsidRPr="00530086" w:rsidRDefault="00530086" w:rsidP="00530086">
            <w:proofErr w:type="spellStart"/>
            <w:r w:rsidRPr="00530086">
              <w:t>Atkinson</w:t>
            </w:r>
            <w:proofErr w:type="spellEnd"/>
            <w:r w:rsidRPr="00530086">
              <w:t xml:space="preserve">, R. </w:t>
            </w:r>
            <w:proofErr w:type="spellStart"/>
            <w:r w:rsidRPr="00530086">
              <w:t>The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life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story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interview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Thousand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Oaks</w:t>
            </w:r>
            <w:proofErr w:type="spellEnd"/>
            <w:r w:rsidRPr="00530086">
              <w:t xml:space="preserve">, CA: </w:t>
            </w:r>
            <w:proofErr w:type="spellStart"/>
            <w:r w:rsidRPr="00530086">
              <w:t>Sage</w:t>
            </w:r>
            <w:proofErr w:type="spellEnd"/>
            <w:r w:rsidRPr="00530086">
              <w:t>, 1998.</w:t>
            </w:r>
          </w:p>
          <w:p w14:paraId="06874267" w14:textId="77777777" w:rsidR="00530086" w:rsidRPr="00530086" w:rsidRDefault="00530086" w:rsidP="00530086">
            <w:proofErr w:type="spellStart"/>
            <w:r w:rsidRPr="00530086">
              <w:t>Basit</w:t>
            </w:r>
            <w:proofErr w:type="spellEnd"/>
            <w:r w:rsidRPr="00530086">
              <w:t xml:space="preserve">, T. N. </w:t>
            </w:r>
            <w:proofErr w:type="spellStart"/>
            <w:r w:rsidRPr="00530086">
              <w:t>Manual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or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electronic</w:t>
            </w:r>
            <w:proofErr w:type="spellEnd"/>
            <w:r w:rsidRPr="00530086">
              <w:t xml:space="preserve">? </w:t>
            </w:r>
            <w:proofErr w:type="spellStart"/>
            <w:r w:rsidRPr="00530086">
              <w:t>The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role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of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coding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qualitative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data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analysis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Educational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Research</w:t>
            </w:r>
            <w:proofErr w:type="spellEnd"/>
            <w:r w:rsidRPr="00530086">
              <w:t xml:space="preserve">, (2003), 45(2), </w:t>
            </w:r>
            <w:proofErr w:type="spellStart"/>
            <w:r w:rsidRPr="00530086">
              <w:t>pp</w:t>
            </w:r>
            <w:proofErr w:type="spellEnd"/>
            <w:r w:rsidRPr="00530086">
              <w:t>. 143–154.</w:t>
            </w:r>
          </w:p>
          <w:p w14:paraId="0E0B21B1" w14:textId="77777777" w:rsidR="00530086" w:rsidRPr="00530086" w:rsidRDefault="00530086" w:rsidP="00530086">
            <w:proofErr w:type="spellStart"/>
            <w:r w:rsidRPr="00BD277F">
              <w:t>Clandinin</w:t>
            </w:r>
            <w:proofErr w:type="spellEnd"/>
            <w:r w:rsidRPr="00BD277F">
              <w:t xml:space="preserve">, D. J. </w:t>
            </w:r>
            <w:proofErr w:type="spellStart"/>
            <w:r w:rsidRPr="00530086">
              <w:t>Engaging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Narrative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Inquiry</w:t>
            </w:r>
            <w:proofErr w:type="spellEnd"/>
            <w:r w:rsidRPr="00530086">
              <w:t xml:space="preserve">: </w:t>
            </w:r>
            <w:proofErr w:type="spellStart"/>
            <w:r w:rsidRPr="00530086">
              <w:t>Developing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Qualitative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Inquiry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London</w:t>
            </w:r>
            <w:proofErr w:type="spellEnd"/>
            <w:r w:rsidRPr="00530086">
              <w:t xml:space="preserve">: </w:t>
            </w:r>
            <w:proofErr w:type="spellStart"/>
            <w:r w:rsidRPr="00530086">
              <w:t>Routledge</w:t>
            </w:r>
            <w:proofErr w:type="spellEnd"/>
            <w:r w:rsidRPr="00530086">
              <w:t>, 2013.</w:t>
            </w:r>
          </w:p>
          <w:p w14:paraId="5C184696" w14:textId="77777777" w:rsidR="00530086" w:rsidRPr="00530086" w:rsidRDefault="00530086" w:rsidP="00530086">
            <w:proofErr w:type="spellStart"/>
            <w:r w:rsidRPr="00530086">
              <w:t>Clandinin</w:t>
            </w:r>
            <w:proofErr w:type="spellEnd"/>
            <w:r w:rsidRPr="00530086">
              <w:t xml:space="preserve">, D. J., </w:t>
            </w:r>
            <w:proofErr w:type="spellStart"/>
            <w:r w:rsidRPr="00530086">
              <w:t>Connelly</w:t>
            </w:r>
            <w:proofErr w:type="spellEnd"/>
            <w:r w:rsidRPr="00530086">
              <w:t xml:space="preserve">, F. M. </w:t>
            </w:r>
            <w:proofErr w:type="spellStart"/>
            <w:r w:rsidRPr="00530086">
              <w:t>Narrative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inquiry</w:t>
            </w:r>
            <w:proofErr w:type="spellEnd"/>
            <w:r w:rsidRPr="00530086">
              <w:t xml:space="preserve">: </w:t>
            </w:r>
            <w:proofErr w:type="spellStart"/>
            <w:r w:rsidRPr="00530086">
              <w:t>Experience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story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qualitative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research</w:t>
            </w:r>
            <w:proofErr w:type="spellEnd"/>
            <w:r w:rsidRPr="00530086">
              <w:t xml:space="preserve">. San </w:t>
            </w:r>
            <w:proofErr w:type="spellStart"/>
            <w:r w:rsidRPr="00530086">
              <w:t>Francisco</w:t>
            </w:r>
            <w:proofErr w:type="spellEnd"/>
            <w:r w:rsidRPr="00530086">
              <w:t xml:space="preserve">: </w:t>
            </w:r>
            <w:proofErr w:type="spellStart"/>
            <w:r w:rsidRPr="00530086">
              <w:t>Jossey</w:t>
            </w:r>
            <w:proofErr w:type="spellEnd"/>
            <w:r w:rsidRPr="00530086">
              <w:t>-Bass, 2000.</w:t>
            </w:r>
          </w:p>
          <w:p w14:paraId="2A58C6AE" w14:textId="77777777" w:rsidR="00530086" w:rsidRPr="00530086" w:rsidRDefault="00530086" w:rsidP="00530086">
            <w:proofErr w:type="spellStart"/>
            <w:r w:rsidRPr="00530086">
              <w:t>Gubrium</w:t>
            </w:r>
            <w:proofErr w:type="spellEnd"/>
            <w:r w:rsidRPr="00530086">
              <w:t xml:space="preserve">, J. F., </w:t>
            </w:r>
            <w:proofErr w:type="spellStart"/>
            <w:r w:rsidRPr="00530086">
              <w:t>Holstein</w:t>
            </w:r>
            <w:proofErr w:type="spellEnd"/>
            <w:r w:rsidRPr="00530086">
              <w:t>, J. A. (</w:t>
            </w:r>
            <w:proofErr w:type="spellStart"/>
            <w:r w:rsidRPr="00530086">
              <w:t>eds</w:t>
            </w:r>
            <w:proofErr w:type="spellEnd"/>
            <w:r w:rsidRPr="00530086">
              <w:t xml:space="preserve">). </w:t>
            </w:r>
            <w:proofErr w:type="spellStart"/>
            <w:r w:rsidRPr="00530086">
              <w:t>Handbook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of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interview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research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Thousand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Oaks</w:t>
            </w:r>
            <w:proofErr w:type="spellEnd"/>
            <w:r w:rsidRPr="00530086">
              <w:t xml:space="preserve">, CA: </w:t>
            </w:r>
            <w:proofErr w:type="spellStart"/>
            <w:r w:rsidRPr="00530086">
              <w:t>Sage</w:t>
            </w:r>
            <w:proofErr w:type="spellEnd"/>
            <w:r w:rsidRPr="00530086">
              <w:t>, 2002.</w:t>
            </w:r>
          </w:p>
          <w:p w14:paraId="2ACAC10D" w14:textId="77777777" w:rsidR="00530086" w:rsidRPr="00530086" w:rsidRDefault="00530086" w:rsidP="00530086">
            <w:proofErr w:type="spellStart"/>
            <w:r w:rsidRPr="00530086">
              <w:t>Hine</w:t>
            </w:r>
            <w:proofErr w:type="spellEnd"/>
            <w:r w:rsidRPr="00530086">
              <w:t xml:space="preserve">, C. </w:t>
            </w:r>
            <w:proofErr w:type="spellStart"/>
            <w:r w:rsidRPr="00530086">
              <w:t>Virtual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ethnography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Thousand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Oaks</w:t>
            </w:r>
            <w:proofErr w:type="spellEnd"/>
            <w:r w:rsidRPr="00530086">
              <w:t xml:space="preserve">, CA: </w:t>
            </w:r>
            <w:proofErr w:type="spellStart"/>
            <w:r w:rsidRPr="00530086">
              <w:t>Sage</w:t>
            </w:r>
            <w:proofErr w:type="spellEnd"/>
            <w:r w:rsidRPr="00530086">
              <w:t>, 2001.</w:t>
            </w:r>
          </w:p>
          <w:p w14:paraId="3F5CE045" w14:textId="77777777" w:rsidR="00530086" w:rsidRPr="00530086" w:rsidRDefault="00530086" w:rsidP="00530086">
            <w:proofErr w:type="spellStart"/>
            <w:r w:rsidRPr="00530086">
              <w:t>Hodder</w:t>
            </w:r>
            <w:proofErr w:type="spellEnd"/>
            <w:r w:rsidRPr="00530086">
              <w:t xml:space="preserve">, I. </w:t>
            </w:r>
            <w:proofErr w:type="spellStart"/>
            <w:r w:rsidRPr="00530086">
              <w:t>The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interpretation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of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documents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material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culture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In</w:t>
            </w:r>
            <w:proofErr w:type="spellEnd"/>
            <w:r w:rsidRPr="00530086">
              <w:t xml:space="preserve"> N. K. </w:t>
            </w:r>
            <w:proofErr w:type="spellStart"/>
            <w:r w:rsidRPr="00530086">
              <w:t>Denzin</w:t>
            </w:r>
            <w:proofErr w:type="spellEnd"/>
            <w:r w:rsidRPr="00530086">
              <w:t xml:space="preserve">, Y. S. </w:t>
            </w:r>
            <w:proofErr w:type="spellStart"/>
            <w:r w:rsidRPr="00530086">
              <w:t>Lincoln</w:t>
            </w:r>
            <w:proofErr w:type="spellEnd"/>
            <w:r w:rsidRPr="00530086">
              <w:t xml:space="preserve"> (</w:t>
            </w:r>
            <w:proofErr w:type="spellStart"/>
            <w:r w:rsidRPr="00530086">
              <w:t>eds</w:t>
            </w:r>
            <w:proofErr w:type="spellEnd"/>
            <w:r w:rsidRPr="00530086">
              <w:t xml:space="preserve">.). </w:t>
            </w:r>
            <w:proofErr w:type="spellStart"/>
            <w:r w:rsidRPr="00530086">
              <w:t>Handbook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of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Qualitative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Research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Thousand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Oaks</w:t>
            </w:r>
            <w:proofErr w:type="spellEnd"/>
            <w:r w:rsidRPr="00530086">
              <w:t xml:space="preserve">: </w:t>
            </w:r>
            <w:proofErr w:type="spellStart"/>
            <w:r w:rsidRPr="00530086">
              <w:t>Sage</w:t>
            </w:r>
            <w:proofErr w:type="spellEnd"/>
            <w:r w:rsidRPr="00530086">
              <w:t xml:space="preserve">, 2000, </w:t>
            </w:r>
            <w:proofErr w:type="spellStart"/>
            <w:r w:rsidRPr="00530086">
              <w:t>pp</w:t>
            </w:r>
            <w:proofErr w:type="spellEnd"/>
            <w:r w:rsidRPr="00530086">
              <w:t>. 673-715.</w:t>
            </w:r>
          </w:p>
          <w:p w14:paraId="69149B05" w14:textId="77777777" w:rsidR="00530086" w:rsidRPr="00530086" w:rsidRDefault="00530086" w:rsidP="00530086">
            <w:proofErr w:type="spellStart"/>
            <w:r w:rsidRPr="00530086">
              <w:t>Josselson</w:t>
            </w:r>
            <w:proofErr w:type="spellEnd"/>
            <w:r w:rsidRPr="00530086">
              <w:t>, R. (</w:t>
            </w:r>
            <w:proofErr w:type="spellStart"/>
            <w:r w:rsidRPr="00530086">
              <w:t>ed</w:t>
            </w:r>
            <w:proofErr w:type="spellEnd"/>
            <w:r w:rsidRPr="00530086">
              <w:t xml:space="preserve">.). </w:t>
            </w:r>
            <w:proofErr w:type="spellStart"/>
            <w:r w:rsidRPr="00530086">
              <w:t>Ethics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and</w:t>
            </w:r>
            <w:proofErr w:type="spellEnd"/>
            <w:r w:rsidRPr="00530086">
              <w:t xml:space="preserve"> process </w:t>
            </w:r>
            <w:proofErr w:type="spellStart"/>
            <w:r w:rsidRPr="00530086">
              <w:t>in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the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narrative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study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of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lives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Thousand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Oaks</w:t>
            </w:r>
            <w:proofErr w:type="spellEnd"/>
            <w:r w:rsidRPr="00530086">
              <w:t xml:space="preserve">, CA: </w:t>
            </w:r>
            <w:proofErr w:type="spellStart"/>
            <w:r w:rsidRPr="00530086">
              <w:t>Sage</w:t>
            </w:r>
            <w:proofErr w:type="spellEnd"/>
            <w:r w:rsidRPr="00530086">
              <w:t>, 1996.</w:t>
            </w:r>
          </w:p>
          <w:p w14:paraId="568BF47E" w14:textId="77777777" w:rsidR="00530086" w:rsidRPr="00530086" w:rsidRDefault="00530086" w:rsidP="00530086">
            <w:r w:rsidRPr="00530086">
              <w:t xml:space="preserve">Mann, C., </w:t>
            </w:r>
            <w:proofErr w:type="spellStart"/>
            <w:r w:rsidRPr="00530086">
              <w:t>Stewart</w:t>
            </w:r>
            <w:proofErr w:type="spellEnd"/>
            <w:r w:rsidRPr="00530086">
              <w:t xml:space="preserve">, F. Internet </w:t>
            </w:r>
            <w:proofErr w:type="spellStart"/>
            <w:r w:rsidRPr="00530086">
              <w:t>communication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qualitative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research</w:t>
            </w:r>
            <w:proofErr w:type="spellEnd"/>
            <w:r w:rsidRPr="00530086">
              <w:t xml:space="preserve">: A </w:t>
            </w:r>
            <w:proofErr w:type="spellStart"/>
            <w:r w:rsidRPr="00530086">
              <w:t>handbook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for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researching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online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London</w:t>
            </w:r>
            <w:proofErr w:type="spellEnd"/>
            <w:r w:rsidRPr="00530086">
              <w:t xml:space="preserve">: </w:t>
            </w:r>
            <w:proofErr w:type="spellStart"/>
            <w:r w:rsidRPr="00530086">
              <w:t>Sage</w:t>
            </w:r>
            <w:proofErr w:type="spellEnd"/>
            <w:r w:rsidRPr="00530086">
              <w:t xml:space="preserve">, 2000. </w:t>
            </w:r>
          </w:p>
          <w:p w14:paraId="522F7245" w14:textId="77777777" w:rsidR="00530086" w:rsidRPr="00530086" w:rsidRDefault="00530086" w:rsidP="00530086">
            <w:proofErr w:type="spellStart"/>
            <w:r w:rsidRPr="00530086">
              <w:t>Denzin</w:t>
            </w:r>
            <w:proofErr w:type="spellEnd"/>
            <w:r w:rsidRPr="00530086">
              <w:t xml:space="preserve">, N. K., </w:t>
            </w:r>
            <w:proofErr w:type="spellStart"/>
            <w:r w:rsidRPr="00530086">
              <w:t>Lincoln</w:t>
            </w:r>
            <w:proofErr w:type="spellEnd"/>
            <w:r w:rsidRPr="00530086">
              <w:t>, Y. S. (</w:t>
            </w:r>
            <w:proofErr w:type="spellStart"/>
            <w:r w:rsidRPr="00530086">
              <w:t>eds</w:t>
            </w:r>
            <w:proofErr w:type="spellEnd"/>
            <w:r w:rsidRPr="00530086">
              <w:t xml:space="preserve">.) </w:t>
            </w:r>
            <w:proofErr w:type="spellStart"/>
            <w:r w:rsidRPr="00530086">
              <w:t>Handbook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of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qualitative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research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Thousand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Oaks</w:t>
            </w:r>
            <w:proofErr w:type="spellEnd"/>
            <w:r w:rsidRPr="00530086">
              <w:t xml:space="preserve">, CA: </w:t>
            </w:r>
            <w:proofErr w:type="spellStart"/>
            <w:r w:rsidRPr="00530086">
              <w:t>Sage</w:t>
            </w:r>
            <w:proofErr w:type="spellEnd"/>
            <w:r w:rsidRPr="00530086">
              <w:t>, 2000.</w:t>
            </w:r>
          </w:p>
          <w:p w14:paraId="013F9B82" w14:textId="77777777" w:rsidR="00530086" w:rsidRPr="00530086" w:rsidRDefault="00530086" w:rsidP="00530086">
            <w:proofErr w:type="spellStart"/>
            <w:r w:rsidRPr="00530086">
              <w:t>Riessman</w:t>
            </w:r>
            <w:proofErr w:type="spellEnd"/>
            <w:r w:rsidRPr="00530086">
              <w:t xml:space="preserve">, C. K. </w:t>
            </w:r>
            <w:proofErr w:type="spellStart"/>
            <w:r w:rsidRPr="00530086">
              <w:t>Analysis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of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personal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narratives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In</w:t>
            </w:r>
            <w:proofErr w:type="spellEnd"/>
            <w:r w:rsidRPr="00530086">
              <w:t xml:space="preserve"> J. F </w:t>
            </w:r>
            <w:proofErr w:type="spellStart"/>
            <w:r w:rsidRPr="00530086">
              <w:t>Gubrium</w:t>
            </w:r>
            <w:proofErr w:type="spellEnd"/>
            <w:r w:rsidRPr="00530086">
              <w:t xml:space="preserve">, J. A. </w:t>
            </w:r>
            <w:proofErr w:type="spellStart"/>
            <w:r w:rsidRPr="00530086">
              <w:t>Holstein</w:t>
            </w:r>
            <w:proofErr w:type="spellEnd"/>
            <w:r w:rsidRPr="00530086">
              <w:t xml:space="preserve"> (</w:t>
            </w:r>
            <w:proofErr w:type="spellStart"/>
            <w:r w:rsidRPr="00530086">
              <w:t>eds</w:t>
            </w:r>
            <w:proofErr w:type="spellEnd"/>
            <w:r w:rsidRPr="00530086">
              <w:t xml:space="preserve">.). </w:t>
            </w:r>
            <w:proofErr w:type="spellStart"/>
            <w:r w:rsidRPr="00530086">
              <w:t>Handbook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of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interview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research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Thousand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Oaks</w:t>
            </w:r>
            <w:proofErr w:type="spellEnd"/>
            <w:r w:rsidRPr="00530086">
              <w:t xml:space="preserve">, CA: </w:t>
            </w:r>
            <w:proofErr w:type="spellStart"/>
            <w:r w:rsidRPr="00530086">
              <w:t>Sage</w:t>
            </w:r>
            <w:proofErr w:type="spellEnd"/>
            <w:r w:rsidRPr="00530086">
              <w:t xml:space="preserve">, </w:t>
            </w:r>
            <w:proofErr w:type="spellStart"/>
            <w:r w:rsidRPr="00530086">
              <w:t>pp</w:t>
            </w:r>
            <w:proofErr w:type="spellEnd"/>
            <w:r w:rsidRPr="00530086">
              <w:t>. 695–710.</w:t>
            </w:r>
          </w:p>
          <w:p w14:paraId="003D86EC" w14:textId="77777777" w:rsidR="00530086" w:rsidRPr="00530086" w:rsidRDefault="00530086" w:rsidP="00530086">
            <w:proofErr w:type="spellStart"/>
            <w:r w:rsidRPr="00530086">
              <w:t>Sixsmith</w:t>
            </w:r>
            <w:proofErr w:type="spellEnd"/>
            <w:r w:rsidRPr="00530086">
              <w:t xml:space="preserve">, J., </w:t>
            </w:r>
            <w:proofErr w:type="spellStart"/>
            <w:r w:rsidRPr="00530086">
              <w:t>Murray</w:t>
            </w:r>
            <w:proofErr w:type="spellEnd"/>
            <w:r w:rsidRPr="00530086">
              <w:t xml:space="preserve">, C. D. </w:t>
            </w:r>
            <w:proofErr w:type="spellStart"/>
            <w:r w:rsidRPr="00530086">
              <w:t>Ethical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issues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the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documentary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data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analysis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of</w:t>
            </w:r>
            <w:proofErr w:type="spellEnd"/>
            <w:r w:rsidRPr="00530086">
              <w:t xml:space="preserve"> internet posts </w:t>
            </w:r>
            <w:proofErr w:type="spellStart"/>
            <w:r w:rsidRPr="00530086">
              <w:t>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archives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Qualitative</w:t>
            </w:r>
            <w:proofErr w:type="spellEnd"/>
            <w:r w:rsidRPr="00530086">
              <w:t xml:space="preserve"> Health </w:t>
            </w:r>
            <w:proofErr w:type="spellStart"/>
            <w:r w:rsidRPr="00530086">
              <w:t>Research</w:t>
            </w:r>
            <w:proofErr w:type="spellEnd"/>
            <w:r w:rsidRPr="00530086">
              <w:t xml:space="preserve"> (2001) 11(3), </w:t>
            </w:r>
            <w:proofErr w:type="spellStart"/>
            <w:r w:rsidRPr="00530086">
              <w:t>pp</w:t>
            </w:r>
            <w:proofErr w:type="spellEnd"/>
            <w:r w:rsidRPr="00530086">
              <w:t>. 423–432.</w:t>
            </w:r>
          </w:p>
          <w:p w14:paraId="536DC428" w14:textId="77777777" w:rsidR="00530086" w:rsidRPr="00530086" w:rsidRDefault="00530086" w:rsidP="00530086">
            <w:proofErr w:type="spellStart"/>
            <w:r w:rsidRPr="00530086">
              <w:lastRenderedPageBreak/>
              <w:t>Storey</w:t>
            </w:r>
            <w:proofErr w:type="spellEnd"/>
            <w:r w:rsidRPr="00530086">
              <w:t xml:space="preserve">, W. K. </w:t>
            </w:r>
            <w:proofErr w:type="spellStart"/>
            <w:r w:rsidRPr="00530086">
              <w:t>Writing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history</w:t>
            </w:r>
            <w:proofErr w:type="spellEnd"/>
            <w:r w:rsidRPr="00530086">
              <w:t xml:space="preserve">: A </w:t>
            </w:r>
            <w:proofErr w:type="spellStart"/>
            <w:r w:rsidRPr="00530086">
              <w:t>guide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for</w:t>
            </w:r>
            <w:proofErr w:type="spellEnd"/>
            <w:r w:rsidRPr="00530086">
              <w:t xml:space="preserve"> students. </w:t>
            </w:r>
            <w:proofErr w:type="spellStart"/>
            <w:r w:rsidRPr="00530086">
              <w:t>New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York</w:t>
            </w:r>
            <w:proofErr w:type="spellEnd"/>
            <w:r w:rsidRPr="00530086">
              <w:t xml:space="preserve">: </w:t>
            </w:r>
            <w:proofErr w:type="spellStart"/>
            <w:r w:rsidRPr="00530086">
              <w:t>Oxford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University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Press</w:t>
            </w:r>
            <w:proofErr w:type="spellEnd"/>
            <w:r w:rsidRPr="00530086">
              <w:t>, 2004.</w:t>
            </w:r>
          </w:p>
          <w:p w14:paraId="350B0F41" w14:textId="77777777" w:rsidR="00530086" w:rsidRPr="00530086" w:rsidRDefault="00530086" w:rsidP="00530086">
            <w:proofErr w:type="spellStart"/>
            <w:r w:rsidRPr="00530086">
              <w:t>Thompson</w:t>
            </w:r>
            <w:proofErr w:type="spellEnd"/>
            <w:r w:rsidRPr="00530086">
              <w:t xml:space="preserve">, P. R. </w:t>
            </w:r>
            <w:proofErr w:type="spellStart"/>
            <w:r w:rsidRPr="00530086">
              <w:t>The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voice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of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the</w:t>
            </w:r>
            <w:proofErr w:type="spellEnd"/>
            <w:r w:rsidRPr="00530086">
              <w:t xml:space="preserve"> past: </w:t>
            </w:r>
            <w:proofErr w:type="spellStart"/>
            <w:r w:rsidRPr="00530086">
              <w:t>Oral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history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Oxford</w:t>
            </w:r>
            <w:proofErr w:type="spellEnd"/>
            <w:r w:rsidRPr="00530086">
              <w:t xml:space="preserve">: </w:t>
            </w:r>
            <w:proofErr w:type="spellStart"/>
            <w:r w:rsidRPr="00530086">
              <w:t>Oxford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University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Press</w:t>
            </w:r>
            <w:proofErr w:type="spellEnd"/>
            <w:r w:rsidRPr="00530086">
              <w:t>, 2000.</w:t>
            </w:r>
          </w:p>
          <w:p w14:paraId="52226813" w14:textId="04550117" w:rsidR="00525213" w:rsidRPr="0093308E" w:rsidRDefault="00530086" w:rsidP="007534EA">
            <w:proofErr w:type="spellStart"/>
            <w:r w:rsidRPr="00530086">
              <w:t>Wengraf</w:t>
            </w:r>
            <w:proofErr w:type="spellEnd"/>
            <w:r w:rsidRPr="00530086">
              <w:t xml:space="preserve">, T. </w:t>
            </w:r>
            <w:proofErr w:type="spellStart"/>
            <w:r w:rsidRPr="00530086">
              <w:t>Qualitative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research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interviewing</w:t>
            </w:r>
            <w:proofErr w:type="spellEnd"/>
            <w:r w:rsidRPr="00530086">
              <w:t xml:space="preserve">: </w:t>
            </w:r>
            <w:proofErr w:type="spellStart"/>
            <w:r w:rsidRPr="00530086">
              <w:t>Biographic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narrative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and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semi-structured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methods</w:t>
            </w:r>
            <w:proofErr w:type="spellEnd"/>
            <w:r w:rsidRPr="00530086">
              <w:t xml:space="preserve">. </w:t>
            </w:r>
            <w:proofErr w:type="spellStart"/>
            <w:r w:rsidRPr="00530086">
              <w:t>London</w:t>
            </w:r>
            <w:proofErr w:type="spellEnd"/>
            <w:r w:rsidRPr="00530086">
              <w:t xml:space="preserve">: </w:t>
            </w:r>
            <w:proofErr w:type="spellStart"/>
            <w:r w:rsidRPr="00530086">
              <w:t>Sage</w:t>
            </w:r>
            <w:proofErr w:type="spellEnd"/>
            <w:r w:rsidRPr="00530086">
              <w:t xml:space="preserve">, 2001. 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A2813C0" w14:textId="77777777" w:rsidR="00530086" w:rsidRPr="00530086" w:rsidRDefault="00530086" w:rsidP="00530086">
            <w:permStart w:id="2104519286" w:edGrp="everyone"/>
            <w:r w:rsidRPr="00530086">
              <w:t>1. “</w:t>
            </w:r>
            <w:proofErr w:type="spellStart"/>
            <w:r w:rsidRPr="00530086">
              <w:t>Qualitative</w:t>
            </w:r>
            <w:proofErr w:type="spellEnd"/>
            <w:r w:rsidRPr="00530086">
              <w:t xml:space="preserve"> </w:t>
            </w:r>
            <w:proofErr w:type="spellStart"/>
            <w:r w:rsidRPr="00530086">
              <w:t>Research</w:t>
            </w:r>
            <w:proofErr w:type="spellEnd"/>
            <w:r w:rsidRPr="00530086">
              <w:t xml:space="preserve">” </w:t>
            </w:r>
            <w:hyperlink r:id="rId8" w:history="1">
              <w:r w:rsidRPr="00530086">
                <w:rPr>
                  <w:rStyle w:val="Hipersaite"/>
                </w:rPr>
                <w:t>https://journals.sagepub.com/loi/QRJ</w:t>
              </w:r>
            </w:hyperlink>
            <w:r w:rsidRPr="00530086">
              <w:t xml:space="preserve"> </w:t>
            </w:r>
          </w:p>
          <w:p w14:paraId="3E8A726F" w14:textId="77777777" w:rsidR="00530086" w:rsidRPr="00530086" w:rsidRDefault="00530086" w:rsidP="00530086">
            <w:r w:rsidRPr="00530086">
              <w:t>2. “</w:t>
            </w:r>
            <w:hyperlink r:id="rId9" w:history="1">
              <w:r w:rsidRPr="00530086">
                <w:rPr>
                  <w:rStyle w:val="Hipersaite"/>
                </w:rPr>
                <w:t>Historical Methods: A Journal of Quantitative and Interdisciplinary History</w:t>
              </w:r>
            </w:hyperlink>
            <w:r w:rsidRPr="00530086">
              <w:t xml:space="preserve">” </w:t>
            </w:r>
            <w:hyperlink r:id="rId10" w:history="1">
              <w:r w:rsidRPr="00530086">
                <w:rPr>
                  <w:rStyle w:val="Hipersaite"/>
                </w:rPr>
                <w:t>https://www.tandfonline.com/toc/vhim20/current</w:t>
              </w:r>
            </w:hyperlink>
            <w:r w:rsidRPr="00530086">
              <w:t xml:space="preserve"> </w:t>
            </w:r>
          </w:p>
          <w:p w14:paraId="2F1F9FE9" w14:textId="6054E350" w:rsidR="00525213" w:rsidRPr="0093308E" w:rsidRDefault="00530086" w:rsidP="007534EA">
            <w:r w:rsidRPr="00530086">
              <w:t xml:space="preserve">3. “Latvijas Vēstures Institūta Žurnāls” </w:t>
            </w:r>
            <w:hyperlink r:id="rId11" w:history="1">
              <w:r w:rsidRPr="00530086">
                <w:rPr>
                  <w:rStyle w:val="Hipersaite"/>
                </w:rPr>
                <w:t>https://www.lvi.lu.lv/lv/LVIZ.htm</w:t>
              </w:r>
            </w:hyperlink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1E50A32" w:rsidR="00525213" w:rsidRPr="0093308E" w:rsidRDefault="00001C75" w:rsidP="007534EA">
            <w:permStart w:id="1906538136" w:edGrp="everyone"/>
            <w:r>
              <w:t>AMSP "Vēsture" A</w:t>
            </w:r>
            <w:bookmarkStart w:id="0" w:name="_GoBack"/>
            <w:bookmarkEnd w:id="0"/>
            <w:r w:rsidR="00813D77">
              <w:t xml:space="preserve"> daļa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34F3F" w14:textId="77777777" w:rsidR="0047786F" w:rsidRDefault="0047786F" w:rsidP="007534EA">
      <w:r>
        <w:separator/>
      </w:r>
    </w:p>
  </w:endnote>
  <w:endnote w:type="continuationSeparator" w:id="0">
    <w:p w14:paraId="28645B35" w14:textId="77777777" w:rsidR="0047786F" w:rsidRDefault="0047786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310C754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1C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33FB4" w14:textId="77777777" w:rsidR="0047786F" w:rsidRDefault="0047786F" w:rsidP="007534EA">
      <w:r>
        <w:separator/>
      </w:r>
    </w:p>
  </w:footnote>
  <w:footnote w:type="continuationSeparator" w:id="0">
    <w:p w14:paraId="53F4A7F4" w14:textId="77777777" w:rsidR="0047786F" w:rsidRDefault="0047786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C547C"/>
    <w:multiLevelType w:val="hybridMultilevel"/>
    <w:tmpl w:val="14AEDBD4"/>
    <w:lvl w:ilvl="0" w:tplc="4C3649FE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75E2CEA"/>
    <w:multiLevelType w:val="hybridMultilevel"/>
    <w:tmpl w:val="DCAA29BC"/>
    <w:lvl w:ilvl="0" w:tplc="4ACE2F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1C75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2F71"/>
    <w:rsid w:val="00386DE3"/>
    <w:rsid w:val="00391185"/>
    <w:rsid w:val="00391B74"/>
    <w:rsid w:val="003A0FC1"/>
    <w:rsid w:val="003A2A8D"/>
    <w:rsid w:val="003A4392"/>
    <w:rsid w:val="003B7D44"/>
    <w:rsid w:val="003D6699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7786F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0086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3D77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6406E"/>
    <w:rsid w:val="00A77980"/>
    <w:rsid w:val="00A8127C"/>
    <w:rsid w:val="00AA0800"/>
    <w:rsid w:val="00AA5194"/>
    <w:rsid w:val="00AD3548"/>
    <w:rsid w:val="00AD4584"/>
    <w:rsid w:val="00AF46B9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2DAF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31F9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52F5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AF2A94AD-B4FB-4780-8689-5081A9B5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Izclums">
    <w:name w:val="Emphasis"/>
    <w:basedOn w:val="Noklusjumarindkopasfonts"/>
    <w:uiPriority w:val="20"/>
    <w:qFormat/>
    <w:rsid w:val="005300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sagepub.com/loi/QRJ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vi.lu.lv/lv/LVIZ.htm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tandfonline.com/toc/vhim20/curr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ndfonline.com/vhim20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60CFC758F0D49658753FE163B29225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43D4A33-D88E-4E76-A66A-A52E85B784AF}"/>
      </w:docPartPr>
      <w:docPartBody>
        <w:p w:rsidR="00360D78" w:rsidRDefault="005A67B9" w:rsidP="005A67B9">
          <w:pPr>
            <w:pStyle w:val="D60CFC758F0D49658753FE163B29225A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0A337C236F547C8AE5EB0B968D06E9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DB69964-8000-465D-8D67-3CAD84060FA1}"/>
      </w:docPartPr>
      <w:docPartBody>
        <w:p w:rsidR="00360D78" w:rsidRDefault="005A67B9" w:rsidP="005A67B9">
          <w:pPr>
            <w:pStyle w:val="20A337C236F547C8AE5EB0B968D06E91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7440A63D094904B837022FD875293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2AB4A2B-AC89-4AA8-AA14-6E85F6E6A330}"/>
      </w:docPartPr>
      <w:docPartBody>
        <w:p w:rsidR="00360D78" w:rsidRDefault="005A67B9" w:rsidP="005A67B9">
          <w:pPr>
            <w:pStyle w:val="137440A63D094904B837022FD875293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8F07D2272B84F7A827F2DA99873E6A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FD30655-B996-4DD3-A612-6BBDF0AA7885}"/>
      </w:docPartPr>
      <w:docPartBody>
        <w:p w:rsidR="00360D78" w:rsidRDefault="005A67B9" w:rsidP="005A67B9">
          <w:pPr>
            <w:pStyle w:val="98F07D2272B84F7A827F2DA99873E6A0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3947"/>
    <w:rsid w:val="000B4DB4"/>
    <w:rsid w:val="001023BA"/>
    <w:rsid w:val="00221A22"/>
    <w:rsid w:val="00251532"/>
    <w:rsid w:val="002D3F45"/>
    <w:rsid w:val="00301385"/>
    <w:rsid w:val="00360D78"/>
    <w:rsid w:val="003761D2"/>
    <w:rsid w:val="003E7201"/>
    <w:rsid w:val="003F25CC"/>
    <w:rsid w:val="0045298F"/>
    <w:rsid w:val="004D04D9"/>
    <w:rsid w:val="004F1284"/>
    <w:rsid w:val="004F49AE"/>
    <w:rsid w:val="0050447D"/>
    <w:rsid w:val="005049DF"/>
    <w:rsid w:val="005414C4"/>
    <w:rsid w:val="0055073D"/>
    <w:rsid w:val="00556B0D"/>
    <w:rsid w:val="005A67B9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2558C"/>
    <w:rsid w:val="00963956"/>
    <w:rsid w:val="009661FC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30D8F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537D4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5A67B9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D60CFC758F0D49658753FE163B29225A">
    <w:name w:val="D60CFC758F0D49658753FE163B29225A"/>
    <w:rsid w:val="005A67B9"/>
  </w:style>
  <w:style w:type="paragraph" w:customStyle="1" w:styleId="20A337C236F547C8AE5EB0B968D06E91">
    <w:name w:val="20A337C236F547C8AE5EB0B968D06E91"/>
    <w:rsid w:val="005A67B9"/>
  </w:style>
  <w:style w:type="paragraph" w:customStyle="1" w:styleId="137440A63D094904B837022FD8752935">
    <w:name w:val="137440A63D094904B837022FD8752935"/>
    <w:rsid w:val="005A67B9"/>
  </w:style>
  <w:style w:type="paragraph" w:customStyle="1" w:styleId="98F07D2272B84F7A827F2DA99873E6A0">
    <w:name w:val="98F07D2272B84F7A827F2DA99873E6A0"/>
    <w:rsid w:val="005A67B9"/>
  </w:style>
  <w:style w:type="paragraph" w:customStyle="1" w:styleId="A45E781221214717BEF916BF6477E56E">
    <w:name w:val="A45E781221214717BEF916BF6477E56E"/>
    <w:rsid w:val="005A67B9"/>
  </w:style>
  <w:style w:type="paragraph" w:customStyle="1" w:styleId="86E6AD18705849D9BE7C5D92A92E7092">
    <w:name w:val="86E6AD18705849D9BE7C5D92A92E7092"/>
    <w:rsid w:val="005A67B9"/>
  </w:style>
  <w:style w:type="paragraph" w:customStyle="1" w:styleId="701896785D244A9D8BA4A927027BB952">
    <w:name w:val="701896785D244A9D8BA4A927027BB952"/>
    <w:rsid w:val="005A67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E0260-BB3C-4D00-81CC-8460BA1E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6307</Words>
  <Characters>3596</Characters>
  <Application>Microsoft Office Word</Application>
  <DocSecurity>8</DocSecurity>
  <Lines>29</Lines>
  <Paragraphs>19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7</cp:revision>
  <cp:lastPrinted>2018-11-16T11:31:00Z</cp:lastPrinted>
  <dcterms:created xsi:type="dcterms:W3CDTF">2021-07-26T07:24:00Z</dcterms:created>
  <dcterms:modified xsi:type="dcterms:W3CDTF">2021-08-15T20:37:00Z</dcterms:modified>
</cp:coreProperties>
</file>