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EBF9B" w14:textId="77777777" w:rsidR="00C94547" w:rsidRDefault="00EE1524">
      <w:pPr>
        <w:tabs>
          <w:tab w:val="center" w:pos="4153"/>
          <w:tab w:val="right" w:pos="8306"/>
        </w:tabs>
        <w:jc w:val="center"/>
        <w:rPr>
          <w:b/>
          <w:color w:val="000000"/>
          <w:sz w:val="28"/>
          <w:szCs w:val="28"/>
        </w:rPr>
      </w:pPr>
      <w:r>
        <w:rPr>
          <w:b/>
          <w:color w:val="000000"/>
          <w:sz w:val="28"/>
          <w:szCs w:val="28"/>
        </w:rPr>
        <w:t>DAUGAVPILS UNIVERSITĀTES</w:t>
      </w:r>
    </w:p>
    <w:p w14:paraId="3249A3A8" w14:textId="77777777" w:rsidR="00C94547" w:rsidRDefault="00EE1524">
      <w:pPr>
        <w:jc w:val="center"/>
        <w:rPr>
          <w:b/>
          <w:sz w:val="28"/>
          <w:szCs w:val="28"/>
        </w:rPr>
      </w:pPr>
      <w:r>
        <w:rPr>
          <w:b/>
          <w:sz w:val="28"/>
          <w:szCs w:val="28"/>
        </w:rPr>
        <w:t>STUDIJU KURSA APRAKSTS</w:t>
      </w:r>
    </w:p>
    <w:p w14:paraId="4E1831BB" w14:textId="77777777" w:rsidR="00C94547" w:rsidRDefault="00C94547"/>
    <w:tbl>
      <w:tblPr>
        <w:tblW w:w="9039" w:type="dxa"/>
        <w:tblLook w:val="0400" w:firstRow="0" w:lastRow="0" w:firstColumn="0" w:lastColumn="0" w:noHBand="0" w:noVBand="1"/>
      </w:tblPr>
      <w:tblGrid>
        <w:gridCol w:w="4217"/>
        <w:gridCol w:w="4822"/>
      </w:tblGrid>
      <w:tr w:rsidR="00C94547" w14:paraId="297EE81C"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1138BAA3" w14:textId="77777777" w:rsidR="00C94547" w:rsidRDefault="00EE1524">
            <w:pPr>
              <w:rPr>
                <w:b/>
                <w:i/>
                <w:color w:val="000000"/>
              </w:rPr>
            </w:pPr>
            <w:r>
              <w:rPr>
                <w:b/>
                <w:i/>
                <w:color w:val="000000"/>
              </w:rPr>
              <w:t>Studiju kursa nosaukums</w:t>
            </w:r>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CC1AD" w14:textId="70F282F1" w:rsidR="00C94547" w:rsidRDefault="00EE1524" w:rsidP="0048316D">
            <w:r>
              <w:t>Klīniskā farmakoloģija un medikamentozā aprūpe</w:t>
            </w:r>
          </w:p>
        </w:tc>
      </w:tr>
      <w:tr w:rsidR="00C94547" w14:paraId="742FA9FF"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049B40FC" w14:textId="77777777" w:rsidR="00C94547" w:rsidRDefault="00EE1524">
            <w:pPr>
              <w:rPr>
                <w:b/>
                <w:i/>
                <w:color w:val="000000"/>
              </w:rPr>
            </w:pPr>
            <w:r>
              <w:rPr>
                <w:b/>
                <w:i/>
                <w:color w:val="000000"/>
              </w:rPr>
              <w:t>Studiju kursa kods (DUIS)</w:t>
            </w:r>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8A99C" w14:textId="77777777" w:rsidR="00C94547" w:rsidRDefault="00EE1524">
            <w:r>
              <w:t xml:space="preserve"> </w:t>
            </w:r>
          </w:p>
        </w:tc>
      </w:tr>
      <w:tr w:rsidR="00C94547" w14:paraId="3A744D4A"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6399A427" w14:textId="77777777" w:rsidR="00C94547" w:rsidRDefault="00EE1524">
            <w:pPr>
              <w:rPr>
                <w:b/>
                <w:i/>
                <w:color w:val="000000"/>
              </w:rPr>
            </w:pPr>
            <w:r>
              <w:rPr>
                <w:b/>
                <w:i/>
                <w:color w:val="000000"/>
              </w:rPr>
              <w:t>Zinātnes nozare</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183B6A93" w14:textId="77777777" w:rsidR="00C94547" w:rsidRDefault="00EE1524">
            <w:pPr>
              <w:rPr>
                <w:b/>
              </w:rPr>
            </w:pPr>
            <w:r>
              <w:rPr>
                <w:b/>
              </w:rPr>
              <w:t>Medicīna</w:t>
            </w:r>
          </w:p>
        </w:tc>
      </w:tr>
      <w:tr w:rsidR="00C94547" w14:paraId="55BDD066"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1AC5D917" w14:textId="77777777" w:rsidR="00C94547" w:rsidRDefault="00EE1524">
            <w:pPr>
              <w:rPr>
                <w:b/>
                <w:i/>
                <w:color w:val="000000"/>
              </w:rPr>
            </w:pPr>
            <w:r>
              <w:rPr>
                <w:b/>
                <w:i/>
                <w:color w:val="000000"/>
              </w:rPr>
              <w:t>Kursa līmenis</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33260C97" w14:textId="77777777" w:rsidR="00C94547" w:rsidRDefault="00EE1524">
            <w:r>
              <w:t>4</w:t>
            </w:r>
          </w:p>
        </w:tc>
      </w:tr>
      <w:tr w:rsidR="00C94547" w14:paraId="0A492C1F"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6DF0C732" w14:textId="77777777" w:rsidR="00C94547" w:rsidRDefault="00EE1524">
            <w:pPr>
              <w:rPr>
                <w:b/>
                <w:i/>
                <w:color w:val="000000"/>
                <w:u w:val="single"/>
              </w:rPr>
            </w:pPr>
            <w:r>
              <w:rPr>
                <w:b/>
                <w:i/>
                <w:color w:val="000000"/>
              </w:rPr>
              <w:t>Kredītpunkti</w:t>
            </w:r>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6C9D1" w14:textId="1AE802B4" w:rsidR="00C94547" w:rsidRDefault="00EE1524" w:rsidP="007B4AEE">
            <w:r>
              <w:t xml:space="preserve">2 </w:t>
            </w:r>
            <w:r w:rsidR="002A70FB">
              <w:t xml:space="preserve"> </w:t>
            </w:r>
          </w:p>
        </w:tc>
      </w:tr>
      <w:tr w:rsidR="00C94547" w14:paraId="4CC4E2DB" w14:textId="77777777" w:rsidTr="0048316D">
        <w:trPr>
          <w:trHeight w:val="73"/>
        </w:trPr>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342E68E5" w14:textId="77777777" w:rsidR="00C94547" w:rsidRDefault="00EE1524">
            <w:pPr>
              <w:rPr>
                <w:b/>
                <w:i/>
                <w:color w:val="000000"/>
                <w:u w:val="single"/>
              </w:rPr>
            </w:pPr>
            <w:r>
              <w:rPr>
                <w:b/>
                <w:i/>
                <w:color w:val="000000"/>
              </w:rPr>
              <w:t>ECTS kredītpunkti</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737AE58A" w14:textId="5BA0A086" w:rsidR="00C94547" w:rsidRDefault="00EE1524" w:rsidP="007B4AEE">
            <w:r>
              <w:t xml:space="preserve">3 </w:t>
            </w:r>
            <w:r w:rsidR="002A70FB">
              <w:t xml:space="preserve"> </w:t>
            </w:r>
          </w:p>
        </w:tc>
      </w:tr>
      <w:tr w:rsidR="00C94547" w14:paraId="37F25598"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383FD1FD" w14:textId="77777777" w:rsidR="00C94547" w:rsidRDefault="00EE1524">
            <w:pPr>
              <w:rPr>
                <w:b/>
                <w:i/>
                <w:color w:val="000000"/>
              </w:rPr>
            </w:pPr>
            <w:r>
              <w:rPr>
                <w:b/>
                <w:i/>
                <w:color w:val="000000"/>
              </w:rPr>
              <w:t>Kopējais kontaktstundu skaits</w:t>
            </w:r>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79601" w14:textId="2AEFB0DA" w:rsidR="00C94547" w:rsidRPr="0048316D" w:rsidRDefault="0047676B">
            <w:r>
              <w:t>32</w:t>
            </w:r>
          </w:p>
        </w:tc>
      </w:tr>
      <w:tr w:rsidR="00C94547" w14:paraId="59CC84B7"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66CA68A8" w14:textId="77777777" w:rsidR="00C94547" w:rsidRDefault="00EE1524">
            <w:pPr>
              <w:rPr>
                <w:i/>
                <w:color w:val="000000"/>
              </w:rPr>
            </w:pPr>
            <w:r>
              <w:rPr>
                <w:i/>
                <w:color w:val="000000"/>
              </w:rPr>
              <w:t>Lekciju stundu skaits</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7E1DD6F6" w14:textId="255F8E90" w:rsidR="00C94547" w:rsidRPr="0048316D" w:rsidRDefault="00C94547">
            <w:pPr>
              <w:rPr>
                <w:strike/>
              </w:rPr>
            </w:pPr>
          </w:p>
        </w:tc>
      </w:tr>
      <w:tr w:rsidR="00C94547" w14:paraId="70AD9B63"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160C494F" w14:textId="77777777" w:rsidR="00C94547" w:rsidRDefault="00EE1524">
            <w:pPr>
              <w:rPr>
                <w:i/>
                <w:color w:val="000000"/>
              </w:rPr>
            </w:pPr>
            <w:r>
              <w:rPr>
                <w:i/>
                <w:color w:val="000000"/>
              </w:rPr>
              <w:t>Semināru stundu skaits</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70651398" w14:textId="77777777" w:rsidR="00C94547" w:rsidRPr="0048316D" w:rsidRDefault="00EE1524">
            <w:r w:rsidRPr="0048316D">
              <w:t xml:space="preserve">- </w:t>
            </w:r>
          </w:p>
        </w:tc>
      </w:tr>
      <w:tr w:rsidR="00C94547" w14:paraId="356BB9F8"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4F2F17D4" w14:textId="76AA1A41" w:rsidR="00C94547" w:rsidRDefault="00105E63">
            <w:pPr>
              <w:rPr>
                <w:i/>
                <w:color w:val="000000"/>
              </w:rPr>
            </w:pPr>
            <w:proofErr w:type="spellStart"/>
            <w:r>
              <w:rPr>
                <w:i/>
                <w:color w:val="000000"/>
              </w:rPr>
              <w:t>Praktisko</w:t>
            </w:r>
            <w:r w:rsidR="00EE1524">
              <w:rPr>
                <w:i/>
                <w:color w:val="000000"/>
              </w:rPr>
              <w:t>mācību</w:t>
            </w:r>
            <w:proofErr w:type="spellEnd"/>
            <w:r w:rsidR="00EE1524">
              <w:rPr>
                <w:i/>
                <w:color w:val="000000"/>
              </w:rPr>
              <w:t xml:space="preserve"> stundu skaits</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5CB20B63" w14:textId="4F58D852" w:rsidR="00C94547" w:rsidRPr="0048316D" w:rsidRDefault="0047676B">
            <w:r>
              <w:t>32</w:t>
            </w:r>
          </w:p>
        </w:tc>
      </w:tr>
      <w:tr w:rsidR="00C94547" w14:paraId="290D43D7"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00CA333E" w14:textId="77777777" w:rsidR="00C94547" w:rsidRDefault="00EE1524">
            <w:pPr>
              <w:rPr>
                <w:i/>
                <w:color w:val="000000"/>
              </w:rPr>
            </w:pPr>
            <w:r>
              <w:rPr>
                <w:i/>
                <w:color w:val="000000"/>
              </w:rPr>
              <w:t>Laboratorijas darbu stundu skaits</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681C8453" w14:textId="77777777" w:rsidR="00C94547" w:rsidRPr="0048316D" w:rsidRDefault="00EE1524">
            <w:r w:rsidRPr="0048316D">
              <w:t xml:space="preserve"> </w:t>
            </w:r>
          </w:p>
        </w:tc>
      </w:tr>
      <w:tr w:rsidR="00C94547" w14:paraId="658D9AA5" w14:textId="77777777">
        <w:tc>
          <w:tcPr>
            <w:tcW w:w="4217" w:type="dxa"/>
            <w:tcBorders>
              <w:top w:val="single" w:sz="4" w:space="0" w:color="000000"/>
              <w:left w:val="single" w:sz="4" w:space="0" w:color="000000"/>
              <w:bottom w:val="single" w:sz="4" w:space="0" w:color="000000"/>
              <w:right w:val="single" w:sz="4" w:space="0" w:color="000000"/>
            </w:tcBorders>
            <w:shd w:val="clear" w:color="auto" w:fill="auto"/>
          </w:tcPr>
          <w:p w14:paraId="7CF04C52" w14:textId="77777777" w:rsidR="00C94547" w:rsidRDefault="00EE1524">
            <w:pPr>
              <w:rPr>
                <w:i/>
                <w:color w:val="000000"/>
              </w:rPr>
            </w:pPr>
            <w:r>
              <w:rPr>
                <w:i/>
                <w:color w:val="000000"/>
              </w:rPr>
              <w:t>Studējošā patstāvīgā darba stundu skaits</w:t>
            </w:r>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CCEFD" w14:textId="78A4A232" w:rsidR="00C94547" w:rsidRPr="0048316D" w:rsidRDefault="0047676B" w:rsidP="0048316D">
            <w:r>
              <w:t>48</w:t>
            </w:r>
          </w:p>
        </w:tc>
      </w:tr>
      <w:tr w:rsidR="00C94547" w14:paraId="3E11FB50"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72AAE0" w14:textId="77777777" w:rsidR="00C94547" w:rsidRPr="0048316D" w:rsidRDefault="00C94547"/>
        </w:tc>
      </w:tr>
      <w:tr w:rsidR="00C94547" w14:paraId="69552CE0"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E2FEC8" w14:textId="77777777" w:rsidR="00C94547" w:rsidRDefault="00EE1524">
            <w:pPr>
              <w:rPr>
                <w:b/>
                <w:i/>
                <w:color w:val="000000"/>
              </w:rPr>
            </w:pPr>
            <w:r>
              <w:rPr>
                <w:b/>
                <w:i/>
                <w:color w:val="000000"/>
              </w:rPr>
              <w:t>Kursa autors(-i)</w:t>
            </w:r>
          </w:p>
        </w:tc>
      </w:tr>
      <w:tr w:rsidR="00C94547" w14:paraId="05BC253D"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A76EA3" w14:textId="77777777" w:rsidR="00C94547" w:rsidRDefault="00EE1524">
            <w:r>
              <w:t xml:space="preserve">Mag. </w:t>
            </w:r>
            <w:proofErr w:type="spellStart"/>
            <w:r>
              <w:t>pharm</w:t>
            </w:r>
            <w:proofErr w:type="spellEnd"/>
            <w:r>
              <w:t xml:space="preserve">., </w:t>
            </w:r>
            <w:proofErr w:type="spellStart"/>
            <w:r>
              <w:t>vieslekt</w:t>
            </w:r>
            <w:proofErr w:type="spellEnd"/>
            <w:r>
              <w:t>. I. Drozdovska,</w:t>
            </w:r>
          </w:p>
          <w:p w14:paraId="494C0DD9" w14:textId="1756EBE3" w:rsidR="00C94547" w:rsidRDefault="00EE1524">
            <w:proofErr w:type="spellStart"/>
            <w:r>
              <w:t>Mg.sc.sal</w:t>
            </w:r>
            <w:proofErr w:type="spellEnd"/>
            <w:r>
              <w:t xml:space="preserve">., māsa, lekt. Kristīne </w:t>
            </w:r>
            <w:proofErr w:type="spellStart"/>
            <w:r>
              <w:t>Agafonova</w:t>
            </w:r>
            <w:proofErr w:type="spellEnd"/>
          </w:p>
        </w:tc>
      </w:tr>
      <w:tr w:rsidR="00C94547" w14:paraId="3119FD22"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1DED3BC0" w14:textId="77777777" w:rsidR="00C94547" w:rsidRDefault="00EE1524">
            <w:pPr>
              <w:rPr>
                <w:b/>
                <w:i/>
                <w:color w:val="000000"/>
              </w:rPr>
            </w:pPr>
            <w:r>
              <w:rPr>
                <w:b/>
                <w:i/>
                <w:color w:val="000000"/>
              </w:rPr>
              <w:t>Kursa docētājs(-i)</w:t>
            </w:r>
          </w:p>
        </w:tc>
      </w:tr>
      <w:tr w:rsidR="00C94547" w14:paraId="7074F3FF"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10C6A9" w14:textId="77777777" w:rsidR="00C94547" w:rsidRDefault="00EE1524">
            <w:proofErr w:type="spellStart"/>
            <w:r>
              <w:t>Mg.sc.sal</w:t>
            </w:r>
            <w:proofErr w:type="spellEnd"/>
            <w:r>
              <w:t xml:space="preserve">., māsa, lekt. Kristīne </w:t>
            </w:r>
            <w:proofErr w:type="spellStart"/>
            <w:r>
              <w:t>Agafonova</w:t>
            </w:r>
            <w:proofErr w:type="spellEnd"/>
            <w:r>
              <w:t xml:space="preserve">, </w:t>
            </w:r>
          </w:p>
          <w:p w14:paraId="17A21BE9" w14:textId="77777777" w:rsidR="00C94547" w:rsidRDefault="00EE1524">
            <w:r>
              <w:t xml:space="preserve">MBA, </w:t>
            </w:r>
            <w:proofErr w:type="spellStart"/>
            <w:r>
              <w:t>māsas</w:t>
            </w:r>
            <w:proofErr w:type="spellEnd"/>
            <w:r>
              <w:t xml:space="preserve"> grāds, </w:t>
            </w:r>
            <w:proofErr w:type="spellStart"/>
            <w:r>
              <w:t>vieslekt</w:t>
            </w:r>
            <w:proofErr w:type="spellEnd"/>
            <w:r>
              <w:t xml:space="preserve">. Olga </w:t>
            </w:r>
            <w:proofErr w:type="spellStart"/>
            <w:r>
              <w:t>Kalvāne</w:t>
            </w:r>
            <w:proofErr w:type="spellEnd"/>
          </w:p>
          <w:p w14:paraId="41157D4E" w14:textId="77777777" w:rsidR="00C94547" w:rsidRDefault="00EE1524">
            <w:r>
              <w:t xml:space="preserve">Mag. </w:t>
            </w:r>
            <w:proofErr w:type="spellStart"/>
            <w:r>
              <w:t>pharm</w:t>
            </w:r>
            <w:proofErr w:type="spellEnd"/>
            <w:r>
              <w:t xml:space="preserve">., </w:t>
            </w:r>
            <w:proofErr w:type="spellStart"/>
            <w:r>
              <w:t>vieslekt</w:t>
            </w:r>
            <w:proofErr w:type="spellEnd"/>
            <w:r>
              <w:t>. I. Drozdovska</w:t>
            </w:r>
          </w:p>
        </w:tc>
      </w:tr>
      <w:tr w:rsidR="00C94547" w14:paraId="05C94115"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C17599" w14:textId="77777777" w:rsidR="00C94547" w:rsidRDefault="00EE1524">
            <w:pPr>
              <w:rPr>
                <w:b/>
                <w:i/>
                <w:color w:val="000000"/>
              </w:rPr>
            </w:pPr>
            <w:r>
              <w:rPr>
                <w:b/>
                <w:i/>
                <w:color w:val="000000"/>
              </w:rPr>
              <w:t>Priekšzināšanas</w:t>
            </w:r>
          </w:p>
        </w:tc>
      </w:tr>
      <w:tr w:rsidR="00C94547" w14:paraId="68F59C62"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14D27595" w14:textId="77777777" w:rsidR="00C94547" w:rsidRDefault="00EE1524">
            <w:r>
              <w:t xml:space="preserve">Fizioloģija, latīņu valoda, iekšķīgās slimības </w:t>
            </w:r>
          </w:p>
        </w:tc>
      </w:tr>
      <w:tr w:rsidR="00C94547" w14:paraId="2FB970B6"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317D51D7" w14:textId="77777777" w:rsidR="00C94547" w:rsidRDefault="00EE1524">
            <w:pPr>
              <w:rPr>
                <w:b/>
                <w:i/>
                <w:color w:val="000000"/>
              </w:rPr>
            </w:pPr>
            <w:r>
              <w:rPr>
                <w:b/>
                <w:i/>
                <w:color w:val="000000"/>
              </w:rPr>
              <w:t xml:space="preserve">Studiju kursa anotācija </w:t>
            </w:r>
          </w:p>
        </w:tc>
      </w:tr>
      <w:tr w:rsidR="00C94547" w14:paraId="597D4BA8"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7825B428" w14:textId="77777777" w:rsidR="00C94547" w:rsidRDefault="00EE1524" w:rsidP="007B4AEE">
            <w:pPr>
              <w:jc w:val="both"/>
            </w:pPr>
            <w:r>
              <w:t xml:space="preserve">Studiju kurss ir paredzēts DU „Māszinības” studējošajiem. Kursa mērķis - veidot zinātnisku un praktisku izpratni par ārstnieciskajām vielām un to iedarbību uz organismu. Kursa apguves gaitā studējošie iegūst zināšanas un attīsta praktiskas iemaņas simulācijas centrā. Studējoši kursa satura laikā iepazīstas ar vispārējo farmakoloģiju, farmakokinētiku un farmakodinamiku, apgūst medikamentu vielas pēc to iedarbības uz dažādām orgānu sistēmām, iespējamās medikamentu izraisītās blaknes un to novēršanu, apgūst galvenās medikamentu vielu grupas, līdzekļus, kas ietilpst attiecīgajās grupās, lietošanas indikācijas un kontrindikācijas. Studiju kursa simulāciju nodarbībās studējošie apgūst praktiskas iemaņas medikamentu klīniskajā pielietojumā, to iedarbību uz cilvēka organismu, medikamentu mijiedarbību, par medikamentu lietošanu un pacientu aprūpes īpatnībām saistībā ar dažādu grupu medikamentu izmantošanu. Studenti iegūst padziļinātu izpratni par neirotropajiem, </w:t>
            </w:r>
            <w:proofErr w:type="spellStart"/>
            <w:r>
              <w:t>metabolitropajiem</w:t>
            </w:r>
            <w:proofErr w:type="spellEnd"/>
            <w:r>
              <w:t xml:space="preserve">, izpildorgānus ietekmējošiem un </w:t>
            </w:r>
            <w:proofErr w:type="spellStart"/>
            <w:r>
              <w:t>pretmikrobiskajiem</w:t>
            </w:r>
            <w:proofErr w:type="spellEnd"/>
            <w:r>
              <w:t xml:space="preserve"> medikamentiem, to pielietojuma mērķiem un veidu.</w:t>
            </w:r>
          </w:p>
        </w:tc>
      </w:tr>
      <w:tr w:rsidR="00C94547" w14:paraId="54BB5807"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CC3FE0" w14:textId="77777777" w:rsidR="00C94547" w:rsidRDefault="00EE1524">
            <w:pPr>
              <w:rPr>
                <w:b/>
                <w:i/>
                <w:color w:val="000000"/>
              </w:rPr>
            </w:pPr>
            <w:r>
              <w:rPr>
                <w:b/>
                <w:i/>
                <w:color w:val="000000"/>
              </w:rPr>
              <w:t>Studiju kursa kalendārais plāns</w:t>
            </w:r>
          </w:p>
        </w:tc>
      </w:tr>
      <w:tr w:rsidR="00C94547" w14:paraId="0C455C7B"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2CF4B6" w14:textId="774ECCEA" w:rsidR="00C94547" w:rsidRPr="00ED67DC" w:rsidRDefault="00EE1524">
            <w:r w:rsidRPr="00ED67DC">
              <w:t xml:space="preserve">Klīniskās mācības </w:t>
            </w:r>
            <w:r w:rsidR="00105E63">
              <w:t>P</w:t>
            </w:r>
            <w:r w:rsidR="0047676B">
              <w:t>32</w:t>
            </w:r>
            <w:r w:rsidRPr="00ED67DC">
              <w:t xml:space="preserve">, Patstāvīgais darbs </w:t>
            </w:r>
            <w:proofErr w:type="spellStart"/>
            <w:r w:rsidRPr="00ED67DC">
              <w:t>Pd</w:t>
            </w:r>
            <w:proofErr w:type="spellEnd"/>
            <w:r w:rsidR="001C1FDB" w:rsidRPr="00ED67DC">
              <w:t xml:space="preserve"> </w:t>
            </w:r>
            <w:r w:rsidR="0047676B">
              <w:t>48</w:t>
            </w:r>
            <w:r w:rsidRPr="00ED67DC">
              <w:t xml:space="preserve"> stundas.</w:t>
            </w:r>
          </w:p>
          <w:p w14:paraId="01B4C0BD" w14:textId="2985D9A5" w:rsidR="00C94547" w:rsidRPr="00ED67DC" w:rsidRDefault="00EE1524">
            <w:r w:rsidRPr="00ED67DC">
              <w:t>Vispārējā klīniskā farmakoloģij</w:t>
            </w:r>
            <w:r w:rsidRPr="0048316D">
              <w:t>a</w:t>
            </w:r>
            <w:r w:rsidR="0048316D" w:rsidRPr="0048316D">
              <w:t xml:space="preserve">. </w:t>
            </w:r>
            <w:r w:rsidR="00105E63">
              <w:t>P</w:t>
            </w:r>
            <w:r w:rsidR="0048316D">
              <w:t xml:space="preserve"> </w:t>
            </w:r>
            <w:r w:rsidR="0047676B">
              <w:t>10</w:t>
            </w:r>
          </w:p>
          <w:p w14:paraId="0E52C53D" w14:textId="055F4436" w:rsidR="00C94547" w:rsidRPr="00ED67DC" w:rsidRDefault="00EE1524">
            <w:r w:rsidRPr="00ED67DC">
              <w:t xml:space="preserve">Ārstniecisko līdzekļu un medikamentu farmakoloģija. </w:t>
            </w:r>
            <w:r w:rsidR="00105E63">
              <w:t>P</w:t>
            </w:r>
            <w:r w:rsidRPr="00ED67DC">
              <w:t xml:space="preserve"> </w:t>
            </w:r>
            <w:r w:rsidR="0047676B">
              <w:t>13</w:t>
            </w:r>
          </w:p>
          <w:p w14:paraId="18657FF2" w14:textId="4FEEB6D5" w:rsidR="00C94547" w:rsidRPr="00ED67DC" w:rsidRDefault="00EE1524">
            <w:r w:rsidRPr="00ED67DC">
              <w:t xml:space="preserve">Medikamentozā terapija. </w:t>
            </w:r>
            <w:r w:rsidR="00105E63">
              <w:t>P</w:t>
            </w:r>
            <w:r w:rsidRPr="00ED67DC">
              <w:t xml:space="preserve"> </w:t>
            </w:r>
            <w:r w:rsidR="0047676B">
              <w:t>9</w:t>
            </w:r>
          </w:p>
          <w:p w14:paraId="6B00869B" w14:textId="77777777" w:rsidR="00651654" w:rsidRDefault="00651654"/>
          <w:p w14:paraId="080222C8" w14:textId="2CD4D58A" w:rsidR="00C94547" w:rsidRDefault="00105E63">
            <w:r>
              <w:t>P</w:t>
            </w:r>
            <w:r w:rsidR="00EE1524">
              <w:t xml:space="preserve"> - </w:t>
            </w:r>
            <w:r>
              <w:t>Praktiskās</w:t>
            </w:r>
            <w:r w:rsidR="00EE1524">
              <w:t xml:space="preserve"> mācības</w:t>
            </w:r>
          </w:p>
          <w:p w14:paraId="54FD1617" w14:textId="5DD93400" w:rsidR="00C94547" w:rsidRDefault="00651654">
            <w:proofErr w:type="spellStart"/>
            <w:r>
              <w:t>Pd</w:t>
            </w:r>
            <w:proofErr w:type="spellEnd"/>
            <w:r>
              <w:t xml:space="preserve"> –patstāvīgais darbs</w:t>
            </w:r>
          </w:p>
        </w:tc>
      </w:tr>
      <w:tr w:rsidR="00C94547" w14:paraId="106DA575"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F99247" w14:textId="77777777" w:rsidR="00C94547" w:rsidRDefault="00EE1524">
            <w:pPr>
              <w:rPr>
                <w:b/>
                <w:i/>
                <w:color w:val="000000"/>
              </w:rPr>
            </w:pPr>
            <w:r>
              <w:rPr>
                <w:b/>
                <w:i/>
                <w:color w:val="000000"/>
              </w:rPr>
              <w:lastRenderedPageBreak/>
              <w:t>Studiju rezultāti</w:t>
            </w:r>
          </w:p>
        </w:tc>
      </w:tr>
      <w:tr w:rsidR="00C94547" w14:paraId="0755EEE8"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71300D" w14:textId="77777777" w:rsidR="00C94547" w:rsidRDefault="00EE1524">
            <w:r>
              <w:t>Zināšanas</w:t>
            </w:r>
          </w:p>
          <w:p w14:paraId="664D458D" w14:textId="695EC89A" w:rsidR="00C94547" w:rsidRDefault="00EE1524" w:rsidP="007B4AEE">
            <w:pPr>
              <w:pStyle w:val="ListParagraph"/>
              <w:numPr>
                <w:ilvl w:val="0"/>
                <w:numId w:val="5"/>
              </w:numPr>
              <w:ind w:left="306" w:hanging="284"/>
            </w:pPr>
            <w:r>
              <w:t>Iepazīties ar vispārējo farmakoloģiju.</w:t>
            </w:r>
          </w:p>
          <w:p w14:paraId="3D722277" w14:textId="6BFBB888" w:rsidR="00C94547" w:rsidRDefault="00EE1524" w:rsidP="007B4AEE">
            <w:pPr>
              <w:pStyle w:val="ListParagraph"/>
              <w:numPr>
                <w:ilvl w:val="0"/>
                <w:numId w:val="5"/>
              </w:numPr>
              <w:ind w:left="306" w:hanging="284"/>
              <w:jc w:val="both"/>
            </w:pPr>
            <w:r>
              <w:t>Apgūst medikamentu vielas pēc to iedarbības uz dažādām orgānu sistēmām, iespējamās medikamentu izraisītās blaknes un to novēršanu.</w:t>
            </w:r>
          </w:p>
          <w:p w14:paraId="5EA10CD0" w14:textId="07A7329E" w:rsidR="00C94547" w:rsidRDefault="00EE1524" w:rsidP="007B4AEE">
            <w:pPr>
              <w:pStyle w:val="ListParagraph"/>
              <w:numPr>
                <w:ilvl w:val="0"/>
                <w:numId w:val="5"/>
              </w:numPr>
              <w:ind w:left="306" w:hanging="284"/>
              <w:jc w:val="both"/>
            </w:pPr>
            <w:r>
              <w:t>Zināt galvenās medikamentu vielu grupas, līdzekļus, kas ietilpst attiecīgajās grupās, lietošanas indikācijas un kontrindikācijas.</w:t>
            </w:r>
          </w:p>
          <w:p w14:paraId="637582BE" w14:textId="27177E30" w:rsidR="00C94547" w:rsidRDefault="00EE1524" w:rsidP="007B4AEE">
            <w:pPr>
              <w:pStyle w:val="ListParagraph"/>
              <w:numPr>
                <w:ilvl w:val="0"/>
                <w:numId w:val="5"/>
              </w:numPr>
              <w:ind w:left="306" w:hanging="284"/>
              <w:jc w:val="both"/>
            </w:pPr>
            <w:r>
              <w:t xml:space="preserve">Izpratnes līmenī pārzināt </w:t>
            </w:r>
            <w:proofErr w:type="spellStart"/>
            <w:r>
              <w:t>antimikrobo</w:t>
            </w:r>
            <w:proofErr w:type="spellEnd"/>
            <w:r>
              <w:t xml:space="preserve"> rezistenci un </w:t>
            </w:r>
            <w:proofErr w:type="spellStart"/>
            <w:r>
              <w:t>atbildīgu</w:t>
            </w:r>
            <w:proofErr w:type="spellEnd"/>
            <w:r>
              <w:t xml:space="preserve"> antibiotiku </w:t>
            </w:r>
            <w:proofErr w:type="spellStart"/>
            <w:r>
              <w:t>lietošanas</w:t>
            </w:r>
            <w:proofErr w:type="spellEnd"/>
            <w:r>
              <w:t xml:space="preserve"> pamatprincipus. </w:t>
            </w:r>
          </w:p>
          <w:p w14:paraId="2E25A48B" w14:textId="39A640BD" w:rsidR="00C94547" w:rsidRDefault="00EE1524" w:rsidP="007B4AEE">
            <w:pPr>
              <w:pStyle w:val="ListParagraph"/>
              <w:numPr>
                <w:ilvl w:val="0"/>
                <w:numId w:val="5"/>
              </w:numPr>
              <w:ind w:left="306" w:hanging="284"/>
              <w:jc w:val="both"/>
            </w:pPr>
            <w:r>
              <w:t xml:space="preserve">Izpratnes līmenī pārzināt </w:t>
            </w:r>
            <w:proofErr w:type="spellStart"/>
            <w:r>
              <w:t>farmakokinētikas</w:t>
            </w:r>
            <w:proofErr w:type="spellEnd"/>
            <w:r>
              <w:t xml:space="preserve"> un farmakodinamikas pamatprincipus.</w:t>
            </w:r>
          </w:p>
          <w:p w14:paraId="75262316" w14:textId="66E7729C" w:rsidR="00C94547" w:rsidRDefault="00EE1524" w:rsidP="007B4AEE">
            <w:pPr>
              <w:pStyle w:val="ListParagraph"/>
              <w:numPr>
                <w:ilvl w:val="0"/>
                <w:numId w:val="5"/>
              </w:numPr>
              <w:ind w:left="306" w:hanging="284"/>
              <w:jc w:val="both"/>
            </w:pPr>
            <w:r>
              <w:t>Praktisko iemaņu līmenī pārzināt medikamentozās terapijas un aprūpes principus.</w:t>
            </w:r>
          </w:p>
          <w:p w14:paraId="5824B166" w14:textId="77777777" w:rsidR="007B4AEE" w:rsidRDefault="007B4AEE" w:rsidP="007B4AEE">
            <w:pPr>
              <w:pStyle w:val="ListParagraph"/>
              <w:ind w:left="306"/>
              <w:jc w:val="both"/>
            </w:pPr>
          </w:p>
          <w:p w14:paraId="531D04D8" w14:textId="77777777" w:rsidR="00C94547" w:rsidRDefault="00EE1524" w:rsidP="0055380C">
            <w:pPr>
              <w:jc w:val="both"/>
            </w:pPr>
            <w:r>
              <w:t>Prasmes:</w:t>
            </w:r>
          </w:p>
          <w:p w14:paraId="1B4FA411" w14:textId="77777777" w:rsidR="00C94547" w:rsidRDefault="00EE1524" w:rsidP="007B4AEE">
            <w:pPr>
              <w:ind w:left="306" w:hanging="306"/>
              <w:jc w:val="both"/>
            </w:pPr>
            <w:r>
              <w:t>1. Izskaidrot medikamentozās terapijas mērķus.</w:t>
            </w:r>
          </w:p>
          <w:p w14:paraId="5955F298" w14:textId="77777777" w:rsidR="00C94547" w:rsidRDefault="00EE1524" w:rsidP="007B4AEE">
            <w:pPr>
              <w:ind w:left="306" w:hanging="306"/>
              <w:jc w:val="both"/>
            </w:pPr>
            <w:r>
              <w:t>2. Izvērtēt medikamentozās aprūpes zāļu vielu lietošanu, efektus un devas.</w:t>
            </w:r>
          </w:p>
          <w:p w14:paraId="5148A9ED" w14:textId="77777777" w:rsidR="00C94547" w:rsidRDefault="00EE1524" w:rsidP="007B4AEE">
            <w:pPr>
              <w:ind w:left="306" w:hanging="306"/>
              <w:jc w:val="both"/>
            </w:pPr>
            <w:r>
              <w:t>3. Prognozēt ar zāļu vielu saistītās iespējamās blakusparādības.</w:t>
            </w:r>
          </w:p>
          <w:p w14:paraId="6BABDAD6" w14:textId="77777777" w:rsidR="00C94547" w:rsidRDefault="00EE1524" w:rsidP="007B4AEE">
            <w:pPr>
              <w:ind w:left="306" w:hanging="306"/>
              <w:jc w:val="both"/>
            </w:pPr>
            <w:r>
              <w:t xml:space="preserve">4. Lietot </w:t>
            </w:r>
            <w:proofErr w:type="spellStart"/>
            <w:r>
              <w:t>zāļu</w:t>
            </w:r>
            <w:proofErr w:type="spellEnd"/>
            <w:r>
              <w:t xml:space="preserve"> devu </w:t>
            </w:r>
            <w:proofErr w:type="spellStart"/>
            <w:r>
              <w:t>kalkulācijas</w:t>
            </w:r>
            <w:proofErr w:type="spellEnd"/>
            <w:r>
              <w:t xml:space="preserve"> metodes. </w:t>
            </w:r>
          </w:p>
          <w:p w14:paraId="3AF7399B" w14:textId="77777777" w:rsidR="00C94547" w:rsidRDefault="00EE1524" w:rsidP="007B4AEE">
            <w:pPr>
              <w:ind w:left="306" w:hanging="306"/>
              <w:jc w:val="both"/>
            </w:pPr>
            <w:r>
              <w:t>5. Ievērot drošības pamatprincipus medikamentozajā aprūpē.</w:t>
            </w:r>
          </w:p>
          <w:p w14:paraId="3969BE82" w14:textId="0A065B34" w:rsidR="00C94547" w:rsidRDefault="00EE1524" w:rsidP="007B4AEE">
            <w:pPr>
              <w:ind w:left="306" w:hanging="306"/>
              <w:jc w:val="both"/>
            </w:pPr>
            <w:r>
              <w:t>6. Prast strādāt ar zāļu datu bāzēm, iespējamo blakusparādību, mijiedarbību preventīvai novērtēšanai.</w:t>
            </w:r>
          </w:p>
          <w:p w14:paraId="30E58CD8" w14:textId="77777777" w:rsidR="007B4AEE" w:rsidRDefault="007B4AEE" w:rsidP="007B4AEE">
            <w:pPr>
              <w:ind w:left="306" w:hanging="306"/>
              <w:jc w:val="both"/>
            </w:pPr>
          </w:p>
          <w:p w14:paraId="28BE5AD8" w14:textId="77777777" w:rsidR="00C94547" w:rsidRDefault="00EE1524">
            <w:r>
              <w:t>Klīniskās prasmes:</w:t>
            </w:r>
          </w:p>
          <w:p w14:paraId="29AFCD3D" w14:textId="77777777" w:rsidR="00C94547" w:rsidRDefault="00EE1524" w:rsidP="007B4AEE">
            <w:pPr>
              <w:jc w:val="both"/>
            </w:pPr>
            <w:r>
              <w:t xml:space="preserve">1. Ievadīt medikamentus </w:t>
            </w:r>
            <w:proofErr w:type="spellStart"/>
            <w:r>
              <w:t>enterāli</w:t>
            </w:r>
            <w:proofErr w:type="spellEnd"/>
            <w:r>
              <w:t xml:space="preserve"> un </w:t>
            </w:r>
            <w:proofErr w:type="spellStart"/>
            <w:r>
              <w:t>parenterāli</w:t>
            </w:r>
            <w:proofErr w:type="spellEnd"/>
            <w:r>
              <w:t>.</w:t>
            </w:r>
          </w:p>
          <w:p w14:paraId="58615C8C" w14:textId="77777777" w:rsidR="00C94547" w:rsidRDefault="00EE1524" w:rsidP="007B4AEE">
            <w:pPr>
              <w:jc w:val="both"/>
            </w:pPr>
            <w:r>
              <w:t xml:space="preserve">2. Administrēt </w:t>
            </w:r>
            <w:proofErr w:type="spellStart"/>
            <w:r>
              <w:t>periorālos</w:t>
            </w:r>
            <w:proofErr w:type="spellEnd"/>
            <w:r>
              <w:t xml:space="preserve"> medikamentus.</w:t>
            </w:r>
          </w:p>
          <w:p w14:paraId="2A285A53" w14:textId="77777777" w:rsidR="00C94547" w:rsidRDefault="00EE1524" w:rsidP="007B4AEE">
            <w:pPr>
              <w:jc w:val="both"/>
            </w:pPr>
            <w:r>
              <w:t>3. Sagatavot medikamentus ievadīšanai.</w:t>
            </w:r>
          </w:p>
          <w:p w14:paraId="691DF878" w14:textId="77777777" w:rsidR="00C94547" w:rsidRDefault="00EE1524" w:rsidP="007B4AEE">
            <w:pPr>
              <w:jc w:val="both"/>
            </w:pPr>
            <w:r>
              <w:t>4. Ievadīt medikamentus caur pacienta ādu un gļotādu.</w:t>
            </w:r>
          </w:p>
          <w:p w14:paraId="3DD1F706" w14:textId="77777777" w:rsidR="00C94547" w:rsidRDefault="00EE1524" w:rsidP="007B4AEE">
            <w:pPr>
              <w:jc w:val="both"/>
            </w:pPr>
            <w:r>
              <w:t>5. Ievadīt medikamentus caur zondi.</w:t>
            </w:r>
          </w:p>
          <w:p w14:paraId="3AFE7C71" w14:textId="77777777" w:rsidR="00C94547" w:rsidRDefault="00EE1524" w:rsidP="007B4AEE">
            <w:pPr>
              <w:jc w:val="both"/>
            </w:pPr>
            <w:r>
              <w:t>6. Ievadīt insulīnu un antikoagulantus.</w:t>
            </w:r>
          </w:p>
          <w:p w14:paraId="4FF8DE08" w14:textId="77777777" w:rsidR="00C94547" w:rsidRDefault="00EE1524" w:rsidP="007B4AEE">
            <w:pPr>
              <w:jc w:val="both"/>
            </w:pPr>
            <w:r>
              <w:t>7. Administrēt intravenozās infūzijas (uzturēšanu, pārtraukšanu).</w:t>
            </w:r>
          </w:p>
          <w:p w14:paraId="196AB0BA" w14:textId="77777777" w:rsidR="00C94547" w:rsidRDefault="00EE1524" w:rsidP="007B4AEE">
            <w:pPr>
              <w:jc w:val="both"/>
            </w:pPr>
            <w:r>
              <w:t>8. Ievadīt medikamentus intravenozi caur infūzijas sūkņiem (</w:t>
            </w:r>
            <w:proofErr w:type="spellStart"/>
            <w:r>
              <w:t>infuzomats</w:t>
            </w:r>
            <w:proofErr w:type="spellEnd"/>
            <w:r>
              <w:t xml:space="preserve">, </w:t>
            </w:r>
            <w:proofErr w:type="spellStart"/>
            <w:r>
              <w:t>perfuzors</w:t>
            </w:r>
            <w:proofErr w:type="spellEnd"/>
            <w:r>
              <w:t>), ievadīt dozētus medikamentus.</w:t>
            </w:r>
          </w:p>
          <w:p w14:paraId="2D0A7E8D" w14:textId="77777777" w:rsidR="00C94547" w:rsidRDefault="00EE1524" w:rsidP="007B4AEE">
            <w:pPr>
              <w:jc w:val="both"/>
            </w:pPr>
            <w:r>
              <w:t>9. Ievadīt medikamentus caur epidurālo katetru.</w:t>
            </w:r>
          </w:p>
          <w:p w14:paraId="06A5BCCB" w14:textId="77777777" w:rsidR="00C94547" w:rsidRDefault="00EE1524" w:rsidP="007B4AEE">
            <w:pPr>
              <w:jc w:val="both"/>
            </w:pPr>
            <w:r>
              <w:t>10. Ievadīt medikamentus caur centrālo venozo katetru.</w:t>
            </w:r>
          </w:p>
          <w:p w14:paraId="1F487BDC" w14:textId="77777777" w:rsidR="00C94547" w:rsidRDefault="00EE1524" w:rsidP="007B4AEE">
            <w:pPr>
              <w:jc w:val="both"/>
            </w:pPr>
            <w:r>
              <w:t xml:space="preserve">11. Ievadīt medikamentus </w:t>
            </w:r>
            <w:proofErr w:type="spellStart"/>
            <w:r>
              <w:t>intranzāli</w:t>
            </w:r>
            <w:proofErr w:type="spellEnd"/>
            <w:r>
              <w:t>.</w:t>
            </w:r>
          </w:p>
          <w:p w14:paraId="3AC45EAB" w14:textId="77777777" w:rsidR="00C94547" w:rsidRDefault="00EE1524" w:rsidP="007B4AEE">
            <w:pPr>
              <w:jc w:val="both"/>
            </w:pPr>
            <w:r>
              <w:t xml:space="preserve">12. Nodrošināt inhalācijas, medikamentu ievadīšanu elpceļos, izmantojot </w:t>
            </w:r>
            <w:proofErr w:type="spellStart"/>
            <w:r>
              <w:t>nebulaizeru</w:t>
            </w:r>
            <w:proofErr w:type="spellEnd"/>
            <w:r>
              <w:t xml:space="preserve">. </w:t>
            </w:r>
          </w:p>
          <w:p w14:paraId="1A70A55C" w14:textId="77777777" w:rsidR="00C94547" w:rsidRDefault="00EE1524" w:rsidP="007B4AEE">
            <w:pPr>
              <w:jc w:val="both"/>
            </w:pPr>
            <w:r>
              <w:t xml:space="preserve">13. Izprast drošu asins komponentu administrēšanu. </w:t>
            </w:r>
          </w:p>
          <w:p w14:paraId="6E8468BA" w14:textId="4297BA2C" w:rsidR="00C94547" w:rsidRDefault="00EE1524">
            <w:r>
              <w:t>14. Izrakstīt medikamentus un ārstnieciskos līdzekļus saskaņā ar normatīvo aktu prasībām.</w:t>
            </w:r>
          </w:p>
          <w:p w14:paraId="51CE0565" w14:textId="77777777" w:rsidR="007B4AEE" w:rsidRDefault="007B4AEE"/>
          <w:p w14:paraId="68B28B26" w14:textId="77777777" w:rsidR="00C94547" w:rsidRDefault="00EE1524">
            <w:r>
              <w:t>Kompetences:</w:t>
            </w:r>
          </w:p>
          <w:p w14:paraId="24911A15" w14:textId="77777777" w:rsidR="00C94547" w:rsidRDefault="00EE1524">
            <w:r>
              <w:t xml:space="preserve">1. Spēt ievērot medikamentozās ārstēšanas un terapijas pamatprincipus. </w:t>
            </w:r>
          </w:p>
          <w:p w14:paraId="6DA252F8" w14:textId="77777777" w:rsidR="00C94547" w:rsidRDefault="00EE1524">
            <w:r>
              <w:t xml:space="preserve">2. Spēt novērtēt medikamentozās aprūpes iespējamās blaknes un novērst tās. </w:t>
            </w:r>
          </w:p>
        </w:tc>
      </w:tr>
      <w:tr w:rsidR="00C94547" w14:paraId="4A96904A" w14:textId="77777777">
        <w:trPr>
          <w:trHeight w:val="331"/>
        </w:trPr>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06BAE2AC" w14:textId="77777777" w:rsidR="00C94547" w:rsidRDefault="00EE1524">
            <w:pPr>
              <w:rPr>
                <w:b/>
                <w:i/>
                <w:color w:val="000000"/>
              </w:rPr>
            </w:pPr>
            <w:r>
              <w:rPr>
                <w:b/>
                <w:i/>
                <w:color w:val="000000"/>
              </w:rPr>
              <w:t>Studējošo patstāvīgo darbu organizācijas un uzdevumu raksturojums</w:t>
            </w:r>
          </w:p>
        </w:tc>
      </w:tr>
      <w:tr w:rsidR="00C94547" w14:paraId="06A676FD"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0D2A3C61" w14:textId="1C5DE214" w:rsidR="00C94547" w:rsidRDefault="00EE1524">
            <w:pPr>
              <w:jc w:val="both"/>
            </w:pPr>
            <w:r>
              <w:t xml:space="preserve">Patstāvīgais darbs </w:t>
            </w:r>
            <w:proofErr w:type="spellStart"/>
            <w:r w:rsidRPr="0048316D">
              <w:t>Pd</w:t>
            </w:r>
            <w:proofErr w:type="spellEnd"/>
            <w:r w:rsidRPr="0048316D">
              <w:t xml:space="preserve"> </w:t>
            </w:r>
            <w:r w:rsidR="00210F6E">
              <w:t xml:space="preserve">16 </w:t>
            </w:r>
            <w:r w:rsidRPr="0048316D">
              <w:t>stundas</w:t>
            </w:r>
            <w:r>
              <w:t>. Pirms katras nodarbības studējošie iepazīstas ar nodarbības tēmu un atbilstošo literatūru.</w:t>
            </w:r>
          </w:p>
          <w:p w14:paraId="48DCF578" w14:textId="3C1309E5" w:rsidR="00C94547" w:rsidRDefault="00EE1524" w:rsidP="007B4AEE">
            <w:pPr>
              <w:jc w:val="both"/>
            </w:pPr>
            <w:r>
              <w:t xml:space="preserve">Studējošo patstāvīgais darbs tiek organizēts individuāli un/vai grupās. Studējošo patstāvīgais darbs norisinās klīniskajā vidē, studējošajam piedaloties nepārtrauktā veselības aprūpes procesā docētāju un/vai kvalificētu māsu personāla (tostarp māsu – mentoru) uzraudzībā. </w:t>
            </w:r>
          </w:p>
          <w:p w14:paraId="416F6BFC" w14:textId="77777777" w:rsidR="007B4AEE" w:rsidRDefault="007B4AEE" w:rsidP="007B4AEE">
            <w:pPr>
              <w:jc w:val="both"/>
            </w:pPr>
          </w:p>
          <w:p w14:paraId="5FC1DB74" w14:textId="77777777" w:rsidR="00C94547" w:rsidRDefault="00EE1524">
            <w:r>
              <w:t>Patstāvīgo darbu raksturojums:</w:t>
            </w:r>
          </w:p>
          <w:p w14:paraId="249493B4" w14:textId="0E80DC46" w:rsidR="00C94547" w:rsidRPr="0048316D" w:rsidRDefault="00EE1524">
            <w:r>
              <w:lastRenderedPageBreak/>
              <w:t>Izskaidrot medikamentozās te</w:t>
            </w:r>
            <w:r w:rsidRPr="000D167D">
              <w:t>r</w:t>
            </w:r>
            <w:r w:rsidR="007B4AEE" w:rsidRPr="000D167D">
              <w:t>a</w:t>
            </w:r>
            <w:r w:rsidRPr="000D167D">
              <w:t>pij</w:t>
            </w:r>
            <w:r>
              <w:t xml:space="preserve">as mērķus atbilstošu pacientu aprūpē. </w:t>
            </w:r>
            <w:proofErr w:type="spellStart"/>
            <w:r w:rsidR="0048316D" w:rsidRPr="0048316D">
              <w:t>Pd</w:t>
            </w:r>
            <w:proofErr w:type="spellEnd"/>
            <w:r w:rsidR="00210F6E">
              <w:t xml:space="preserve"> </w:t>
            </w:r>
            <w:r w:rsidR="0047676B">
              <w:t>12</w:t>
            </w:r>
          </w:p>
          <w:p w14:paraId="72F3215A" w14:textId="5C549058" w:rsidR="00C94547" w:rsidRPr="0048316D" w:rsidRDefault="00EE1524">
            <w:r w:rsidRPr="0048316D">
              <w:t xml:space="preserve">Izvērtēt medikamentozās aprūpes zāļu vielu lietošanu, efektus un devas atbilstošo pacientu aprūpē. </w:t>
            </w:r>
            <w:proofErr w:type="spellStart"/>
            <w:r w:rsidRPr="0048316D">
              <w:t>Pd</w:t>
            </w:r>
            <w:proofErr w:type="spellEnd"/>
            <w:r w:rsidR="00210F6E">
              <w:t xml:space="preserve"> </w:t>
            </w:r>
            <w:r w:rsidR="0047676B">
              <w:t>12</w:t>
            </w:r>
          </w:p>
          <w:p w14:paraId="7453660A" w14:textId="43300331" w:rsidR="00C94547" w:rsidRPr="0048316D" w:rsidRDefault="00EE1524">
            <w:r w:rsidRPr="0048316D">
              <w:t xml:space="preserve">Veikt zāļu devu kalkulācijas. </w:t>
            </w:r>
            <w:proofErr w:type="spellStart"/>
            <w:r w:rsidRPr="0048316D">
              <w:t>Pd</w:t>
            </w:r>
            <w:proofErr w:type="spellEnd"/>
            <w:r w:rsidR="00210F6E">
              <w:t xml:space="preserve"> </w:t>
            </w:r>
            <w:r w:rsidR="0047676B">
              <w:t>12</w:t>
            </w:r>
          </w:p>
          <w:p w14:paraId="3E7E80A6" w14:textId="6EBD9F35" w:rsidR="00C94547" w:rsidRDefault="00EE1524">
            <w:r w:rsidRPr="0048316D">
              <w:t xml:space="preserve">Piedalīties medikamentozās terapijas procesos pacientu aprūpē. </w:t>
            </w:r>
            <w:proofErr w:type="spellStart"/>
            <w:r w:rsidR="0048316D" w:rsidRPr="0048316D">
              <w:t>Pd</w:t>
            </w:r>
            <w:proofErr w:type="spellEnd"/>
            <w:r w:rsidR="00210F6E">
              <w:t xml:space="preserve"> </w:t>
            </w:r>
            <w:r w:rsidR="0047676B">
              <w:t>12</w:t>
            </w:r>
          </w:p>
          <w:p w14:paraId="062CFB04" w14:textId="77777777" w:rsidR="00C94547" w:rsidRDefault="00EE1524" w:rsidP="001C1FDB">
            <w:pPr>
              <w:jc w:val="both"/>
            </w:pPr>
            <w:r>
              <w:t xml:space="preserve">Patstāvīgā darba mērķis ir studējošo </w:t>
            </w:r>
            <w:proofErr w:type="spellStart"/>
            <w:r>
              <w:t>pašvadītas</w:t>
            </w:r>
            <w:proofErr w:type="spellEnd"/>
            <w:r>
              <w:t xml:space="preserve"> mācīšanās prasmju pilnveide, veicot uz studiju kursa sasniedzamajiem rezultātiem orientētus uzdevumus.</w:t>
            </w:r>
          </w:p>
        </w:tc>
      </w:tr>
      <w:tr w:rsidR="00C94547" w14:paraId="267543F6"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3B2F73AB" w14:textId="77777777" w:rsidR="00C94547" w:rsidRDefault="00EE1524">
            <w:pPr>
              <w:rPr>
                <w:b/>
                <w:i/>
                <w:color w:val="000000"/>
              </w:rPr>
            </w:pPr>
            <w:r>
              <w:rPr>
                <w:b/>
                <w:i/>
                <w:color w:val="000000"/>
              </w:rPr>
              <w:lastRenderedPageBreak/>
              <w:t>Prasības kredītpunktu iegūšanai</w:t>
            </w:r>
          </w:p>
        </w:tc>
      </w:tr>
      <w:tr w:rsidR="00C94547" w14:paraId="45797923"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7BBCE9DD" w14:textId="21C93A56" w:rsidR="00C94547" w:rsidRDefault="00EE1524">
            <w:r>
              <w:t>3 patstāvīgo darbu veikšana.</w:t>
            </w:r>
          </w:p>
          <w:p w14:paraId="1964B7A7" w14:textId="77777777" w:rsidR="00C94547" w:rsidRDefault="00EE1524" w:rsidP="001C1FDB">
            <w:pPr>
              <w:jc w:val="both"/>
            </w:pPr>
            <w:r>
              <w:t>Sekmīgi nokārtoti studiju priekšmeta pārbaudījumi un patstāvīgā darba uzdevumi, praktisko darbu uzdevumi, piedalīšanās klīniskajās mācībās, patstāvīgo darbu veikšana klīniskajā vidē, sekmīgi nokārtots semestra eksāmens.</w:t>
            </w:r>
          </w:p>
          <w:p w14:paraId="47E63897" w14:textId="77777777" w:rsidR="00C94547" w:rsidRDefault="00EE1524" w:rsidP="001C1FDB">
            <w:pPr>
              <w:jc w:val="both"/>
            </w:pPr>
            <w:r>
              <w:t>Mācību priekšmeta “Farmakoloģija” apguve tiek vērtēta pēc 10 ballu vērtējuma skalas, ņemot vērā šādu vērtējuma sadalījumu:</w:t>
            </w:r>
          </w:p>
          <w:p w14:paraId="6615D82A" w14:textId="77777777" w:rsidR="00C94547" w:rsidRDefault="00EE1524" w:rsidP="001C1FDB">
            <w:pPr>
              <w:jc w:val="both"/>
            </w:pPr>
            <w:r>
              <w:t>Mutisks eksāmens studiju priekšmeta beigās – (nozīmīguma īpatsvars kopējā novērtējumā – 40%).</w:t>
            </w:r>
          </w:p>
          <w:p w14:paraId="6F129EE4" w14:textId="057F2058" w:rsidR="00C94547" w:rsidRDefault="00EE1524" w:rsidP="001C1FDB">
            <w:pPr>
              <w:jc w:val="both"/>
            </w:pPr>
            <w:r>
              <w:t xml:space="preserve">Patstāvīgā darba vērtējums – (nozīmīguma īpatsvars kopējā novērtējumā – </w:t>
            </w:r>
            <w:r w:rsidR="00064F83">
              <w:t>3</w:t>
            </w:r>
            <w:r>
              <w:t>0%).</w:t>
            </w:r>
          </w:p>
          <w:p w14:paraId="52AE4807" w14:textId="139EB089" w:rsidR="00C94547" w:rsidRDefault="00EE1524" w:rsidP="001C1FDB">
            <w:pPr>
              <w:jc w:val="both"/>
            </w:pPr>
            <w:r>
              <w:t>Praktisko nodarbību, klīnisko mācību un patstāvīgā darba novērtējums – (nozīmīguma īpatsvars kopējā novērtējumā – 20%).</w:t>
            </w:r>
          </w:p>
          <w:p w14:paraId="49E737E8" w14:textId="77777777" w:rsidR="00651654" w:rsidRDefault="00651654" w:rsidP="001C1FDB">
            <w:pPr>
              <w:jc w:val="both"/>
            </w:pPr>
          </w:p>
          <w:p w14:paraId="030E19B3" w14:textId="77777777" w:rsidR="00C94547" w:rsidRDefault="00EE1524">
            <w:r>
              <w:t>STUDIJU REZULTĀTU VĒRTĒŠANAS KRITĒRIJI</w:t>
            </w:r>
          </w:p>
          <w:p w14:paraId="4EFCA3BF" w14:textId="77777777" w:rsidR="00C94547" w:rsidRDefault="00EE1524" w:rsidP="001C1FDB">
            <w:pPr>
              <w:jc w:val="both"/>
            </w:pPr>
            <w:r>
              <w:t>Studiju kursa apguve tā noslēgumā tiek vērtēta 10 ballu skalā saskaņā</w:t>
            </w:r>
          </w:p>
          <w:p w14:paraId="4D22A750" w14:textId="77777777" w:rsidR="00C94547" w:rsidRDefault="00EE1524" w:rsidP="00651654">
            <w:pPr>
              <w:jc w:val="both"/>
            </w:pPr>
            <w:r>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C94547" w14:paraId="1F4DB10A"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6028FBB8" w14:textId="77777777" w:rsidR="00C94547" w:rsidRDefault="00EE1524">
            <w:pPr>
              <w:rPr>
                <w:b/>
                <w:i/>
                <w:color w:val="000000"/>
              </w:rPr>
            </w:pPr>
            <w:r>
              <w:rPr>
                <w:b/>
                <w:i/>
                <w:color w:val="000000"/>
              </w:rPr>
              <w:t>Kursa saturs</w:t>
            </w:r>
          </w:p>
        </w:tc>
      </w:tr>
      <w:tr w:rsidR="00C94547" w14:paraId="5889C383"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028D9564" w14:textId="2EA9D6EF" w:rsidR="00C94547" w:rsidRPr="0012638B" w:rsidRDefault="0012638B">
            <w:r w:rsidRPr="0012638B">
              <w:t>Klīniskās mācības (</w:t>
            </w:r>
            <w:r w:rsidR="00105E63">
              <w:t>P</w:t>
            </w:r>
            <w:r w:rsidR="00210F6E">
              <w:t xml:space="preserve"> </w:t>
            </w:r>
            <w:r w:rsidR="0047676B">
              <w:t>32</w:t>
            </w:r>
            <w:r w:rsidRPr="0012638B">
              <w:t>):</w:t>
            </w:r>
          </w:p>
          <w:p w14:paraId="485E39BE" w14:textId="633F2C42" w:rsidR="003560C1" w:rsidRPr="0048316D" w:rsidRDefault="00EE1524" w:rsidP="003560C1">
            <w:pPr>
              <w:pStyle w:val="ListParagraph"/>
              <w:numPr>
                <w:ilvl w:val="0"/>
                <w:numId w:val="6"/>
              </w:numPr>
              <w:ind w:left="306" w:hanging="284"/>
              <w:jc w:val="both"/>
            </w:pPr>
            <w:r>
              <w:t xml:space="preserve">Vispārējā klīniskā farmakoloģija - tās uzdevumi. </w:t>
            </w:r>
            <w:r w:rsidR="001C1FDB">
              <w:t xml:space="preserve">Zāļu vielu klasifikācija. </w:t>
            </w:r>
            <w:proofErr w:type="spellStart"/>
            <w:r w:rsidR="001C1FDB" w:rsidRPr="0048316D">
              <w:t>Farmakoterapijas</w:t>
            </w:r>
            <w:proofErr w:type="spellEnd"/>
            <w:r w:rsidR="001C1FDB" w:rsidRPr="0048316D">
              <w:t xml:space="preserve"> uzdevumi un veidi. Medikamentu ievade un izplatīšanās organismā. Vitamīnu preparāti, to pielietojums pacientu aprūpē. </w:t>
            </w:r>
            <w:r w:rsidR="003560C1" w:rsidRPr="0048316D">
              <w:t xml:space="preserve">Zāļu anotāciju datu bāzes. </w:t>
            </w:r>
            <w:r w:rsidR="00105E63">
              <w:t>P</w:t>
            </w:r>
            <w:r w:rsidR="00210F6E">
              <w:t xml:space="preserve"> </w:t>
            </w:r>
            <w:r w:rsidR="0047676B">
              <w:t>6</w:t>
            </w:r>
          </w:p>
          <w:p w14:paraId="08C30342" w14:textId="6836881D" w:rsidR="00064F83" w:rsidRPr="0048316D" w:rsidRDefault="00EE1524" w:rsidP="00064F83">
            <w:pPr>
              <w:pStyle w:val="ListParagraph"/>
              <w:numPr>
                <w:ilvl w:val="0"/>
                <w:numId w:val="6"/>
              </w:numPr>
              <w:ind w:left="306" w:hanging="284"/>
              <w:jc w:val="both"/>
            </w:pPr>
            <w:proofErr w:type="spellStart"/>
            <w:r w:rsidRPr="0048316D">
              <w:t>Farmakinētika</w:t>
            </w:r>
            <w:proofErr w:type="spellEnd"/>
            <w:r w:rsidRPr="0048316D">
              <w:t xml:space="preserve"> un farmakodinamika. </w:t>
            </w:r>
            <w:r w:rsidR="001C1FDB" w:rsidRPr="0048316D">
              <w:t xml:space="preserve">Antibakteriālo līdzekļu farmakoloģija - antibiotiskie, antibakteriālie, </w:t>
            </w:r>
            <w:proofErr w:type="spellStart"/>
            <w:r w:rsidR="001C1FDB" w:rsidRPr="0048316D">
              <w:t>ķīmijterapeitiskie</w:t>
            </w:r>
            <w:proofErr w:type="spellEnd"/>
            <w:r w:rsidR="001C1FDB" w:rsidRPr="0048316D">
              <w:t xml:space="preserve"> līdzekļi, </w:t>
            </w:r>
            <w:proofErr w:type="spellStart"/>
            <w:r w:rsidR="001C1FDB" w:rsidRPr="0048316D">
              <w:t>pretparazītu</w:t>
            </w:r>
            <w:proofErr w:type="spellEnd"/>
            <w:r w:rsidR="001C1FDB" w:rsidRPr="0048316D">
              <w:t xml:space="preserve"> un pretvīrusu, pretsēņu līdzekļi, to pielietojums pacientu aprūpē.</w:t>
            </w:r>
            <w:r w:rsidR="0048316D" w:rsidRPr="0048316D">
              <w:t xml:space="preserve"> </w:t>
            </w:r>
            <w:r w:rsidR="003560C1" w:rsidRPr="0048316D">
              <w:t xml:space="preserve">Antibakteriālo līdzekļu mijiedarbības. Orientēšanās zāļu formās, preparātos. </w:t>
            </w:r>
            <w:r w:rsidR="00064F83" w:rsidRPr="0048316D">
              <w:t xml:space="preserve">Zāļu devu aprēķini (zāļu kalkulācija). </w:t>
            </w:r>
            <w:r w:rsidR="00105E63">
              <w:t>P</w:t>
            </w:r>
            <w:r w:rsidR="00210F6E">
              <w:t xml:space="preserve"> </w:t>
            </w:r>
            <w:r w:rsidR="0047676B">
              <w:t>4</w:t>
            </w:r>
          </w:p>
          <w:p w14:paraId="47DE40AC" w14:textId="5E0E8459" w:rsidR="003560C1" w:rsidRPr="0048316D" w:rsidRDefault="00EE1524" w:rsidP="003560C1">
            <w:pPr>
              <w:pStyle w:val="ListParagraph"/>
              <w:numPr>
                <w:ilvl w:val="0"/>
                <w:numId w:val="6"/>
              </w:numPr>
              <w:ind w:left="306" w:hanging="284"/>
              <w:jc w:val="both"/>
            </w:pPr>
            <w:r w:rsidRPr="0048316D">
              <w:t>Līdzekļi,</w:t>
            </w:r>
            <w:r w:rsidR="001C1FDB" w:rsidRPr="0048316D">
              <w:t xml:space="preserve"> </w:t>
            </w:r>
            <w:r w:rsidRPr="0048316D">
              <w:t xml:space="preserve">kas ietekmē vielmaiņas procesus, to pielietojums pacientu aprūpē.  </w:t>
            </w:r>
            <w:r w:rsidR="001C1FDB" w:rsidRPr="0048316D">
              <w:t>Imūnos procesus ietekmējošie medikamenti, to pielietojums pacientu aprūpē.</w:t>
            </w:r>
            <w:r w:rsidR="00105E63">
              <w:t xml:space="preserve"> </w:t>
            </w:r>
            <w:r w:rsidR="00105E63">
              <w:t>P</w:t>
            </w:r>
            <w:r w:rsidR="00105E63">
              <w:t xml:space="preserve"> </w:t>
            </w:r>
            <w:r w:rsidR="0047676B">
              <w:t>2</w:t>
            </w:r>
          </w:p>
          <w:p w14:paraId="74F47847" w14:textId="0DF60468" w:rsidR="00064F83" w:rsidRPr="0048316D" w:rsidRDefault="00EE1524" w:rsidP="003560C1">
            <w:pPr>
              <w:pStyle w:val="ListParagraph"/>
              <w:numPr>
                <w:ilvl w:val="0"/>
                <w:numId w:val="6"/>
              </w:numPr>
              <w:ind w:left="306" w:hanging="284"/>
              <w:jc w:val="both"/>
            </w:pPr>
            <w:r w:rsidRPr="0048316D">
              <w:t xml:space="preserve">Zāļu līdzekļi sāpju, drudža, iekaisuma ārstēšanai, to pielietojums pacientu aprūpē.  </w:t>
            </w:r>
            <w:r w:rsidR="00105E63">
              <w:t>P</w:t>
            </w:r>
            <w:r w:rsidR="00210F6E">
              <w:t xml:space="preserve"> </w:t>
            </w:r>
            <w:r w:rsidR="0047676B">
              <w:t>2</w:t>
            </w:r>
          </w:p>
          <w:p w14:paraId="299F808C" w14:textId="6CDD107C" w:rsidR="003560C1" w:rsidRPr="0048316D" w:rsidRDefault="001C1FDB" w:rsidP="00E27E90">
            <w:pPr>
              <w:pStyle w:val="ListParagraph"/>
              <w:numPr>
                <w:ilvl w:val="0"/>
                <w:numId w:val="6"/>
              </w:numPr>
              <w:ind w:left="306" w:hanging="284"/>
              <w:jc w:val="both"/>
            </w:pPr>
            <w:r w:rsidRPr="0048316D">
              <w:t>Kardioloģisko medikamentu farmakoloģija, tā</w:t>
            </w:r>
            <w:r w:rsidR="0048316D" w:rsidRPr="0048316D">
              <w:t xml:space="preserve">s pielietojums pacientu aprūpē. </w:t>
            </w:r>
            <w:r w:rsidR="00EE1524" w:rsidRPr="0048316D">
              <w:t>Asinsradi, recēšanas procesus ietekmējošie līdzekļi, fermenti, hormoni un to pielietojums pacientu aprūpē.</w:t>
            </w:r>
            <w:r w:rsidRPr="0048316D">
              <w:t xml:space="preserve"> </w:t>
            </w:r>
            <w:proofErr w:type="spellStart"/>
            <w:r w:rsidRPr="0048316D">
              <w:t>Hipolipidēmiskās</w:t>
            </w:r>
            <w:proofErr w:type="spellEnd"/>
            <w:r w:rsidRPr="0048316D">
              <w:t xml:space="preserve"> vielas, to pielietojums pacientu aprūpē.</w:t>
            </w:r>
            <w:r w:rsidR="00714561" w:rsidRPr="0048316D">
              <w:t xml:space="preserve"> </w:t>
            </w:r>
            <w:r w:rsidR="00105E63">
              <w:t>P</w:t>
            </w:r>
            <w:r w:rsidR="00105E63">
              <w:t xml:space="preserve"> </w:t>
            </w:r>
            <w:r w:rsidR="0047676B">
              <w:t>3</w:t>
            </w:r>
          </w:p>
          <w:p w14:paraId="5A55F791" w14:textId="137D84C7" w:rsidR="003560C1" w:rsidRPr="0048316D" w:rsidRDefault="00EE1524" w:rsidP="003560C1">
            <w:pPr>
              <w:pStyle w:val="ListParagraph"/>
              <w:numPr>
                <w:ilvl w:val="0"/>
                <w:numId w:val="6"/>
              </w:numPr>
              <w:ind w:left="306" w:hanging="284"/>
              <w:jc w:val="both"/>
            </w:pPr>
            <w:proofErr w:type="spellStart"/>
            <w:r w:rsidRPr="0048316D">
              <w:t>Perifero</w:t>
            </w:r>
            <w:proofErr w:type="spellEnd"/>
            <w:r w:rsidRPr="0048316D">
              <w:t xml:space="preserve"> un centrālo nervu sistēmu ietekmējošie līdzekļi, to pielietojums pacientu aprūpē. </w:t>
            </w:r>
            <w:r w:rsidR="001C1FDB" w:rsidRPr="0048316D">
              <w:t xml:space="preserve">Elpošanas sistēmu ietekmējošie līdzekļi, to pielietojums pacientu aprūpē. </w:t>
            </w:r>
            <w:r w:rsidR="00105E63">
              <w:t>P</w:t>
            </w:r>
            <w:r w:rsidR="00210F6E">
              <w:t xml:space="preserve"> </w:t>
            </w:r>
            <w:r w:rsidR="0047676B">
              <w:t>2</w:t>
            </w:r>
          </w:p>
          <w:p w14:paraId="08CD035C" w14:textId="4326448C" w:rsidR="003560C1" w:rsidRPr="0048316D" w:rsidRDefault="001C1FDB" w:rsidP="003560C1">
            <w:pPr>
              <w:pStyle w:val="ListParagraph"/>
              <w:numPr>
                <w:ilvl w:val="0"/>
                <w:numId w:val="6"/>
              </w:numPr>
              <w:ind w:left="306" w:hanging="284"/>
              <w:jc w:val="both"/>
            </w:pPr>
            <w:r w:rsidRPr="0048316D">
              <w:t xml:space="preserve">Pretvēža līdzekļi, to pielietojums pacientu aprūpē. </w:t>
            </w:r>
            <w:r w:rsidR="00105E63">
              <w:t>P</w:t>
            </w:r>
            <w:r w:rsidR="00210F6E">
              <w:t xml:space="preserve"> </w:t>
            </w:r>
            <w:r w:rsidR="0047676B">
              <w:t>2</w:t>
            </w:r>
          </w:p>
          <w:p w14:paraId="7822721D" w14:textId="31798914" w:rsidR="00C94547" w:rsidRPr="0048316D" w:rsidRDefault="00EE1524" w:rsidP="003560C1">
            <w:pPr>
              <w:pStyle w:val="ListParagraph"/>
              <w:numPr>
                <w:ilvl w:val="0"/>
                <w:numId w:val="6"/>
              </w:numPr>
              <w:ind w:left="306" w:hanging="284"/>
              <w:jc w:val="both"/>
            </w:pPr>
            <w:r w:rsidRPr="0048316D">
              <w:t xml:space="preserve"> </w:t>
            </w:r>
            <w:r w:rsidR="001C1FDB" w:rsidRPr="0048316D">
              <w:t xml:space="preserve">Endokrīno sistēmu ietekmējošie līdzekļi, to pielietojums pacientu aprūpē. </w:t>
            </w:r>
            <w:r w:rsidR="00105E63">
              <w:t>P</w:t>
            </w:r>
            <w:r w:rsidR="00210F6E">
              <w:t xml:space="preserve"> </w:t>
            </w:r>
            <w:r w:rsidR="0047676B">
              <w:t>2</w:t>
            </w:r>
          </w:p>
          <w:p w14:paraId="31319B72" w14:textId="3DB7481A" w:rsidR="00C94547" w:rsidRPr="0048316D" w:rsidRDefault="00EE1524" w:rsidP="003560C1">
            <w:pPr>
              <w:pStyle w:val="ListParagraph"/>
              <w:numPr>
                <w:ilvl w:val="0"/>
                <w:numId w:val="6"/>
              </w:numPr>
              <w:ind w:left="306" w:hanging="284"/>
              <w:jc w:val="both"/>
            </w:pPr>
            <w:r w:rsidRPr="0048316D">
              <w:t xml:space="preserve">Klīnisko situāciju analīze. </w:t>
            </w:r>
            <w:r w:rsidR="00105E63">
              <w:t>P</w:t>
            </w:r>
            <w:r w:rsidR="0047676B">
              <w:t xml:space="preserve"> 2</w:t>
            </w:r>
          </w:p>
          <w:p w14:paraId="572529CC" w14:textId="67018AEF" w:rsidR="00C94547" w:rsidRPr="0048316D" w:rsidRDefault="00EE1524" w:rsidP="003560C1">
            <w:pPr>
              <w:pStyle w:val="ListParagraph"/>
              <w:numPr>
                <w:ilvl w:val="0"/>
                <w:numId w:val="6"/>
              </w:numPr>
              <w:ind w:left="447" w:hanging="425"/>
            </w:pPr>
            <w:r w:rsidRPr="0048316D">
              <w:t>Medikamentu izraisīto blakņu novērtēšana.</w:t>
            </w:r>
            <w:r w:rsidR="00064F83" w:rsidRPr="0048316D">
              <w:t xml:space="preserve"> </w:t>
            </w:r>
            <w:r w:rsidR="00105E63">
              <w:t>P</w:t>
            </w:r>
            <w:r w:rsidR="00210F6E">
              <w:t xml:space="preserve"> 2</w:t>
            </w:r>
          </w:p>
          <w:p w14:paraId="5F707EC2" w14:textId="3226B964" w:rsidR="00C94547" w:rsidRPr="0012638B" w:rsidRDefault="00EE1524" w:rsidP="00864818">
            <w:pPr>
              <w:pStyle w:val="ListParagraph"/>
              <w:numPr>
                <w:ilvl w:val="0"/>
                <w:numId w:val="6"/>
              </w:numPr>
              <w:ind w:left="447" w:hanging="425"/>
              <w:jc w:val="both"/>
            </w:pPr>
            <w:r w:rsidRPr="0012638B">
              <w:t xml:space="preserve">Medikamentus un ārstnieciskos līdzekļu izrakstīšana saskaņā ar normatīvo aktu prasībām. </w:t>
            </w:r>
            <w:r w:rsidR="00105E63">
              <w:t>P</w:t>
            </w:r>
            <w:r w:rsidR="00210F6E">
              <w:t xml:space="preserve"> 2</w:t>
            </w:r>
          </w:p>
          <w:p w14:paraId="79BBB383" w14:textId="127A931C" w:rsidR="00C94547" w:rsidRDefault="00EE1524" w:rsidP="003560C1">
            <w:pPr>
              <w:pStyle w:val="ListParagraph"/>
              <w:numPr>
                <w:ilvl w:val="0"/>
                <w:numId w:val="6"/>
              </w:numPr>
              <w:ind w:left="447" w:hanging="425"/>
              <w:jc w:val="both"/>
            </w:pPr>
            <w:r w:rsidRPr="0012638B">
              <w:lastRenderedPageBreak/>
              <w:t xml:space="preserve">Klīnisko zāļu ievadīšanas manipulāciju apgūšana ( </w:t>
            </w:r>
            <w:proofErr w:type="spellStart"/>
            <w:r w:rsidRPr="0012638B">
              <w:t>enterāli</w:t>
            </w:r>
            <w:proofErr w:type="spellEnd"/>
            <w:r w:rsidRPr="0012638B">
              <w:t xml:space="preserve">, </w:t>
            </w:r>
            <w:proofErr w:type="spellStart"/>
            <w:r w:rsidRPr="0012638B">
              <w:t>parenterāli</w:t>
            </w:r>
            <w:proofErr w:type="spellEnd"/>
            <w:r w:rsidRPr="0012638B">
              <w:t xml:space="preserve"> ievadāmās, caur pacienta ādu un gļotādu, caur zondi, intravenozi caur infūzijas sūkņiem (</w:t>
            </w:r>
            <w:proofErr w:type="spellStart"/>
            <w:r w:rsidRPr="0012638B">
              <w:t>infuzomats</w:t>
            </w:r>
            <w:proofErr w:type="spellEnd"/>
            <w:r w:rsidRPr="0012638B">
              <w:t xml:space="preserve">, </w:t>
            </w:r>
            <w:proofErr w:type="spellStart"/>
            <w:r w:rsidRPr="0012638B">
              <w:t>perfuzors</w:t>
            </w:r>
            <w:proofErr w:type="spellEnd"/>
            <w:r w:rsidRPr="0012638B">
              <w:t xml:space="preserve">), caur epidurālo katetru, caur centrālo venozo katetru, </w:t>
            </w:r>
            <w:proofErr w:type="spellStart"/>
            <w:r w:rsidRPr="0012638B">
              <w:t>intranzāli</w:t>
            </w:r>
            <w:proofErr w:type="spellEnd"/>
            <w:r w:rsidRPr="0012638B">
              <w:t>. Dozētu medikamentu ievadīšana. Inhalējamo zāļu ievades paņēmieni).</w:t>
            </w:r>
            <w:r w:rsidR="00864818">
              <w:t xml:space="preserve"> </w:t>
            </w:r>
            <w:r w:rsidR="00105E63">
              <w:t>P</w:t>
            </w:r>
            <w:bookmarkStart w:id="0" w:name="_GoBack"/>
            <w:bookmarkEnd w:id="0"/>
            <w:r w:rsidR="00210F6E">
              <w:t xml:space="preserve"> </w:t>
            </w:r>
            <w:r w:rsidR="0047676B">
              <w:t>3</w:t>
            </w:r>
          </w:p>
          <w:p w14:paraId="30E29D08" w14:textId="77777777" w:rsidR="00C94547" w:rsidRDefault="00C94547" w:rsidP="007B4AEE">
            <w:pPr>
              <w:jc w:val="both"/>
            </w:pPr>
          </w:p>
          <w:p w14:paraId="00AEF9E0" w14:textId="4FD64D53" w:rsidR="00C94547" w:rsidRDefault="00EE1524" w:rsidP="0012638B">
            <w:pPr>
              <w:jc w:val="both"/>
            </w:pPr>
            <w:r>
              <w:t>Studējošo patstāvīgais darbs (</w:t>
            </w:r>
            <w:proofErr w:type="spellStart"/>
            <w:r>
              <w:t>Pd</w:t>
            </w:r>
            <w:proofErr w:type="spellEnd"/>
            <w:r>
              <w:t xml:space="preserve"> </w:t>
            </w:r>
            <w:r w:rsidR="0047676B">
              <w:t>48</w:t>
            </w:r>
            <w:r>
              <w:t xml:space="preserve"> stundas): praktisko uzdevumu izpilde, darbs ar zinātniskajiem avotiem un dokumentiem, klīnisko procedūru veikšana aprūpes nodrošināšanai individuāli vai grupā. </w:t>
            </w:r>
          </w:p>
          <w:p w14:paraId="64C7ECE9" w14:textId="77777777" w:rsidR="00C94547" w:rsidRDefault="00EE1524" w:rsidP="0012638B">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53B4C22B" w14:textId="000C7085" w:rsidR="0012638B" w:rsidRDefault="0012638B" w:rsidP="0012638B">
            <w:pPr>
              <w:jc w:val="both"/>
            </w:pPr>
            <w:r>
              <w:t>4</w:t>
            </w:r>
          </w:p>
        </w:tc>
      </w:tr>
      <w:tr w:rsidR="00C94547" w14:paraId="0063BF95"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1E605E" w14:textId="77777777" w:rsidR="00C94547" w:rsidRDefault="00EE1524">
            <w:pPr>
              <w:rPr>
                <w:b/>
                <w:i/>
                <w:color w:val="000000"/>
              </w:rPr>
            </w:pPr>
            <w:r>
              <w:rPr>
                <w:b/>
                <w:i/>
                <w:color w:val="000000"/>
              </w:rPr>
              <w:lastRenderedPageBreak/>
              <w:t>Obligāti izmantojamie informācijas avoti</w:t>
            </w:r>
          </w:p>
        </w:tc>
      </w:tr>
      <w:tr w:rsidR="00C94547" w14:paraId="0C0E924F"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0DB96AE8" w14:textId="77777777" w:rsidR="00C94547" w:rsidRDefault="00EE1524" w:rsidP="003F4145">
            <w:pPr>
              <w:pStyle w:val="ListParagraph"/>
              <w:numPr>
                <w:ilvl w:val="0"/>
                <w:numId w:val="2"/>
              </w:numPr>
              <w:ind w:left="306" w:hanging="284"/>
              <w:jc w:val="both"/>
            </w:pPr>
            <w:proofErr w:type="spellStart"/>
            <w:r>
              <w:t>Biksone</w:t>
            </w:r>
            <w:proofErr w:type="spellEnd"/>
            <w:r>
              <w:t xml:space="preserve"> G., </w:t>
            </w:r>
            <w:proofErr w:type="spellStart"/>
            <w:r>
              <w:t>Behmanis</w:t>
            </w:r>
            <w:proofErr w:type="spellEnd"/>
            <w:r>
              <w:t xml:space="preserve"> A. Solis pa solim pacienu konsultēšanā. Rīga., 2016</w:t>
            </w:r>
          </w:p>
          <w:p w14:paraId="1D470D78" w14:textId="77777777" w:rsidR="00C94547" w:rsidRDefault="00EE1524" w:rsidP="003F4145">
            <w:pPr>
              <w:pStyle w:val="ListParagraph"/>
              <w:numPr>
                <w:ilvl w:val="0"/>
                <w:numId w:val="2"/>
              </w:numPr>
              <w:ind w:left="306" w:hanging="284"/>
              <w:jc w:val="both"/>
            </w:pPr>
            <w:r>
              <w:t xml:space="preserve">Purviņš I. Praktiskā farmakoloģija. 3. </w:t>
            </w:r>
            <w:proofErr w:type="spellStart"/>
            <w:r>
              <w:t>izdev</w:t>
            </w:r>
            <w:proofErr w:type="spellEnd"/>
            <w:r>
              <w:t>. R., Zāļu grāmata, 2002</w:t>
            </w:r>
          </w:p>
          <w:p w14:paraId="49DC6581" w14:textId="2679E251" w:rsidR="00C94547" w:rsidRDefault="00EE1524" w:rsidP="003F4145">
            <w:pPr>
              <w:pStyle w:val="ListParagraph"/>
              <w:numPr>
                <w:ilvl w:val="0"/>
                <w:numId w:val="2"/>
              </w:numPr>
              <w:ind w:left="306" w:hanging="284"/>
              <w:jc w:val="both"/>
            </w:pPr>
            <w:r>
              <w:t>zva.gov.lv</w:t>
            </w:r>
            <w:r w:rsidR="003F4145">
              <w:t xml:space="preserve"> </w:t>
            </w:r>
            <w:r>
              <w:t xml:space="preserve"> Zāļu valsts aģentūra.</w:t>
            </w:r>
          </w:p>
          <w:p w14:paraId="272ED8A9" w14:textId="4C2BDC0B" w:rsidR="00C94547" w:rsidRDefault="00EE1524" w:rsidP="003F4145">
            <w:pPr>
              <w:pStyle w:val="ListParagraph"/>
              <w:numPr>
                <w:ilvl w:val="0"/>
                <w:numId w:val="2"/>
              </w:numPr>
              <w:ind w:left="306" w:hanging="284"/>
              <w:jc w:val="both"/>
            </w:pPr>
            <w:r>
              <w:t>vmnvd.gov.lv</w:t>
            </w:r>
            <w:r w:rsidR="003F4145">
              <w:t xml:space="preserve"> </w:t>
            </w:r>
            <w:r>
              <w:t xml:space="preserve"> Nacionālais veselības dienests. </w:t>
            </w:r>
          </w:p>
          <w:p w14:paraId="4B3A9A38" w14:textId="77777777" w:rsidR="00C94547" w:rsidRDefault="00EE1524" w:rsidP="003F4145">
            <w:pPr>
              <w:pStyle w:val="ListParagraph"/>
              <w:numPr>
                <w:ilvl w:val="0"/>
                <w:numId w:val="2"/>
              </w:numPr>
              <w:ind w:left="306" w:hanging="284"/>
              <w:jc w:val="both"/>
            </w:pPr>
            <w:r>
              <w:t xml:space="preserve">Klīnisko vadlīniju datu bāze. spkc.gov.lv Slimību profilakses un kontroles centrs. </w:t>
            </w:r>
          </w:p>
          <w:p w14:paraId="223B337B" w14:textId="3F304C26" w:rsidR="00C94547" w:rsidRDefault="003F4145" w:rsidP="003F4145">
            <w:pPr>
              <w:pStyle w:val="ListParagraph"/>
              <w:numPr>
                <w:ilvl w:val="0"/>
                <w:numId w:val="2"/>
              </w:numPr>
              <w:ind w:left="306" w:hanging="284"/>
              <w:jc w:val="both"/>
            </w:pPr>
            <w:r>
              <w:t>D</w:t>
            </w:r>
            <w:r w:rsidR="00EE1524">
              <w:t>rugs.com Zāļu mijiedarbību, blakusparādību, instrukciju datu bāze</w:t>
            </w:r>
          </w:p>
          <w:p w14:paraId="5432C70E" w14:textId="77777777" w:rsidR="00C94547" w:rsidRDefault="00EE1524" w:rsidP="003F4145">
            <w:pPr>
              <w:pStyle w:val="ListParagraph"/>
              <w:numPr>
                <w:ilvl w:val="0"/>
                <w:numId w:val="2"/>
              </w:numPr>
              <w:ind w:left="306" w:hanging="284"/>
              <w:jc w:val="both"/>
            </w:pPr>
            <w:r>
              <w:t xml:space="preserve">Bertram G. </w:t>
            </w:r>
            <w:proofErr w:type="spellStart"/>
            <w:r>
              <w:t>Katzung</w:t>
            </w:r>
            <w:proofErr w:type="spellEnd"/>
            <w:r>
              <w:t xml:space="preserve">, </w:t>
            </w:r>
            <w:proofErr w:type="spellStart"/>
            <w:r>
              <w:t>Basic</w:t>
            </w:r>
            <w:proofErr w:type="spellEnd"/>
            <w:r>
              <w:t xml:space="preserve"> &amp; </w:t>
            </w:r>
            <w:proofErr w:type="spellStart"/>
            <w:r>
              <w:t>Clinic</w:t>
            </w:r>
            <w:proofErr w:type="spellEnd"/>
            <w:r>
              <w:t xml:space="preserve"> </w:t>
            </w:r>
            <w:proofErr w:type="spellStart"/>
            <w:r>
              <w:t>Pharmacology</w:t>
            </w:r>
            <w:proofErr w:type="spellEnd"/>
            <w:r>
              <w:t>, 2017.</w:t>
            </w:r>
          </w:p>
          <w:p w14:paraId="3B0B47F7" w14:textId="77777777" w:rsidR="00C94547" w:rsidRDefault="00EE1524" w:rsidP="003F4145">
            <w:pPr>
              <w:pStyle w:val="ListParagraph"/>
              <w:numPr>
                <w:ilvl w:val="0"/>
                <w:numId w:val="2"/>
              </w:numPr>
              <w:ind w:left="306" w:hanging="284"/>
              <w:jc w:val="both"/>
            </w:pPr>
            <w:proofErr w:type="spellStart"/>
            <w:r>
              <w:t>Katzung</w:t>
            </w:r>
            <w:proofErr w:type="spellEnd"/>
            <w:r>
              <w:t xml:space="preserve"> &amp; </w:t>
            </w:r>
            <w:proofErr w:type="spellStart"/>
            <w:r>
              <w:t>Trevor's</w:t>
            </w:r>
            <w:proofErr w:type="spellEnd"/>
            <w:r>
              <w:t xml:space="preserve"> </w:t>
            </w:r>
            <w:proofErr w:type="spellStart"/>
            <w:r>
              <w:t>Pharmacology</w:t>
            </w:r>
            <w:proofErr w:type="spellEnd"/>
            <w:r>
              <w:t xml:space="preserve"> </w:t>
            </w:r>
            <w:proofErr w:type="spellStart"/>
            <w:r>
              <w:t>Examination</w:t>
            </w:r>
            <w:proofErr w:type="spellEnd"/>
            <w:r>
              <w:t xml:space="preserve"> </w:t>
            </w:r>
            <w:proofErr w:type="spellStart"/>
            <w:r>
              <w:t>and</w:t>
            </w:r>
            <w:proofErr w:type="spellEnd"/>
            <w:r>
              <w:t xml:space="preserve"> </w:t>
            </w:r>
            <w:proofErr w:type="spellStart"/>
            <w:r>
              <w:t>Board</w:t>
            </w:r>
            <w:proofErr w:type="spellEnd"/>
            <w:r>
              <w:t xml:space="preserve"> Review,12th </w:t>
            </w:r>
            <w:proofErr w:type="spellStart"/>
            <w:r>
              <w:t>Edition</w:t>
            </w:r>
            <w:proofErr w:type="spellEnd"/>
            <w:r>
              <w:t xml:space="preserve"> 12th </w:t>
            </w:r>
            <w:proofErr w:type="spellStart"/>
            <w:r>
              <w:t>Edition</w:t>
            </w:r>
            <w:proofErr w:type="spellEnd"/>
            <w:r>
              <w:t xml:space="preserve"> </w:t>
            </w:r>
            <w:proofErr w:type="spellStart"/>
            <w:r>
              <w:t>by</w:t>
            </w:r>
            <w:proofErr w:type="spellEnd"/>
            <w:r>
              <w:t> </w:t>
            </w:r>
            <w:proofErr w:type="spellStart"/>
            <w:r w:rsidR="00CD08DE">
              <w:fldChar w:fldCharType="begin"/>
            </w:r>
            <w:r w:rsidR="00CD08DE">
              <w:instrText xml:space="preserve"> HYPERLINK "https://www.amazon.com/s/ref=dp_byline_sr_book_1?ie=UTF8&amp;field-author=Anthony+Trevor&amp;text=Anthony+Trevor&amp;sort=relevancerank&amp;search-alias=books" \h </w:instrText>
            </w:r>
            <w:r w:rsidR="00CD08DE">
              <w:fldChar w:fldCharType="separate"/>
            </w:r>
            <w:r>
              <w:t>Anthony</w:t>
            </w:r>
            <w:proofErr w:type="spellEnd"/>
            <w:r>
              <w:t xml:space="preserve"> Trevor</w:t>
            </w:r>
            <w:r w:rsidR="00CD08DE">
              <w:fldChar w:fldCharType="end"/>
            </w:r>
            <w:r>
              <w:t>, </w:t>
            </w:r>
            <w:hyperlink r:id="rId8">
              <w:r>
                <w:t xml:space="preserve">Bertram </w:t>
              </w:r>
              <w:proofErr w:type="spellStart"/>
              <w:r>
                <w:t>Katzung</w:t>
              </w:r>
              <w:proofErr w:type="spellEnd"/>
            </w:hyperlink>
            <w:r>
              <w:t>, </w:t>
            </w:r>
            <w:proofErr w:type="spellStart"/>
            <w:r w:rsidR="00CD08DE">
              <w:fldChar w:fldCharType="begin"/>
            </w:r>
            <w:r w:rsidR="00CD08DE">
              <w:instrText xml:space="preserve"> HYPERLINK "https://www.amazon.com/s/ref=dp_byline_sr_book_3?ie=UTF8&amp;field-author=Marieke+Knuidering-Hall&amp;text=Marieke+Knuidering-Hall&amp;sort=relevancerank&amp;search-alias=books" \h </w:instrText>
            </w:r>
            <w:r w:rsidR="00CD08DE">
              <w:fldChar w:fldCharType="separate"/>
            </w:r>
            <w:r>
              <w:t>Marieke</w:t>
            </w:r>
            <w:proofErr w:type="spellEnd"/>
            <w:r>
              <w:t xml:space="preserve"> </w:t>
            </w:r>
            <w:proofErr w:type="spellStart"/>
            <w:r>
              <w:t>Knuidering-Hall</w:t>
            </w:r>
            <w:r w:rsidR="00CD08DE">
              <w:fldChar w:fldCharType="end"/>
            </w:r>
            <w:r>
              <w:t>,</w:t>
            </w:r>
            <w:proofErr w:type="spellEnd"/>
            <w:r>
              <w:t xml:space="preserve"> 2019.</w:t>
            </w:r>
          </w:p>
          <w:p w14:paraId="3AD4AD71" w14:textId="6F03B404" w:rsidR="00C94547" w:rsidRDefault="00EE1524" w:rsidP="003F4145">
            <w:pPr>
              <w:pStyle w:val="ListParagraph"/>
              <w:numPr>
                <w:ilvl w:val="0"/>
                <w:numId w:val="2"/>
              </w:numPr>
              <w:ind w:left="306" w:hanging="284"/>
              <w:jc w:val="both"/>
            </w:pPr>
            <w:proofErr w:type="spellStart"/>
            <w:r>
              <w:t>Goodman</w:t>
            </w:r>
            <w:proofErr w:type="spellEnd"/>
            <w:r>
              <w:t xml:space="preserve"> </w:t>
            </w:r>
            <w:proofErr w:type="spellStart"/>
            <w:r>
              <w:t>and</w:t>
            </w:r>
            <w:proofErr w:type="spellEnd"/>
            <w:r>
              <w:t xml:space="preserve"> </w:t>
            </w:r>
            <w:proofErr w:type="spellStart"/>
            <w:r>
              <w:t>Gilman's</w:t>
            </w:r>
            <w:proofErr w:type="spellEnd"/>
            <w:r>
              <w:t xml:space="preserve"> </w:t>
            </w:r>
            <w:proofErr w:type="spellStart"/>
            <w:r>
              <w:t>The</w:t>
            </w:r>
            <w:proofErr w:type="spellEnd"/>
            <w:r>
              <w:t xml:space="preserve"> </w:t>
            </w:r>
            <w:proofErr w:type="spellStart"/>
            <w:r>
              <w:t>Pharmacological</w:t>
            </w:r>
            <w:proofErr w:type="spellEnd"/>
            <w:r>
              <w:t xml:space="preserve"> </w:t>
            </w:r>
            <w:proofErr w:type="spellStart"/>
            <w:r>
              <w:t>Basis</w:t>
            </w:r>
            <w:proofErr w:type="spellEnd"/>
            <w:r>
              <w:t xml:space="preserve"> </w:t>
            </w:r>
            <w:proofErr w:type="spellStart"/>
            <w:r>
              <w:t>of</w:t>
            </w:r>
            <w:proofErr w:type="spellEnd"/>
            <w:r>
              <w:t xml:space="preserve"> </w:t>
            </w:r>
            <w:proofErr w:type="spellStart"/>
            <w:r>
              <w:t>Therapeutics</w:t>
            </w:r>
            <w:proofErr w:type="spellEnd"/>
            <w:r>
              <w:t xml:space="preserve">, 13th </w:t>
            </w:r>
            <w:proofErr w:type="spellStart"/>
            <w:r>
              <w:t>Edition</w:t>
            </w:r>
            <w:proofErr w:type="spellEnd"/>
            <w:r>
              <w:t xml:space="preserve"> 13th </w:t>
            </w:r>
            <w:proofErr w:type="spellStart"/>
            <w:r>
              <w:t>Edition</w:t>
            </w:r>
            <w:proofErr w:type="spellEnd"/>
            <w:r>
              <w:t xml:space="preserve"> </w:t>
            </w:r>
            <w:proofErr w:type="spellStart"/>
            <w:r>
              <w:t>by</w:t>
            </w:r>
            <w:proofErr w:type="spellEnd"/>
            <w:r>
              <w:t> </w:t>
            </w:r>
            <w:proofErr w:type="spellStart"/>
            <w:r w:rsidR="00CD08DE">
              <w:fldChar w:fldCharType="begin"/>
            </w:r>
            <w:r w:rsidR="00CD08DE">
              <w:instrText xml:space="preserve"> HYPERLINK "https://www.amazon.com/s/ref=dp_byline_sr_book_1?ie=UTF8&amp;field-author=Laurence+Brunton&amp;text=Laurence+Brunton&amp;sort=relevancerank&amp;search-alias=books" \h </w:instrText>
            </w:r>
            <w:r w:rsidR="00CD08DE">
              <w:fldChar w:fldCharType="separate"/>
            </w:r>
            <w:r>
              <w:t>Laurence</w:t>
            </w:r>
            <w:proofErr w:type="spellEnd"/>
            <w:r>
              <w:t xml:space="preserve"> </w:t>
            </w:r>
            <w:proofErr w:type="spellStart"/>
            <w:r>
              <w:t>Brunton</w:t>
            </w:r>
            <w:proofErr w:type="spellEnd"/>
            <w:r w:rsidR="00CD08DE">
              <w:fldChar w:fldCharType="end"/>
            </w:r>
            <w:r>
              <w:t>, </w:t>
            </w:r>
            <w:proofErr w:type="spellStart"/>
            <w:r w:rsidR="00CD08DE">
              <w:fldChar w:fldCharType="begin"/>
            </w:r>
            <w:r w:rsidR="00CD08DE">
              <w:instrText xml:space="preserve"> HYPERLINK "https://www.amazon.com/s/ref=dp_byline_sr_book_2?ie=UTF8&amp;field-author=Bjorn+Knollmann&amp;text=Bjorn+Knollmann&amp;sort=relevancerank&amp;search-alias=books" \h </w:instrText>
            </w:r>
            <w:r w:rsidR="00CD08DE">
              <w:fldChar w:fldCharType="separate"/>
            </w:r>
            <w:r>
              <w:t>Bjorn</w:t>
            </w:r>
            <w:proofErr w:type="spellEnd"/>
            <w:r>
              <w:t xml:space="preserve"> </w:t>
            </w:r>
            <w:proofErr w:type="spellStart"/>
            <w:r>
              <w:t>Knollmann</w:t>
            </w:r>
            <w:proofErr w:type="spellEnd"/>
            <w:r w:rsidR="00CD08DE">
              <w:fldChar w:fldCharType="end"/>
            </w:r>
            <w:r>
              <w:t>, </w:t>
            </w:r>
            <w:hyperlink r:id="rId9">
              <w:r>
                <w:t xml:space="preserve">Randa </w:t>
              </w:r>
              <w:proofErr w:type="spellStart"/>
              <w:r>
                <w:t>Hilal-Dandan</w:t>
              </w:r>
            </w:hyperlink>
            <w:r>
              <w:t>,</w:t>
            </w:r>
            <w:proofErr w:type="spellEnd"/>
            <w:r>
              <w:t xml:space="preserve"> 2018. </w:t>
            </w:r>
          </w:p>
        </w:tc>
      </w:tr>
      <w:tr w:rsidR="00C94547" w14:paraId="3EBCF3A2"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260F9467" w14:textId="77777777" w:rsidR="00C94547" w:rsidRDefault="00EE1524" w:rsidP="003F4145">
            <w:pPr>
              <w:jc w:val="both"/>
              <w:rPr>
                <w:b/>
                <w:i/>
                <w:color w:val="000000"/>
              </w:rPr>
            </w:pPr>
            <w:r>
              <w:rPr>
                <w:b/>
                <w:i/>
                <w:color w:val="000000"/>
              </w:rPr>
              <w:t>Papildus informācijas avoti</w:t>
            </w:r>
          </w:p>
        </w:tc>
      </w:tr>
      <w:tr w:rsidR="00C94547" w14:paraId="0764D742"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71DB5AE0" w14:textId="77777777" w:rsidR="00C94547" w:rsidRDefault="00EE1524" w:rsidP="007B4AEE">
            <w:pPr>
              <w:pStyle w:val="ListParagraph"/>
              <w:numPr>
                <w:ilvl w:val="0"/>
                <w:numId w:val="3"/>
              </w:numPr>
              <w:ind w:left="306" w:hanging="284"/>
            </w:pPr>
            <w:proofErr w:type="spellStart"/>
            <w:r>
              <w:t>Biksone</w:t>
            </w:r>
            <w:proofErr w:type="spellEnd"/>
            <w:r>
              <w:t>, G. Medikamentozā ārstēšana un aprūpe. Rīga: SIA KERENA, 2002., -734</w:t>
            </w:r>
          </w:p>
          <w:p w14:paraId="073A3917" w14:textId="77777777" w:rsidR="00C94547" w:rsidRDefault="00EE1524" w:rsidP="007B4AEE">
            <w:pPr>
              <w:pStyle w:val="ListParagraph"/>
              <w:numPr>
                <w:ilvl w:val="0"/>
                <w:numId w:val="3"/>
              </w:numPr>
              <w:ind w:left="306" w:hanging="284"/>
            </w:pPr>
            <w:r>
              <w:t>Skutelis, A Dzīve ar zālēm. Rīga, Nacionālais apgāds, 2004.</w:t>
            </w:r>
          </w:p>
          <w:p w14:paraId="5FACE89E" w14:textId="77777777" w:rsidR="00C94547" w:rsidRDefault="00EE1524" w:rsidP="003F4145">
            <w:pPr>
              <w:pStyle w:val="ListParagraph"/>
              <w:numPr>
                <w:ilvl w:val="0"/>
                <w:numId w:val="3"/>
              </w:numPr>
              <w:ind w:left="306" w:hanging="284"/>
              <w:jc w:val="both"/>
            </w:pPr>
            <w:r>
              <w:t xml:space="preserve">Zāļu rokasgrāmata : Latvijas Republikā reģistrēto un reģistrācijai iesniegto, kā arī lietošanai ar speciālām atļaujām ievesto ārstniecības līdzekļu anotāciju krājums. Rīga: Nacionālais medicīnas apgāds, 2007. </w:t>
            </w:r>
          </w:p>
        </w:tc>
      </w:tr>
      <w:tr w:rsidR="00C94547" w14:paraId="77EC8F11"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42A2BAFF" w14:textId="77777777" w:rsidR="00C94547" w:rsidRDefault="00EE1524">
            <w:pPr>
              <w:rPr>
                <w:b/>
                <w:i/>
                <w:color w:val="000000"/>
              </w:rPr>
            </w:pPr>
            <w:r>
              <w:rPr>
                <w:b/>
                <w:i/>
                <w:color w:val="000000"/>
              </w:rPr>
              <w:t>Periodika un citi informācijas avoti</w:t>
            </w:r>
          </w:p>
        </w:tc>
      </w:tr>
      <w:tr w:rsidR="00C94547" w14:paraId="47F67586"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4939757D" w14:textId="77777777" w:rsidR="00C94547" w:rsidRDefault="00EE1524">
            <w:r>
              <w:t>“</w:t>
            </w:r>
            <w:proofErr w:type="spellStart"/>
            <w:r>
              <w:t>Doctus</w:t>
            </w:r>
            <w:proofErr w:type="spellEnd"/>
            <w:r>
              <w:t>” Žurnāls ārstiem un farmaceitiem</w:t>
            </w:r>
          </w:p>
          <w:p w14:paraId="3C5D0F0E" w14:textId="77777777" w:rsidR="00C94547" w:rsidRDefault="00EE1524">
            <w:r>
              <w:t>“</w:t>
            </w:r>
            <w:proofErr w:type="spellStart"/>
            <w:r>
              <w:t>Materia</w:t>
            </w:r>
            <w:proofErr w:type="spellEnd"/>
            <w:r>
              <w:t xml:space="preserve"> </w:t>
            </w:r>
            <w:proofErr w:type="spellStart"/>
            <w:r>
              <w:t>medica</w:t>
            </w:r>
            <w:proofErr w:type="spellEnd"/>
            <w:r>
              <w:t>”</w:t>
            </w:r>
          </w:p>
          <w:p w14:paraId="59177356" w14:textId="77777777" w:rsidR="00C94547" w:rsidRDefault="00EE1524" w:rsidP="003F4145">
            <w:pPr>
              <w:jc w:val="both"/>
            </w:pPr>
            <w:r>
              <w:t xml:space="preserve">DU abonētās datubāzes </w:t>
            </w:r>
            <w:proofErr w:type="spellStart"/>
            <w:r>
              <w:t>ScienceDirect</w:t>
            </w:r>
            <w:proofErr w:type="spellEnd"/>
            <w:r>
              <w:t xml:space="preserve">, </w:t>
            </w:r>
            <w:proofErr w:type="spellStart"/>
            <w:r>
              <w:t>Scopus</w:t>
            </w:r>
            <w:proofErr w:type="spellEnd"/>
            <w:r>
              <w:t xml:space="preserve">, EBSCO (MEDLINE; </w:t>
            </w:r>
            <w:proofErr w:type="spellStart"/>
            <w:r>
              <w:t>Health</w:t>
            </w:r>
            <w:proofErr w:type="spellEnd"/>
            <w:r>
              <w:t xml:space="preserve"> </w:t>
            </w:r>
            <w:proofErr w:type="spellStart"/>
            <w:r>
              <w:t>Source:Nursing</w:t>
            </w:r>
            <w:proofErr w:type="spellEnd"/>
            <w:r>
              <w:t>/</w:t>
            </w:r>
            <w:proofErr w:type="spellStart"/>
            <w:r>
              <w:t>Academic</w:t>
            </w:r>
            <w:proofErr w:type="spellEnd"/>
            <w:r>
              <w:t xml:space="preserve"> </w:t>
            </w:r>
            <w:proofErr w:type="spellStart"/>
            <w:r>
              <w:t>Edition</w:t>
            </w:r>
            <w:proofErr w:type="spellEnd"/>
          </w:p>
          <w:p w14:paraId="73B08F9E" w14:textId="77777777" w:rsidR="00C94547" w:rsidRDefault="00EE1524">
            <w:r>
              <w:t>Žurnāls "Latvijas Ārsts"</w:t>
            </w:r>
          </w:p>
          <w:p w14:paraId="57829762" w14:textId="77777777" w:rsidR="00C94547" w:rsidRDefault="00C94547"/>
        </w:tc>
      </w:tr>
      <w:tr w:rsidR="00C94547" w14:paraId="1A7625AC"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07773C" w14:textId="77777777" w:rsidR="00C94547" w:rsidRDefault="00EE1524">
            <w:pPr>
              <w:rPr>
                <w:b/>
                <w:i/>
                <w:color w:val="000000"/>
              </w:rPr>
            </w:pPr>
            <w:r>
              <w:rPr>
                <w:b/>
                <w:i/>
                <w:color w:val="000000"/>
              </w:rPr>
              <w:t>Piezīmes</w:t>
            </w:r>
          </w:p>
        </w:tc>
      </w:tr>
      <w:tr w:rsidR="00C94547" w14:paraId="48C59615" w14:textId="77777777">
        <w:tc>
          <w:tcPr>
            <w:tcW w:w="9038" w:type="dxa"/>
            <w:gridSpan w:val="2"/>
            <w:tcBorders>
              <w:top w:val="single" w:sz="4" w:space="0" w:color="000000"/>
              <w:left w:val="single" w:sz="4" w:space="0" w:color="000000"/>
              <w:bottom w:val="single" w:sz="4" w:space="0" w:color="000000"/>
              <w:right w:val="single" w:sz="4" w:space="0" w:color="000000"/>
            </w:tcBorders>
            <w:shd w:val="clear" w:color="auto" w:fill="auto"/>
          </w:tcPr>
          <w:p w14:paraId="418FE80A" w14:textId="77777777" w:rsidR="00C94547" w:rsidRDefault="00EE1524">
            <w:r>
              <w:t xml:space="preserve">PBSP "Māszinības" A daļas studiju kurss </w:t>
            </w:r>
          </w:p>
        </w:tc>
      </w:tr>
    </w:tbl>
    <w:p w14:paraId="5F1B8449" w14:textId="77777777" w:rsidR="00C94547" w:rsidRDefault="00C94547"/>
    <w:sectPr w:rsidR="00C94547">
      <w:headerReference w:type="default" r:id="rId10"/>
      <w:footerReference w:type="default" r:id="rId11"/>
      <w:pgSz w:w="11906" w:h="16838"/>
      <w:pgMar w:top="1135" w:right="1416" w:bottom="1440" w:left="1800" w:header="708" w:footer="708"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DF4C7" w14:textId="77777777" w:rsidR="009F0C4C" w:rsidRDefault="009F0C4C">
      <w:r>
        <w:separator/>
      </w:r>
    </w:p>
  </w:endnote>
  <w:endnote w:type="continuationSeparator" w:id="0">
    <w:p w14:paraId="5B0780B1" w14:textId="77777777" w:rsidR="009F0C4C" w:rsidRDefault="009F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E409D" w14:textId="4B3781B5" w:rsidR="00C94547" w:rsidRDefault="00EE1524">
    <w:pPr>
      <w:tabs>
        <w:tab w:val="center" w:pos="4153"/>
        <w:tab w:val="right" w:pos="8306"/>
      </w:tabs>
    </w:pPr>
    <w:r>
      <w:fldChar w:fldCharType="begin"/>
    </w:r>
    <w:r>
      <w:instrText>PAGE</w:instrText>
    </w:r>
    <w:r>
      <w:fldChar w:fldCharType="separate"/>
    </w:r>
    <w:r w:rsidR="00EB7B8A">
      <w:rPr>
        <w:noProof/>
      </w:rPr>
      <w:t>4</w:t>
    </w:r>
    <w:r>
      <w:fldChar w:fldCharType="end"/>
    </w:r>
  </w:p>
  <w:p w14:paraId="43C1BC5F" w14:textId="77777777" w:rsidR="00C94547" w:rsidRDefault="00C94547">
    <w:pP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760BF" w14:textId="77777777" w:rsidR="009F0C4C" w:rsidRDefault="009F0C4C">
      <w:r>
        <w:separator/>
      </w:r>
    </w:p>
  </w:footnote>
  <w:footnote w:type="continuationSeparator" w:id="0">
    <w:p w14:paraId="3B917DAD" w14:textId="77777777" w:rsidR="009F0C4C" w:rsidRDefault="009F0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9CA71" w14:textId="77777777" w:rsidR="00C94547" w:rsidRDefault="00C94547">
    <w:pPr>
      <w:tabs>
        <w:tab w:val="center" w:pos="4153"/>
        <w:tab w:val="right" w:pos="8306"/>
      </w:tabs>
      <w:rPr>
        <w:color w:val="000000"/>
      </w:rPr>
    </w:pPr>
  </w:p>
  <w:p w14:paraId="28980CC5" w14:textId="77777777" w:rsidR="00C94547" w:rsidRDefault="00C94547">
    <w:pPr>
      <w:tabs>
        <w:tab w:val="center" w:pos="4153"/>
        <w:tab w:val="right" w:pos="8306"/>
      </w:tabs>
      <w:rPr>
        <w:color w:val="000000"/>
      </w:rPr>
    </w:pPr>
  </w:p>
  <w:p w14:paraId="6C2EB27D" w14:textId="77777777" w:rsidR="00C94547" w:rsidRDefault="00C94547">
    <w:pP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D2990"/>
    <w:multiLevelType w:val="hybridMultilevel"/>
    <w:tmpl w:val="5672D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A237FF"/>
    <w:multiLevelType w:val="hybridMultilevel"/>
    <w:tmpl w:val="CEA4F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655F25"/>
    <w:multiLevelType w:val="hybridMultilevel"/>
    <w:tmpl w:val="C7861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F71196"/>
    <w:multiLevelType w:val="hybridMultilevel"/>
    <w:tmpl w:val="DA024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8D6BD9"/>
    <w:multiLevelType w:val="hybridMultilevel"/>
    <w:tmpl w:val="64CC4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413CD6"/>
    <w:multiLevelType w:val="hybridMultilevel"/>
    <w:tmpl w:val="D7383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547"/>
    <w:rsid w:val="00064F83"/>
    <w:rsid w:val="000D167D"/>
    <w:rsid w:val="00105E63"/>
    <w:rsid w:val="0012638B"/>
    <w:rsid w:val="001C1FDB"/>
    <w:rsid w:val="00210F6E"/>
    <w:rsid w:val="002A70FB"/>
    <w:rsid w:val="003560C1"/>
    <w:rsid w:val="003C3E69"/>
    <w:rsid w:val="003F4145"/>
    <w:rsid w:val="0047676B"/>
    <w:rsid w:val="0048316D"/>
    <w:rsid w:val="004D1E36"/>
    <w:rsid w:val="0055380C"/>
    <w:rsid w:val="00651654"/>
    <w:rsid w:val="00714561"/>
    <w:rsid w:val="007614D0"/>
    <w:rsid w:val="007B4AEE"/>
    <w:rsid w:val="00864818"/>
    <w:rsid w:val="008B3FE9"/>
    <w:rsid w:val="008C05A5"/>
    <w:rsid w:val="009F0C4C"/>
    <w:rsid w:val="00B05488"/>
    <w:rsid w:val="00B11158"/>
    <w:rsid w:val="00C94547"/>
    <w:rsid w:val="00CD08DE"/>
    <w:rsid w:val="00E15732"/>
    <w:rsid w:val="00EB7B8A"/>
    <w:rsid w:val="00ED67DC"/>
    <w:rsid w:val="00EE152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78611"/>
  <w15:docId w15:val="{CE3186E1-507D-4BFB-B238-E906B28DF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rPr>
      <w:bCs/>
      <w:iCs/>
      <w:sz w:val="24"/>
    </w:rPr>
  </w:style>
  <w:style w:type="paragraph" w:styleId="Heading1">
    <w:name w:val="heading 1"/>
    <w:basedOn w:val="Normal"/>
    <w:link w:val="Heading1Char"/>
    <w:uiPriority w:val="9"/>
    <w:qFormat/>
    <w:rsid w:val="00BB1515"/>
    <w:pPr>
      <w:spacing w:beforeAutospacing="1" w:afterAutospacing="1"/>
      <w:outlineLvl w:val="0"/>
    </w:pPr>
    <w:rPr>
      <w:b/>
      <w:iCs w:val="0"/>
      <w:kern w:val="2"/>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2D26FA"/>
    <w:rPr>
      <w:color w:val="0000FF"/>
      <w:u w:val="single"/>
    </w:rPr>
  </w:style>
  <w:style w:type="character" w:customStyle="1" w:styleId="HeaderChar">
    <w:name w:val="Header Char"/>
    <w:basedOn w:val="DefaultParagraphFont"/>
    <w:link w:val="Header"/>
    <w:uiPriority w:val="99"/>
    <w:qFormat/>
    <w:rsid w:val="00982C4A"/>
  </w:style>
  <w:style w:type="character" w:customStyle="1" w:styleId="FooterChar">
    <w:name w:val="Footer Char"/>
    <w:basedOn w:val="DefaultParagraphFont"/>
    <w:link w:val="Footer"/>
    <w:uiPriority w:val="99"/>
    <w:qFormat/>
    <w:rsid w:val="00982C4A"/>
  </w:style>
  <w:style w:type="character" w:customStyle="1" w:styleId="BalloonTextChar">
    <w:name w:val="Balloon Text Char"/>
    <w:basedOn w:val="DefaultParagraphFont"/>
    <w:link w:val="BalloonText"/>
    <w:uiPriority w:val="99"/>
    <w:semiHidden/>
    <w:qFormat/>
    <w:rsid w:val="007B1FB4"/>
    <w:rPr>
      <w:rFonts w:ascii="Tahoma" w:hAnsi="Tahoma" w:cs="Tahoma"/>
      <w:sz w:val="16"/>
      <w:szCs w:val="16"/>
    </w:rPr>
  </w:style>
  <w:style w:type="character" w:customStyle="1" w:styleId="PlainTextChar">
    <w:name w:val="Plain Text Char"/>
    <w:basedOn w:val="DefaultParagraphFont"/>
    <w:link w:val="PlainText"/>
    <w:uiPriority w:val="99"/>
    <w:qFormat/>
    <w:rsid w:val="0087428B"/>
    <w:rPr>
      <w:rFonts w:ascii="Calibri" w:eastAsia="Calibri" w:hAnsi="Calibri" w:cs="Arial"/>
      <w:szCs w:val="21"/>
    </w:rPr>
  </w:style>
  <w:style w:type="character" w:customStyle="1" w:styleId="svno">
    <w:name w:val="sv_no"/>
    <w:uiPriority w:val="99"/>
    <w:qFormat/>
    <w:rsid w:val="0072031C"/>
    <w:rPr>
      <w:rFonts w:cs="Times New Roman"/>
    </w:rPr>
  </w:style>
  <w:style w:type="character" w:styleId="PlaceholderText">
    <w:name w:val="Placeholder Text"/>
    <w:basedOn w:val="DefaultParagraphFont"/>
    <w:uiPriority w:val="99"/>
    <w:semiHidden/>
    <w:qFormat/>
    <w:rsid w:val="00082FD0"/>
    <w:rPr>
      <w:color w:val="808080"/>
    </w:rPr>
  </w:style>
  <w:style w:type="character" w:customStyle="1" w:styleId="Heading1Char">
    <w:name w:val="Heading 1 Char"/>
    <w:basedOn w:val="DefaultParagraphFont"/>
    <w:link w:val="Heading1"/>
    <w:uiPriority w:val="9"/>
    <w:qFormat/>
    <w:rsid w:val="00BB1515"/>
    <w:rPr>
      <w:rFonts w:ascii="Times New Roman" w:eastAsia="Times New Roman" w:hAnsi="Times New Roman" w:cs="Times New Roman"/>
      <w:b/>
      <w:bCs/>
      <w:kern w:val="2"/>
      <w:sz w:val="48"/>
      <w:szCs w:val="48"/>
      <w:lang w:val="en-US"/>
    </w:rPr>
  </w:style>
  <w:style w:type="character" w:styleId="CommentReference">
    <w:name w:val="annotation reference"/>
    <w:basedOn w:val="DefaultParagraphFont"/>
    <w:semiHidden/>
    <w:unhideWhenUsed/>
    <w:qFormat/>
    <w:rsid w:val="00D92891"/>
    <w:rPr>
      <w:sz w:val="16"/>
      <w:szCs w:val="16"/>
    </w:rPr>
  </w:style>
  <w:style w:type="character" w:customStyle="1" w:styleId="CommentTextChar">
    <w:name w:val="Comment Text Char"/>
    <w:basedOn w:val="DefaultParagraphFont"/>
    <w:link w:val="CommentText"/>
    <w:uiPriority w:val="99"/>
    <w:semiHidden/>
    <w:qFormat/>
    <w:rsid w:val="00D92891"/>
    <w:rPr>
      <w:rFonts w:ascii="Times New Roman" w:hAnsi="Times New Roman" w:cs="Times New Roman"/>
      <w:bCs/>
      <w:iCs/>
      <w:sz w:val="20"/>
      <w:szCs w:val="20"/>
    </w:rPr>
  </w:style>
  <w:style w:type="character" w:customStyle="1" w:styleId="CommentSubjectChar">
    <w:name w:val="Comment Subject Char"/>
    <w:basedOn w:val="CommentTextChar"/>
    <w:link w:val="CommentSubject"/>
    <w:uiPriority w:val="99"/>
    <w:semiHidden/>
    <w:qFormat/>
    <w:rsid w:val="00D92891"/>
    <w:rPr>
      <w:rFonts w:ascii="Times New Roman" w:hAnsi="Times New Roman" w:cs="Times New Roman"/>
      <w:b/>
      <w:bCs/>
      <w:iCs/>
      <w:sz w:val="20"/>
      <w:szCs w:val="20"/>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rPr>
  </w:style>
  <w:style w:type="paragraph" w:customStyle="1" w:styleId="Index">
    <w:name w:val="Index"/>
    <w:basedOn w:val="Normal"/>
    <w:qFormat/>
    <w:pPr>
      <w:suppressLineNumbers/>
    </w:pPr>
    <w:rPr>
      <w:rFonts w:cs="Arial"/>
    </w:rPr>
  </w:style>
  <w:style w:type="paragraph" w:styleId="Title">
    <w:name w:val="Title"/>
    <w:basedOn w:val="Normal"/>
    <w:next w:val="Normal"/>
    <w:uiPriority w:val="10"/>
    <w:qFormat/>
    <w:pPr>
      <w:keepNext/>
      <w:keepLines/>
      <w:spacing w:before="480" w:after="120"/>
    </w:pPr>
    <w:rPr>
      <w:b/>
      <w:sz w:val="72"/>
      <w:szCs w:val="72"/>
    </w:rPr>
  </w:style>
  <w:style w:type="paragraph" w:customStyle="1" w:styleId="HeaderandFooter">
    <w:name w:val="Header and Footer"/>
    <w:basedOn w:val="Normal"/>
    <w:qFormat/>
  </w:style>
  <w:style w:type="paragraph" w:styleId="Header">
    <w:name w:val="header"/>
    <w:basedOn w:val="Normal"/>
    <w:link w:val="HeaderChar"/>
    <w:uiPriority w:val="99"/>
    <w:unhideWhenUsed/>
    <w:rsid w:val="00982C4A"/>
    <w:pPr>
      <w:tabs>
        <w:tab w:val="center" w:pos="4153"/>
        <w:tab w:val="right" w:pos="8306"/>
      </w:tabs>
    </w:pPr>
  </w:style>
  <w:style w:type="paragraph" w:styleId="Footer">
    <w:name w:val="footer"/>
    <w:basedOn w:val="Normal"/>
    <w:link w:val="FooterChar"/>
    <w:uiPriority w:val="99"/>
    <w:unhideWhenUsed/>
    <w:rsid w:val="00982C4A"/>
    <w:pPr>
      <w:tabs>
        <w:tab w:val="center" w:pos="4153"/>
        <w:tab w:val="right" w:pos="8306"/>
      </w:tabs>
    </w:pPr>
  </w:style>
  <w:style w:type="paragraph" w:styleId="BalloonText">
    <w:name w:val="Balloon Text"/>
    <w:basedOn w:val="Normal"/>
    <w:link w:val="BalloonTextChar"/>
    <w:uiPriority w:val="99"/>
    <w:semiHidden/>
    <w:unhideWhenUsed/>
    <w:qFormat/>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qFormat/>
    <w:rsid w:val="0087428B"/>
    <w:rPr>
      <w:rFonts w:ascii="Calibri" w:eastAsia="Calibri" w:hAnsi="Calibri" w:cs="Arial"/>
      <w:szCs w:val="21"/>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paragraph" w:styleId="CommentText">
    <w:name w:val="annotation text"/>
    <w:basedOn w:val="Normal"/>
    <w:link w:val="CommentTextChar"/>
    <w:semiHidden/>
    <w:unhideWhenUsed/>
    <w:qFormat/>
    <w:rsid w:val="00D92891"/>
    <w:rPr>
      <w:sz w:val="20"/>
      <w:szCs w:val="20"/>
    </w:rPr>
  </w:style>
  <w:style w:type="paragraph" w:styleId="CommentSubject">
    <w:name w:val="annotation subject"/>
    <w:basedOn w:val="CommentText"/>
    <w:next w:val="CommentText"/>
    <w:link w:val="CommentSubjectChar"/>
    <w:uiPriority w:val="99"/>
    <w:semiHidden/>
    <w:unhideWhenUsed/>
    <w:qFormat/>
    <w:rsid w:val="00D92891"/>
    <w:rPr>
      <w:b/>
    </w:rPr>
  </w:style>
  <w:style w:type="paragraph" w:styleId="NormalWeb">
    <w:name w:val="Normal (Web)"/>
    <w:basedOn w:val="Normal"/>
    <w:uiPriority w:val="99"/>
    <w:unhideWhenUsed/>
    <w:qFormat/>
    <w:rsid w:val="00AD4AEB"/>
    <w:pPr>
      <w:spacing w:beforeAutospacing="1" w:afterAutospacing="1"/>
    </w:pPr>
    <w:rPr>
      <w:bCs w:val="0"/>
      <w:iCs w:val="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amazon.com/s/ref=dp_byline_sr_book_2?ie=UTF8&amp;field-author=Bertram+Katzung&amp;text=Bertram+Katzung&amp;sort=relevancerank&amp;search-alias=book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mazon.com/s/ref=dp_byline_sr_book_3?ie=UTF8&amp;field-author=Randa+Hilal-Dandan&amp;text=Randa+Hilal-Dandan&amp;sort=relevancerank&amp;search-alias=boo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OeO/LFDuAhqoH2NeZp6A/h1OV3Q==">AMUW2mVzukZ+2QnRxj0ZNF66HNBOsUAMoA9awCAQEC0iTHFpDAp1f07Zf/Jy65AN3tC98r5QaQFA53BI8TftSObAmVJS/o8pk1ZSZ+9mRTkf5JKQYLyNQK8=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Pages>
  <Words>6990</Words>
  <Characters>3985</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dc:description/>
  <cp:lastModifiedBy>Liene Lukjaņenko</cp:lastModifiedBy>
  <cp:revision>16</cp:revision>
  <dcterms:created xsi:type="dcterms:W3CDTF">2024-04-17T16:27:00Z</dcterms:created>
  <dcterms:modified xsi:type="dcterms:W3CDTF">2024-05-06T09:24:00Z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