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3106E" w14:textId="77777777" w:rsidR="008E0CF3" w:rsidRDefault="00886B73" w:rsidP="00D575A8">
      <w:pPr>
        <w:pBdr>
          <w:top w:val="nil"/>
          <w:left w:val="nil"/>
          <w:bottom w:val="nil"/>
          <w:right w:val="nil"/>
          <w:between w:val="nil"/>
        </w:pBdr>
        <w:shd w:val="clear" w:color="auto" w:fill="FFFFFF" w:themeFill="background1"/>
        <w:tabs>
          <w:tab w:val="center" w:pos="4153"/>
          <w:tab w:val="right" w:pos="8306"/>
        </w:tabs>
        <w:jc w:val="center"/>
        <w:rPr>
          <w:b/>
          <w:color w:val="000000"/>
          <w:sz w:val="28"/>
          <w:szCs w:val="28"/>
        </w:rPr>
      </w:pPr>
      <w:r>
        <w:rPr>
          <w:b/>
          <w:color w:val="000000"/>
          <w:sz w:val="28"/>
          <w:szCs w:val="28"/>
        </w:rPr>
        <w:t>DAUGAVPILS UNIVERSITĀTES</w:t>
      </w:r>
    </w:p>
    <w:p w14:paraId="09DA316B" w14:textId="77777777" w:rsidR="008E0CF3" w:rsidRDefault="00886B73">
      <w:pPr>
        <w:jc w:val="center"/>
        <w:rPr>
          <w:b/>
          <w:sz w:val="28"/>
          <w:szCs w:val="28"/>
        </w:rPr>
      </w:pPr>
      <w:r>
        <w:rPr>
          <w:b/>
          <w:sz w:val="28"/>
          <w:szCs w:val="28"/>
        </w:rPr>
        <w:t>STUDIJU KURSA APRAKSTS</w:t>
      </w:r>
    </w:p>
    <w:p w14:paraId="12A6871A" w14:textId="77777777" w:rsidR="008E0CF3" w:rsidRDefault="008E0CF3"/>
    <w:tbl>
      <w:tblPr>
        <w:tblStyle w:val="a5"/>
        <w:tblW w:w="9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4"/>
        <w:gridCol w:w="4993"/>
      </w:tblGrid>
      <w:tr w:rsidR="008E0CF3" w14:paraId="4C250C41" w14:textId="77777777" w:rsidTr="00D575A8">
        <w:tc>
          <w:tcPr>
            <w:tcW w:w="4584" w:type="dxa"/>
            <w:shd w:val="clear" w:color="auto" w:fill="auto"/>
          </w:tcPr>
          <w:p w14:paraId="1999B0E3" w14:textId="77777777" w:rsidR="008E0CF3" w:rsidRDefault="00886B73" w:rsidP="00D575A8">
            <w:pPr>
              <w:pBdr>
                <w:top w:val="nil"/>
                <w:left w:val="nil"/>
                <w:bottom w:val="nil"/>
                <w:right w:val="nil"/>
                <w:between w:val="nil"/>
              </w:pBdr>
              <w:shd w:val="clear" w:color="auto" w:fill="FFFFFF" w:themeFill="background1"/>
              <w:rPr>
                <w:b/>
                <w:i/>
              </w:rPr>
            </w:pPr>
            <w:r>
              <w:rPr>
                <w:b/>
                <w:i/>
              </w:rPr>
              <w:t>Studiju kursa nosaukums</w:t>
            </w:r>
          </w:p>
        </w:tc>
        <w:tc>
          <w:tcPr>
            <w:tcW w:w="4993" w:type="dxa"/>
            <w:shd w:val="clear" w:color="auto" w:fill="auto"/>
            <w:vAlign w:val="center"/>
          </w:tcPr>
          <w:p w14:paraId="3823B009" w14:textId="77777777" w:rsidR="008E0CF3" w:rsidRDefault="00886B73">
            <w:r>
              <w:t xml:space="preserve">  Kanādiešu literatūra angļu valodā</w:t>
            </w:r>
          </w:p>
        </w:tc>
      </w:tr>
      <w:tr w:rsidR="008E0CF3" w14:paraId="287D3D4E" w14:textId="77777777" w:rsidTr="00D575A8">
        <w:tc>
          <w:tcPr>
            <w:tcW w:w="4584" w:type="dxa"/>
            <w:shd w:val="clear" w:color="auto" w:fill="auto"/>
          </w:tcPr>
          <w:p w14:paraId="4454024A" w14:textId="77777777" w:rsidR="008E0CF3" w:rsidRDefault="00886B73">
            <w:pPr>
              <w:pBdr>
                <w:top w:val="nil"/>
                <w:left w:val="nil"/>
                <w:bottom w:val="nil"/>
                <w:right w:val="nil"/>
                <w:between w:val="nil"/>
              </w:pBdr>
              <w:rPr>
                <w:b/>
                <w:i/>
              </w:rPr>
            </w:pPr>
            <w:r>
              <w:rPr>
                <w:b/>
                <w:i/>
              </w:rPr>
              <w:t>Studiju kursa kods (DUIS)</w:t>
            </w:r>
          </w:p>
        </w:tc>
        <w:tc>
          <w:tcPr>
            <w:tcW w:w="4993" w:type="dxa"/>
            <w:shd w:val="clear" w:color="auto" w:fill="auto"/>
            <w:vAlign w:val="center"/>
          </w:tcPr>
          <w:p w14:paraId="65E8A134" w14:textId="77777777" w:rsidR="008E0CF3" w:rsidRDefault="00886B73">
            <w:r>
              <w:t xml:space="preserve">     </w:t>
            </w:r>
          </w:p>
        </w:tc>
      </w:tr>
      <w:tr w:rsidR="008E0CF3" w14:paraId="31CD46DF" w14:textId="77777777" w:rsidTr="00D575A8">
        <w:tc>
          <w:tcPr>
            <w:tcW w:w="4584" w:type="dxa"/>
            <w:shd w:val="clear" w:color="auto" w:fill="auto"/>
          </w:tcPr>
          <w:p w14:paraId="67A5A503" w14:textId="77777777" w:rsidR="008E0CF3" w:rsidRDefault="00886B73">
            <w:pPr>
              <w:pBdr>
                <w:top w:val="nil"/>
                <w:left w:val="nil"/>
                <w:bottom w:val="nil"/>
                <w:right w:val="nil"/>
                <w:between w:val="nil"/>
              </w:pBdr>
              <w:rPr>
                <w:b/>
                <w:i/>
              </w:rPr>
            </w:pPr>
            <w:r>
              <w:rPr>
                <w:b/>
                <w:i/>
              </w:rPr>
              <w:t>Zinātnes nozare</w:t>
            </w:r>
          </w:p>
        </w:tc>
        <w:tc>
          <w:tcPr>
            <w:tcW w:w="4993" w:type="dxa"/>
            <w:shd w:val="clear" w:color="auto" w:fill="auto"/>
          </w:tcPr>
          <w:p w14:paraId="58B84F76" w14:textId="77777777" w:rsidR="008E0CF3" w:rsidRDefault="00886B73">
            <w:pPr>
              <w:rPr>
                <w:b/>
              </w:rPr>
            </w:pPr>
            <w:r>
              <w:t xml:space="preserve">  Valodniecība un literatūrzinātne </w:t>
            </w:r>
          </w:p>
        </w:tc>
      </w:tr>
      <w:tr w:rsidR="008E0CF3" w14:paraId="436E7C59" w14:textId="77777777" w:rsidTr="00D575A8">
        <w:tc>
          <w:tcPr>
            <w:tcW w:w="4584" w:type="dxa"/>
            <w:shd w:val="clear" w:color="auto" w:fill="auto"/>
          </w:tcPr>
          <w:p w14:paraId="2B24AD28" w14:textId="77777777" w:rsidR="008E0CF3" w:rsidRDefault="00886B73">
            <w:pPr>
              <w:pBdr>
                <w:top w:val="nil"/>
                <w:left w:val="nil"/>
                <w:bottom w:val="nil"/>
                <w:right w:val="nil"/>
                <w:between w:val="nil"/>
              </w:pBdr>
              <w:rPr>
                <w:b/>
                <w:i/>
              </w:rPr>
            </w:pPr>
            <w:r>
              <w:rPr>
                <w:b/>
                <w:i/>
              </w:rPr>
              <w:t>Kursa līmenis</w:t>
            </w:r>
          </w:p>
        </w:tc>
        <w:tc>
          <w:tcPr>
            <w:tcW w:w="4993" w:type="dxa"/>
            <w:shd w:val="clear" w:color="auto" w:fill="auto"/>
          </w:tcPr>
          <w:p w14:paraId="3913B0B2" w14:textId="77777777" w:rsidR="008E0CF3" w:rsidRDefault="00886B73">
            <w:r>
              <w:t>7</w:t>
            </w:r>
          </w:p>
        </w:tc>
      </w:tr>
      <w:tr w:rsidR="008E0CF3" w14:paraId="2D7DC3F0" w14:textId="77777777" w:rsidTr="00D575A8">
        <w:tc>
          <w:tcPr>
            <w:tcW w:w="4584" w:type="dxa"/>
            <w:shd w:val="clear" w:color="auto" w:fill="auto"/>
          </w:tcPr>
          <w:p w14:paraId="00A53A74" w14:textId="77777777" w:rsidR="008E0CF3" w:rsidRDefault="00886B73">
            <w:pPr>
              <w:pBdr>
                <w:top w:val="nil"/>
                <w:left w:val="nil"/>
                <w:bottom w:val="nil"/>
                <w:right w:val="nil"/>
                <w:between w:val="nil"/>
              </w:pBdr>
              <w:rPr>
                <w:b/>
                <w:i/>
                <w:u w:val="single"/>
              </w:rPr>
            </w:pPr>
            <w:r>
              <w:rPr>
                <w:b/>
                <w:i/>
              </w:rPr>
              <w:t>Kredītpunkti</w:t>
            </w:r>
          </w:p>
        </w:tc>
        <w:tc>
          <w:tcPr>
            <w:tcW w:w="4993" w:type="dxa"/>
            <w:shd w:val="clear" w:color="auto" w:fill="auto"/>
            <w:vAlign w:val="center"/>
          </w:tcPr>
          <w:p w14:paraId="5DC018A1" w14:textId="77777777" w:rsidR="008E0CF3" w:rsidRDefault="00886B73">
            <w:r>
              <w:t>2</w:t>
            </w:r>
          </w:p>
        </w:tc>
      </w:tr>
      <w:tr w:rsidR="008E0CF3" w14:paraId="4752402A" w14:textId="77777777" w:rsidTr="00D575A8">
        <w:tc>
          <w:tcPr>
            <w:tcW w:w="4584" w:type="dxa"/>
            <w:shd w:val="clear" w:color="auto" w:fill="auto"/>
          </w:tcPr>
          <w:p w14:paraId="4CD29F42" w14:textId="77777777" w:rsidR="008E0CF3" w:rsidRDefault="00886B73">
            <w:pPr>
              <w:pBdr>
                <w:top w:val="nil"/>
                <w:left w:val="nil"/>
                <w:bottom w:val="nil"/>
                <w:right w:val="nil"/>
                <w:between w:val="nil"/>
              </w:pBdr>
              <w:rPr>
                <w:b/>
                <w:i/>
                <w:u w:val="single"/>
              </w:rPr>
            </w:pPr>
            <w:r>
              <w:rPr>
                <w:b/>
                <w:i/>
              </w:rPr>
              <w:t>ECTS kredītpunkti</w:t>
            </w:r>
          </w:p>
        </w:tc>
        <w:tc>
          <w:tcPr>
            <w:tcW w:w="4993" w:type="dxa"/>
            <w:shd w:val="clear" w:color="auto" w:fill="auto"/>
          </w:tcPr>
          <w:p w14:paraId="47349559" w14:textId="77777777" w:rsidR="008E0CF3" w:rsidRDefault="00886B73">
            <w:r>
              <w:t xml:space="preserve">3 </w:t>
            </w:r>
          </w:p>
        </w:tc>
      </w:tr>
      <w:tr w:rsidR="008E0CF3" w14:paraId="14CC136F" w14:textId="77777777" w:rsidTr="00D575A8">
        <w:tc>
          <w:tcPr>
            <w:tcW w:w="4584" w:type="dxa"/>
            <w:shd w:val="clear" w:color="auto" w:fill="auto"/>
          </w:tcPr>
          <w:p w14:paraId="39745404" w14:textId="77777777" w:rsidR="008E0CF3" w:rsidRDefault="00886B73">
            <w:pPr>
              <w:pBdr>
                <w:top w:val="nil"/>
                <w:left w:val="nil"/>
                <w:bottom w:val="nil"/>
                <w:right w:val="nil"/>
                <w:between w:val="nil"/>
              </w:pBdr>
              <w:rPr>
                <w:b/>
                <w:i/>
              </w:rPr>
            </w:pPr>
            <w:r>
              <w:rPr>
                <w:b/>
                <w:i/>
              </w:rPr>
              <w:t>Kopējais kontaktstundu skaits</w:t>
            </w:r>
          </w:p>
        </w:tc>
        <w:tc>
          <w:tcPr>
            <w:tcW w:w="4993" w:type="dxa"/>
            <w:shd w:val="clear" w:color="auto" w:fill="auto"/>
            <w:vAlign w:val="center"/>
          </w:tcPr>
          <w:p w14:paraId="3EC7DF3E" w14:textId="77777777" w:rsidR="008E0CF3" w:rsidRDefault="00886B73">
            <w:r>
              <w:t xml:space="preserve">32 </w:t>
            </w:r>
          </w:p>
        </w:tc>
      </w:tr>
      <w:tr w:rsidR="008E0CF3" w14:paraId="1D46528F" w14:textId="77777777" w:rsidTr="00D575A8">
        <w:tc>
          <w:tcPr>
            <w:tcW w:w="4584" w:type="dxa"/>
            <w:shd w:val="clear" w:color="auto" w:fill="auto"/>
          </w:tcPr>
          <w:p w14:paraId="74124EDB" w14:textId="77777777" w:rsidR="008E0CF3" w:rsidRDefault="00886B73">
            <w:pPr>
              <w:pBdr>
                <w:top w:val="nil"/>
                <w:left w:val="nil"/>
                <w:bottom w:val="nil"/>
                <w:right w:val="nil"/>
                <w:between w:val="nil"/>
              </w:pBdr>
              <w:rPr>
                <w:i/>
              </w:rPr>
            </w:pPr>
            <w:r>
              <w:rPr>
                <w:i/>
              </w:rPr>
              <w:t>Lekciju stundu skaits</w:t>
            </w:r>
          </w:p>
        </w:tc>
        <w:tc>
          <w:tcPr>
            <w:tcW w:w="4993" w:type="dxa"/>
            <w:shd w:val="clear" w:color="auto" w:fill="auto"/>
          </w:tcPr>
          <w:p w14:paraId="7D6816F9" w14:textId="1A9A50B6" w:rsidR="008E0CF3" w:rsidRDefault="00886B73">
            <w:r>
              <w:t xml:space="preserve"> 1</w:t>
            </w:r>
            <w:r w:rsidR="00E602AE">
              <w:t>2</w:t>
            </w:r>
          </w:p>
        </w:tc>
      </w:tr>
      <w:tr w:rsidR="008E0CF3" w14:paraId="31128156" w14:textId="77777777" w:rsidTr="00D575A8">
        <w:tc>
          <w:tcPr>
            <w:tcW w:w="4584" w:type="dxa"/>
            <w:shd w:val="clear" w:color="auto" w:fill="auto"/>
          </w:tcPr>
          <w:p w14:paraId="2DD9F46B" w14:textId="77777777" w:rsidR="008E0CF3" w:rsidRDefault="00886B73">
            <w:pPr>
              <w:pBdr>
                <w:top w:val="nil"/>
                <w:left w:val="nil"/>
                <w:bottom w:val="nil"/>
                <w:right w:val="nil"/>
                <w:between w:val="nil"/>
              </w:pBdr>
              <w:rPr>
                <w:i/>
              </w:rPr>
            </w:pPr>
            <w:r>
              <w:rPr>
                <w:i/>
              </w:rPr>
              <w:t>Semināru stundu skaits</w:t>
            </w:r>
          </w:p>
        </w:tc>
        <w:tc>
          <w:tcPr>
            <w:tcW w:w="4993" w:type="dxa"/>
            <w:shd w:val="clear" w:color="auto" w:fill="auto"/>
          </w:tcPr>
          <w:p w14:paraId="1D8276C1" w14:textId="0EDECC6E" w:rsidR="008E0CF3" w:rsidRDefault="00886B73">
            <w:r>
              <w:t xml:space="preserve"> </w:t>
            </w:r>
            <w:r w:rsidR="00E602AE">
              <w:t>20</w:t>
            </w:r>
          </w:p>
        </w:tc>
      </w:tr>
      <w:tr w:rsidR="008E0CF3" w14:paraId="7A0451AF" w14:textId="77777777" w:rsidTr="00D575A8">
        <w:tc>
          <w:tcPr>
            <w:tcW w:w="4584" w:type="dxa"/>
            <w:shd w:val="clear" w:color="auto" w:fill="auto"/>
          </w:tcPr>
          <w:p w14:paraId="2DF89510" w14:textId="77777777" w:rsidR="008E0CF3" w:rsidRDefault="00886B73">
            <w:pPr>
              <w:pBdr>
                <w:top w:val="nil"/>
                <w:left w:val="nil"/>
                <w:bottom w:val="nil"/>
                <w:right w:val="nil"/>
                <w:between w:val="nil"/>
              </w:pBdr>
              <w:rPr>
                <w:i/>
              </w:rPr>
            </w:pPr>
            <w:r>
              <w:rPr>
                <w:i/>
              </w:rPr>
              <w:t>Praktisko darbu stundu skaits</w:t>
            </w:r>
          </w:p>
        </w:tc>
        <w:tc>
          <w:tcPr>
            <w:tcW w:w="4993" w:type="dxa"/>
            <w:shd w:val="clear" w:color="auto" w:fill="auto"/>
          </w:tcPr>
          <w:p w14:paraId="347B51F7" w14:textId="77777777" w:rsidR="008E0CF3" w:rsidRDefault="008E0CF3"/>
        </w:tc>
      </w:tr>
      <w:tr w:rsidR="008E0CF3" w14:paraId="1A2F6396" w14:textId="77777777" w:rsidTr="00D575A8">
        <w:tc>
          <w:tcPr>
            <w:tcW w:w="4584" w:type="dxa"/>
            <w:shd w:val="clear" w:color="auto" w:fill="auto"/>
          </w:tcPr>
          <w:p w14:paraId="12BEA86E" w14:textId="77777777" w:rsidR="008E0CF3" w:rsidRDefault="00886B73">
            <w:pPr>
              <w:pBdr>
                <w:top w:val="nil"/>
                <w:left w:val="nil"/>
                <w:bottom w:val="nil"/>
                <w:right w:val="nil"/>
                <w:between w:val="nil"/>
              </w:pBdr>
              <w:rPr>
                <w:i/>
              </w:rPr>
            </w:pPr>
            <w:r>
              <w:rPr>
                <w:i/>
              </w:rPr>
              <w:t>Laboratorijas darbu stundu skaits</w:t>
            </w:r>
          </w:p>
        </w:tc>
        <w:tc>
          <w:tcPr>
            <w:tcW w:w="4993" w:type="dxa"/>
            <w:shd w:val="clear" w:color="auto" w:fill="auto"/>
          </w:tcPr>
          <w:p w14:paraId="37502F32" w14:textId="77777777" w:rsidR="008E0CF3" w:rsidRDefault="00886B73">
            <w:r>
              <w:t xml:space="preserve"> </w:t>
            </w:r>
          </w:p>
        </w:tc>
      </w:tr>
      <w:tr w:rsidR="008E0CF3" w14:paraId="5C03168B" w14:textId="77777777" w:rsidTr="00D575A8">
        <w:tc>
          <w:tcPr>
            <w:tcW w:w="4584" w:type="dxa"/>
            <w:shd w:val="clear" w:color="auto" w:fill="auto"/>
          </w:tcPr>
          <w:p w14:paraId="270C43D7" w14:textId="77777777" w:rsidR="008E0CF3" w:rsidRDefault="00886B73">
            <w:pPr>
              <w:pBdr>
                <w:top w:val="nil"/>
                <w:left w:val="nil"/>
                <w:bottom w:val="nil"/>
                <w:right w:val="nil"/>
                <w:between w:val="nil"/>
              </w:pBdr>
              <w:rPr>
                <w:i/>
              </w:rPr>
            </w:pPr>
            <w:r>
              <w:rPr>
                <w:i/>
              </w:rPr>
              <w:t>Studējošā patstāvīgā darba stundu skaits</w:t>
            </w:r>
          </w:p>
        </w:tc>
        <w:tc>
          <w:tcPr>
            <w:tcW w:w="4993" w:type="dxa"/>
            <w:shd w:val="clear" w:color="auto" w:fill="auto"/>
            <w:vAlign w:val="center"/>
          </w:tcPr>
          <w:p w14:paraId="1C935A7C" w14:textId="77777777" w:rsidR="008E0CF3" w:rsidRDefault="00886B73">
            <w:r>
              <w:t xml:space="preserve">48 </w:t>
            </w:r>
          </w:p>
        </w:tc>
      </w:tr>
      <w:tr w:rsidR="008E0CF3" w14:paraId="69F8E131" w14:textId="77777777" w:rsidTr="00D575A8">
        <w:tc>
          <w:tcPr>
            <w:tcW w:w="9577" w:type="dxa"/>
            <w:gridSpan w:val="2"/>
            <w:shd w:val="clear" w:color="auto" w:fill="auto"/>
          </w:tcPr>
          <w:p w14:paraId="7D84C7FB" w14:textId="77777777" w:rsidR="008E0CF3" w:rsidRDefault="008E0CF3"/>
        </w:tc>
      </w:tr>
      <w:tr w:rsidR="008E0CF3" w14:paraId="444C43F9" w14:textId="77777777" w:rsidTr="00D575A8">
        <w:tc>
          <w:tcPr>
            <w:tcW w:w="9577" w:type="dxa"/>
            <w:gridSpan w:val="2"/>
            <w:shd w:val="clear" w:color="auto" w:fill="auto"/>
          </w:tcPr>
          <w:p w14:paraId="0BE3FC21" w14:textId="77777777" w:rsidR="008E0CF3" w:rsidRDefault="00886B73">
            <w:pPr>
              <w:pBdr>
                <w:top w:val="nil"/>
                <w:left w:val="nil"/>
                <w:bottom w:val="nil"/>
                <w:right w:val="nil"/>
                <w:between w:val="nil"/>
              </w:pBdr>
              <w:rPr>
                <w:b/>
                <w:i/>
              </w:rPr>
            </w:pPr>
            <w:r>
              <w:rPr>
                <w:b/>
                <w:i/>
              </w:rPr>
              <w:t>Kursa autors(-i)</w:t>
            </w:r>
          </w:p>
        </w:tc>
      </w:tr>
      <w:tr w:rsidR="008E0CF3" w14:paraId="56E5694D" w14:textId="77777777" w:rsidTr="00D575A8">
        <w:tc>
          <w:tcPr>
            <w:tcW w:w="9577" w:type="dxa"/>
            <w:gridSpan w:val="2"/>
            <w:shd w:val="clear" w:color="auto" w:fill="auto"/>
          </w:tcPr>
          <w:p w14:paraId="3CD873F6" w14:textId="77777777" w:rsidR="008E0CF3" w:rsidRDefault="00886B73">
            <w:r>
              <w:t>Dr.philol. Sandra Meškova</w:t>
            </w:r>
          </w:p>
        </w:tc>
      </w:tr>
      <w:tr w:rsidR="008E0CF3" w14:paraId="01FF5DFF" w14:textId="77777777" w:rsidTr="00D575A8">
        <w:tc>
          <w:tcPr>
            <w:tcW w:w="9577" w:type="dxa"/>
            <w:gridSpan w:val="2"/>
            <w:shd w:val="clear" w:color="auto" w:fill="auto"/>
          </w:tcPr>
          <w:p w14:paraId="3A058D02" w14:textId="77777777" w:rsidR="008E0CF3" w:rsidRDefault="00886B73">
            <w:pPr>
              <w:pBdr>
                <w:top w:val="nil"/>
                <w:left w:val="nil"/>
                <w:bottom w:val="nil"/>
                <w:right w:val="nil"/>
                <w:between w:val="nil"/>
              </w:pBdr>
              <w:rPr>
                <w:b/>
                <w:i/>
              </w:rPr>
            </w:pPr>
            <w:r>
              <w:rPr>
                <w:b/>
                <w:i/>
              </w:rPr>
              <w:t>Kursa docētājs(-i)</w:t>
            </w:r>
          </w:p>
        </w:tc>
      </w:tr>
      <w:tr w:rsidR="008E0CF3" w14:paraId="2E13E42E" w14:textId="77777777" w:rsidTr="00D575A8">
        <w:tc>
          <w:tcPr>
            <w:tcW w:w="9577" w:type="dxa"/>
            <w:gridSpan w:val="2"/>
            <w:shd w:val="clear" w:color="auto" w:fill="auto"/>
          </w:tcPr>
          <w:p w14:paraId="3CC5B210" w14:textId="77777777" w:rsidR="008E0CF3" w:rsidRDefault="00886B73">
            <w:r>
              <w:t xml:space="preserve">Dr.philol. Sandra Meškova, </w:t>
            </w:r>
          </w:p>
          <w:p w14:paraId="074CF306" w14:textId="77777777" w:rsidR="008E0CF3" w:rsidRDefault="00886B73">
            <w:r>
              <w:t>Mag. tulk. Jeļena Antoņeviča</w:t>
            </w:r>
          </w:p>
        </w:tc>
      </w:tr>
      <w:tr w:rsidR="008E0CF3" w14:paraId="549169A4" w14:textId="77777777" w:rsidTr="00D575A8">
        <w:tc>
          <w:tcPr>
            <w:tcW w:w="9577" w:type="dxa"/>
            <w:gridSpan w:val="2"/>
            <w:shd w:val="clear" w:color="auto" w:fill="auto"/>
          </w:tcPr>
          <w:p w14:paraId="4C2578A0" w14:textId="77777777" w:rsidR="008E0CF3" w:rsidRDefault="00886B73">
            <w:pPr>
              <w:pBdr>
                <w:top w:val="nil"/>
                <w:left w:val="nil"/>
                <w:bottom w:val="nil"/>
                <w:right w:val="nil"/>
                <w:between w:val="nil"/>
              </w:pBdr>
              <w:rPr>
                <w:b/>
                <w:i/>
              </w:rPr>
            </w:pPr>
            <w:r>
              <w:rPr>
                <w:b/>
                <w:i/>
              </w:rPr>
              <w:t>Priekšzināšanas</w:t>
            </w:r>
          </w:p>
        </w:tc>
      </w:tr>
      <w:tr w:rsidR="008E0CF3" w14:paraId="1E79DA33" w14:textId="77777777" w:rsidTr="00D575A8">
        <w:tc>
          <w:tcPr>
            <w:tcW w:w="9577" w:type="dxa"/>
            <w:gridSpan w:val="2"/>
            <w:shd w:val="clear" w:color="auto" w:fill="auto"/>
          </w:tcPr>
          <w:p w14:paraId="698E9869" w14:textId="77777777" w:rsidR="008E0CF3" w:rsidRDefault="00886B73">
            <w:r>
              <w:t xml:space="preserve">        </w:t>
            </w:r>
          </w:p>
        </w:tc>
      </w:tr>
      <w:tr w:rsidR="008E0CF3" w14:paraId="0263BFEA" w14:textId="77777777" w:rsidTr="00D575A8">
        <w:tc>
          <w:tcPr>
            <w:tcW w:w="9577" w:type="dxa"/>
            <w:gridSpan w:val="2"/>
            <w:shd w:val="clear" w:color="auto" w:fill="auto"/>
          </w:tcPr>
          <w:p w14:paraId="43B49924" w14:textId="77777777" w:rsidR="008E0CF3" w:rsidRDefault="00886B73">
            <w:pPr>
              <w:pBdr>
                <w:top w:val="nil"/>
                <w:left w:val="nil"/>
                <w:bottom w:val="nil"/>
                <w:right w:val="nil"/>
                <w:between w:val="nil"/>
              </w:pBdr>
              <w:rPr>
                <w:b/>
                <w:i/>
              </w:rPr>
            </w:pPr>
            <w:r>
              <w:rPr>
                <w:b/>
                <w:i/>
              </w:rPr>
              <w:t xml:space="preserve">Studiju kursa anotācija </w:t>
            </w:r>
          </w:p>
        </w:tc>
      </w:tr>
      <w:tr w:rsidR="008E0CF3" w14:paraId="76B86F33" w14:textId="77777777" w:rsidTr="00D575A8">
        <w:tc>
          <w:tcPr>
            <w:tcW w:w="9577" w:type="dxa"/>
            <w:gridSpan w:val="2"/>
            <w:shd w:val="clear" w:color="auto" w:fill="auto"/>
          </w:tcPr>
          <w:p w14:paraId="47C63293" w14:textId="77777777" w:rsidR="008E0CF3" w:rsidRDefault="00886B73">
            <w:r>
              <w:t xml:space="preserve">Studiju kursa mērķis: </w:t>
            </w:r>
            <w:r>
              <w:rPr>
                <w:rFonts w:ascii="Times" w:eastAsia="Times" w:hAnsi="Times" w:cs="Times"/>
              </w:rPr>
              <w:t xml:space="preserve">sniegt studējošajiem zināšanas par kanādiešu anglofono literatūru un veidot izpratni par </w:t>
            </w:r>
            <w:r>
              <w:t>tās attīstības tendencēm</w:t>
            </w:r>
            <w:r>
              <w:rPr>
                <w:rFonts w:ascii="Times" w:eastAsia="Times" w:hAnsi="Times" w:cs="Times"/>
              </w:rPr>
              <w:t>, pilnveidojot studējošo prasmes un kompetences literāro tekstu interpretācijā un analīzē angļu valodā.</w:t>
            </w:r>
          </w:p>
          <w:p w14:paraId="198EFE95" w14:textId="77777777" w:rsidR="008E0CF3" w:rsidRDefault="00886B73">
            <w:r>
              <w:t>Kursa uzdevumi:</w:t>
            </w:r>
          </w:p>
          <w:p w14:paraId="1DC9680F" w14:textId="77777777" w:rsidR="008E0CF3" w:rsidRDefault="00886B73">
            <w:r>
              <w:t xml:space="preserve">1. Iepazīstināt studējošos ar kanādiešu anglofonās literatūras attīstības tendencēm, nozīmīgākajiem autoriem, tematiku, poētikas īpatnībām. </w:t>
            </w:r>
          </w:p>
          <w:p w14:paraId="52A9B754" w14:textId="77777777" w:rsidR="008E0CF3" w:rsidRDefault="00886B73">
            <w:r>
              <w:t>2. Pilnveidot studējošo izpratni par kanādiešu kultūras un literatūras multikulturālo raksturu.</w:t>
            </w:r>
          </w:p>
          <w:p w14:paraId="53EAEDFA" w14:textId="77777777" w:rsidR="008E0CF3" w:rsidRDefault="00886B73">
            <w:r>
              <w:rPr>
                <w:rFonts w:ascii="Times" w:eastAsia="Times" w:hAnsi="Times" w:cs="Times"/>
              </w:rPr>
              <w:t xml:space="preserve">3. Nodrošināt studējošajiem iespēju attīstīt prasmes formulēt un argumentēt viedokli par kanādiešu literatūras problēmām un norisēm angļu valodā, pilnveidot akadēmiskās runas, diskusijas un rakstu iemaņas. </w:t>
            </w:r>
          </w:p>
        </w:tc>
      </w:tr>
      <w:tr w:rsidR="008E0CF3" w14:paraId="3512E37A" w14:textId="77777777" w:rsidTr="00D575A8">
        <w:tc>
          <w:tcPr>
            <w:tcW w:w="9577" w:type="dxa"/>
            <w:gridSpan w:val="2"/>
            <w:shd w:val="clear" w:color="auto" w:fill="auto"/>
          </w:tcPr>
          <w:p w14:paraId="1C8F0080" w14:textId="77777777" w:rsidR="008E0CF3" w:rsidRDefault="00886B73">
            <w:pPr>
              <w:pBdr>
                <w:top w:val="nil"/>
                <w:left w:val="nil"/>
                <w:bottom w:val="nil"/>
                <w:right w:val="nil"/>
                <w:between w:val="nil"/>
              </w:pBdr>
              <w:rPr>
                <w:b/>
                <w:i/>
              </w:rPr>
            </w:pPr>
            <w:r>
              <w:rPr>
                <w:b/>
                <w:i/>
              </w:rPr>
              <w:t>Studiju kursa kalendārais plāns</w:t>
            </w:r>
          </w:p>
        </w:tc>
      </w:tr>
      <w:tr w:rsidR="008E0CF3" w14:paraId="1A677404" w14:textId="77777777" w:rsidTr="00D575A8">
        <w:tc>
          <w:tcPr>
            <w:tcW w:w="9577" w:type="dxa"/>
            <w:gridSpan w:val="2"/>
            <w:shd w:val="clear" w:color="auto" w:fill="auto"/>
          </w:tcPr>
          <w:p w14:paraId="30AD82E8" w14:textId="3E7D52AB" w:rsidR="008E0CF3" w:rsidRDefault="00886B73">
            <w:r>
              <w:t>Lekcijas L1</w:t>
            </w:r>
            <w:r w:rsidR="007C2EF9">
              <w:t>2</w:t>
            </w:r>
            <w:r>
              <w:t xml:space="preserve"> st., semināri S </w:t>
            </w:r>
            <w:r w:rsidR="007C2EF9">
              <w:t>20</w:t>
            </w:r>
            <w:r>
              <w:t xml:space="preserve"> st., patstāvīgais darbs 48 st.</w:t>
            </w:r>
          </w:p>
          <w:p w14:paraId="0B83D1FB" w14:textId="77777777" w:rsidR="008E0CF3" w:rsidRDefault="00886B73">
            <w:r>
              <w:t>1. Pārskats par kanādiešu anglofonās literatūras attīstības posmiem un kontekstiem. Kultūru daudzveidība (cultural diversity) Kanādā. L2</w:t>
            </w:r>
          </w:p>
          <w:p w14:paraId="5B1B3989" w14:textId="77777777" w:rsidR="008E0CF3" w:rsidRDefault="00886B73">
            <w:r>
              <w:t>2. Vietējās tautas (indigenous peoples) un to kultūra Kanādas teritorijā. Mutvārdu tradīcija. L1, S1</w:t>
            </w:r>
          </w:p>
          <w:p w14:paraId="3E7B352E" w14:textId="77777777" w:rsidR="008E0CF3" w:rsidRDefault="00886B73">
            <w:r>
              <w:t>3. 17.-18. gadsimta ceļojumu un izpētes (exploration), epistolārā, komiskā literatūra. L1, S1</w:t>
            </w:r>
          </w:p>
          <w:p w14:paraId="17B3FB95" w14:textId="77777777" w:rsidR="008E0CF3" w:rsidRDefault="00886B73">
            <w:r>
              <w:t>4. Dzīves rakstība tradīcija kanādiešu literatūrā kopš 19. gadsimta vidus. L2, S2</w:t>
            </w:r>
          </w:p>
          <w:p w14:paraId="6EC73CBF" w14:textId="244F8621" w:rsidR="008E0CF3" w:rsidRDefault="00886B73">
            <w:r>
              <w:t>5. Kultūras uzplaukums Kanādā Konfederācijas laikā. L</w:t>
            </w:r>
            <w:r w:rsidR="007C2EF9">
              <w:t>1</w:t>
            </w:r>
            <w:r>
              <w:t>, S</w:t>
            </w:r>
            <w:r w:rsidR="007C2EF9">
              <w:t>1</w:t>
            </w:r>
          </w:p>
          <w:p w14:paraId="6C725F60" w14:textId="68A3D41B" w:rsidR="008E0CF3" w:rsidRDefault="00886B73">
            <w:r>
              <w:t>6. 20. gadsimta starpkaru periods Kanādā un literatūra pēc 2. pasaules kara. L</w:t>
            </w:r>
            <w:r w:rsidR="007C2EF9">
              <w:t>1</w:t>
            </w:r>
            <w:r>
              <w:t>, S</w:t>
            </w:r>
            <w:r w:rsidR="007C2EF9">
              <w:t>3</w:t>
            </w:r>
          </w:p>
          <w:p w14:paraId="7AC1C69B" w14:textId="77777777" w:rsidR="008E0CF3" w:rsidRDefault="00886B73">
            <w:r>
              <w:t>7. Mūsdienu kanādiešu literatūras izcilības: A. Manro un M. Atvuda. L2, S4</w:t>
            </w:r>
          </w:p>
          <w:p w14:paraId="76ED1554" w14:textId="77777777" w:rsidR="008E0CF3" w:rsidRDefault="00886B73">
            <w:r>
              <w:t>8. Postmodernisms mūsdienu kanādiešu literatūrā. L2, S4</w:t>
            </w:r>
          </w:p>
          <w:p w14:paraId="00581C73" w14:textId="04FA0569" w:rsidR="008E0CF3" w:rsidRDefault="00886B73">
            <w:r>
              <w:t xml:space="preserve">9. </w:t>
            </w:r>
            <w:r w:rsidR="007C2EF9">
              <w:t>Mūsdienu vietējo tautu literatūra (Indigenous literature)</w:t>
            </w:r>
            <w:r>
              <w:t>. S</w:t>
            </w:r>
            <w:r w:rsidR="007C2EF9">
              <w:t>4</w:t>
            </w:r>
          </w:p>
          <w:p w14:paraId="4F480EAA" w14:textId="77777777" w:rsidR="008E0CF3" w:rsidRDefault="008E0CF3"/>
        </w:tc>
      </w:tr>
      <w:tr w:rsidR="008E0CF3" w14:paraId="1286D0FA" w14:textId="77777777" w:rsidTr="00D575A8">
        <w:tc>
          <w:tcPr>
            <w:tcW w:w="9577" w:type="dxa"/>
            <w:gridSpan w:val="2"/>
            <w:shd w:val="clear" w:color="auto" w:fill="auto"/>
          </w:tcPr>
          <w:p w14:paraId="0DDA80AB" w14:textId="77777777" w:rsidR="008E0CF3" w:rsidRDefault="00886B73">
            <w:pPr>
              <w:pBdr>
                <w:top w:val="nil"/>
                <w:left w:val="nil"/>
                <w:bottom w:val="nil"/>
                <w:right w:val="nil"/>
                <w:between w:val="nil"/>
              </w:pBdr>
              <w:rPr>
                <w:b/>
                <w:i/>
              </w:rPr>
            </w:pPr>
            <w:r>
              <w:rPr>
                <w:b/>
                <w:i/>
              </w:rPr>
              <w:lastRenderedPageBreak/>
              <w:t>Studiju rezultāti</w:t>
            </w:r>
          </w:p>
        </w:tc>
      </w:tr>
      <w:tr w:rsidR="008E0CF3" w14:paraId="049F9722" w14:textId="77777777" w:rsidTr="00D575A8">
        <w:tc>
          <w:tcPr>
            <w:tcW w:w="9577" w:type="dxa"/>
            <w:gridSpan w:val="2"/>
            <w:shd w:val="clear" w:color="auto" w:fill="auto"/>
          </w:tcPr>
          <w:p w14:paraId="590BCAC7" w14:textId="77777777" w:rsidR="008E0CF3" w:rsidRDefault="008E0CF3"/>
          <w:tbl>
            <w:tblPr>
              <w:tblStyle w:val="a6"/>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1"/>
            </w:tblGrid>
            <w:tr w:rsidR="008E0CF3" w14:paraId="27CAEE7E" w14:textId="77777777" w:rsidTr="00190FD7">
              <w:tc>
                <w:tcPr>
                  <w:tcW w:w="9351" w:type="dxa"/>
                  <w:shd w:val="clear" w:color="auto" w:fill="auto"/>
                </w:tcPr>
                <w:p w14:paraId="346F2AD5" w14:textId="77777777" w:rsidR="008E0CF3" w:rsidRDefault="00886B73">
                  <w:r>
                    <w:t>ZINĀŠANAS</w:t>
                  </w:r>
                </w:p>
              </w:tc>
            </w:tr>
            <w:tr w:rsidR="008E0CF3" w14:paraId="0D90BCC9" w14:textId="77777777" w:rsidTr="00190FD7">
              <w:tc>
                <w:tcPr>
                  <w:tcW w:w="9351" w:type="dxa"/>
                  <w:shd w:val="clear" w:color="auto" w:fill="auto"/>
                </w:tcPr>
                <w:p w14:paraId="2F2C2BB2" w14:textId="77777777" w:rsidR="008E0CF3" w:rsidRDefault="00886B73">
                  <w:r>
                    <w:t>1. Demonstrē zināšanas un izpratni par kanādiešu anglofonās literatūras attīstības tendencēm, tematiskajām dominantēm, poētikas īpatnībām, nozīmīgākajiem pārstāvjiem.</w:t>
                  </w:r>
                </w:p>
                <w:p w14:paraId="4C950FEC" w14:textId="77777777" w:rsidR="008E0CF3" w:rsidRDefault="00886B73">
                  <w:r>
                    <w:t>2. Analizē, sintezē un kritiski izvērtē informāciju par dažādu sociālu un kultūru komponentu mijattiecībām kanādiešu literatūrā.</w:t>
                  </w:r>
                </w:p>
              </w:tc>
            </w:tr>
            <w:tr w:rsidR="008E0CF3" w14:paraId="19DC84BA" w14:textId="77777777" w:rsidTr="00190FD7">
              <w:tc>
                <w:tcPr>
                  <w:tcW w:w="9351" w:type="dxa"/>
                  <w:shd w:val="clear" w:color="auto" w:fill="auto"/>
                </w:tcPr>
                <w:p w14:paraId="04A71BA7" w14:textId="77777777" w:rsidR="008E0CF3" w:rsidRDefault="00886B73">
                  <w:pPr>
                    <w:rPr>
                      <w:highlight w:val="yellow"/>
                    </w:rPr>
                  </w:pPr>
                  <w:r>
                    <w:t>PRASMES</w:t>
                  </w:r>
                </w:p>
              </w:tc>
            </w:tr>
            <w:tr w:rsidR="008E0CF3" w14:paraId="2589555D" w14:textId="77777777" w:rsidTr="00190FD7">
              <w:tc>
                <w:tcPr>
                  <w:tcW w:w="9351" w:type="dxa"/>
                  <w:shd w:val="clear" w:color="auto" w:fill="auto"/>
                </w:tcPr>
                <w:p w14:paraId="3BDC89BE" w14:textId="77777777" w:rsidR="008E0CF3" w:rsidRDefault="00886B73">
                  <w:r>
                    <w:t>3. Izmantojot apgūtās zināšanas, analizē tematiskos un žanra poētikas elementus kanādiešu autoru prozā un dzejā, spēj ar atsevišķu autoru daiļdarbu piemēriem ilustrēt dažādu sociālu un kultūru komponentu mijiedarbību kanādiešu literatūrā angļu valodā.</w:t>
                  </w:r>
                </w:p>
                <w:p w14:paraId="169D2461" w14:textId="77777777" w:rsidR="008E0CF3" w:rsidRDefault="00886B73">
                  <w:r>
                    <w:t xml:space="preserve">4. Spēj pārliecinoši un kritiski izmantot informācijas tehnoloģijas pētniecībā un komunikācijā; meklē un apkopo informāciju; apstrādā un kritiski izvērtē informāciju par mūsdienu literatūras un kultūras attīstības tendencēm. </w:t>
                  </w:r>
                </w:p>
              </w:tc>
            </w:tr>
            <w:tr w:rsidR="008E0CF3" w14:paraId="2FD2ACC8" w14:textId="77777777" w:rsidTr="00190FD7">
              <w:trPr>
                <w:trHeight w:val="203"/>
              </w:trPr>
              <w:tc>
                <w:tcPr>
                  <w:tcW w:w="9351" w:type="dxa"/>
                  <w:shd w:val="clear" w:color="auto" w:fill="auto"/>
                </w:tcPr>
                <w:p w14:paraId="209C8623" w14:textId="77777777" w:rsidR="008E0CF3" w:rsidRDefault="00886B73">
                  <w:pPr>
                    <w:rPr>
                      <w:highlight w:val="yellow"/>
                    </w:rPr>
                  </w:pPr>
                  <w:r>
                    <w:t>KOMPETENCE</w:t>
                  </w:r>
                </w:p>
              </w:tc>
            </w:tr>
            <w:tr w:rsidR="008E0CF3" w14:paraId="50E8469F" w14:textId="77777777" w:rsidTr="00190FD7">
              <w:tc>
                <w:tcPr>
                  <w:tcW w:w="9351" w:type="dxa"/>
                  <w:shd w:val="clear" w:color="auto" w:fill="auto"/>
                </w:tcPr>
                <w:p w14:paraId="403B33BF" w14:textId="77777777" w:rsidR="008E0CF3" w:rsidRDefault="00886B73">
                  <w:r>
                    <w:t>5. Spēj patstāvīgi iegūt, atlasīt, analizēt un izmantot informāciju, pieņemt lēmumus un risināt problēmas kanādiešu literatūras un kultūras izpētes jomā.</w:t>
                  </w:r>
                </w:p>
                <w:p w14:paraId="3A3CFDFB" w14:textId="77777777" w:rsidR="008E0CF3" w:rsidRDefault="00886B73">
                  <w:pPr>
                    <w:rPr>
                      <w:highlight w:val="yellow"/>
                    </w:rPr>
                  </w:pPr>
                  <w:r>
                    <w:t>6. Spēj kritiski un loģiski risināt teorētiskus un praktiskus jautājumus, ģenerē idejas, izvēlas problēmu risināšanas stratēģijas un piedāvā jaunus risinājumus, prasmīgi komunicē un sadarbojas gan individuāli, gan komandā.</w:t>
                  </w:r>
                </w:p>
              </w:tc>
            </w:tr>
          </w:tbl>
          <w:p w14:paraId="79EA23B1" w14:textId="77777777" w:rsidR="008E0CF3" w:rsidRDefault="008E0CF3"/>
          <w:p w14:paraId="266826A7" w14:textId="77777777" w:rsidR="008E0CF3" w:rsidRDefault="008E0CF3"/>
        </w:tc>
      </w:tr>
      <w:tr w:rsidR="008E0CF3" w14:paraId="32377D0F" w14:textId="77777777" w:rsidTr="00D575A8">
        <w:tc>
          <w:tcPr>
            <w:tcW w:w="9577" w:type="dxa"/>
            <w:gridSpan w:val="2"/>
            <w:shd w:val="clear" w:color="auto" w:fill="auto"/>
          </w:tcPr>
          <w:p w14:paraId="7975AB3F" w14:textId="77777777" w:rsidR="008E0CF3" w:rsidRDefault="00886B73">
            <w:pPr>
              <w:pBdr>
                <w:top w:val="nil"/>
                <w:left w:val="nil"/>
                <w:bottom w:val="nil"/>
                <w:right w:val="nil"/>
                <w:between w:val="nil"/>
              </w:pBdr>
              <w:rPr>
                <w:b/>
                <w:i/>
              </w:rPr>
            </w:pPr>
            <w:r>
              <w:rPr>
                <w:b/>
                <w:i/>
              </w:rPr>
              <w:t>Studējošo patstāvīgo darbu organizācijas un uzdevumu raksturojums</w:t>
            </w:r>
          </w:p>
        </w:tc>
      </w:tr>
      <w:tr w:rsidR="008E0CF3" w14:paraId="458E1618" w14:textId="77777777" w:rsidTr="00D575A8">
        <w:tc>
          <w:tcPr>
            <w:tcW w:w="9577" w:type="dxa"/>
            <w:gridSpan w:val="2"/>
            <w:shd w:val="clear" w:color="auto" w:fill="auto"/>
          </w:tcPr>
          <w:p w14:paraId="15C574F4" w14:textId="77777777" w:rsidR="008E0CF3" w:rsidRDefault="00886B73">
            <w:r>
              <w:rPr>
                <w:rFonts w:ascii="Times" w:eastAsia="Times" w:hAnsi="Times" w:cs="Times"/>
              </w:rPr>
              <w:t>Stud</w:t>
            </w:r>
            <w:r>
              <w:t>ējošie</w:t>
            </w:r>
            <w:r>
              <w:rPr>
                <w:rFonts w:ascii="Times" w:eastAsia="Times" w:hAnsi="Times" w:cs="Times"/>
              </w:rPr>
              <w:t xml:space="preserve"> padziļināti studē nodarbībām piedāvāto materiālu, patstāvīgi iepazīstas ar teorētisko papildliteratūru un plašāku literāro darbu klāstu un demonstrē patstāvīgā darba rezultātus semināru </w:t>
            </w:r>
            <w:r>
              <w:t>nodarbībās,</w:t>
            </w:r>
            <w:r>
              <w:rPr>
                <w:rFonts w:ascii="Times" w:eastAsia="Times" w:hAnsi="Times" w:cs="Times"/>
              </w:rPr>
              <w:t xml:space="preserve"> starppārbaudījumos</w:t>
            </w:r>
            <w:r>
              <w:t xml:space="preserve"> un noslēguma prezentācijās</w:t>
            </w:r>
            <w:r>
              <w:rPr>
                <w:rFonts w:ascii="Times" w:eastAsia="Times" w:hAnsi="Times" w:cs="Times"/>
              </w:rPr>
              <w:t>.</w:t>
            </w:r>
          </w:p>
          <w:p w14:paraId="53247993" w14:textId="77777777" w:rsidR="008E0CF3" w:rsidRDefault="008E0CF3"/>
          <w:p w14:paraId="3958DA70" w14:textId="77777777" w:rsidR="008E0CF3" w:rsidRDefault="00886B73">
            <w:r>
              <w:t>Starppārbaudījumi:</w:t>
            </w:r>
          </w:p>
          <w:p w14:paraId="20C0D2F5" w14:textId="77777777" w:rsidR="008E0CF3" w:rsidRDefault="00886B73">
            <w:r>
              <w:t xml:space="preserve">1. Argumentu formulēšana diskusijā Moodle vidē par kanādiešu kultūras tradīcijas aspektiem. </w:t>
            </w:r>
          </w:p>
          <w:p w14:paraId="2069B36F" w14:textId="77777777" w:rsidR="008E0CF3" w:rsidRDefault="00886B73">
            <w:r>
              <w:t>2. Eseja par mūsdienu kanādiešu literatūras problemātiku.</w:t>
            </w:r>
          </w:p>
          <w:p w14:paraId="1215662B" w14:textId="77777777" w:rsidR="008E0CF3" w:rsidRDefault="00886B73">
            <w:r>
              <w:t>3. Patstāvīgs darbs Moodle vidē ar kanādiešu postmodernisma literatūras tekstiem.</w:t>
            </w:r>
          </w:p>
          <w:p w14:paraId="59FD45FA" w14:textId="77777777" w:rsidR="008E0CF3" w:rsidRDefault="00886B73">
            <w:r>
              <w:t>4. Ierosmju publicēšana forumā Moodle vidē par kādu kanādiešu literatūras pārstāvi/tendenci/parādību/problēmu, gatavojot noslēguma prezentāciju. Savstarpējs vērtējums.</w:t>
            </w:r>
          </w:p>
          <w:p w14:paraId="64727729" w14:textId="77777777" w:rsidR="008E0CF3" w:rsidRDefault="008E0CF3"/>
          <w:p w14:paraId="16525CF4" w14:textId="77777777" w:rsidR="008E0CF3" w:rsidRDefault="00886B73">
            <w:r>
              <w:t>Noslēguma pārbaudījums:</w:t>
            </w:r>
          </w:p>
          <w:p w14:paraId="70C4B62F" w14:textId="77777777" w:rsidR="008E0CF3" w:rsidRDefault="00886B73">
            <w:r>
              <w:t xml:space="preserve">Studējošo noslēguma prezentācijas par kādu kanādiešu literatūras pārstāvi/tendenci/parādību/problēmu studiju kursā aplūkoto jautājumu kontekstā. Diskusija. </w:t>
            </w:r>
          </w:p>
        </w:tc>
      </w:tr>
      <w:tr w:rsidR="008E0CF3" w14:paraId="4F7E5C7B" w14:textId="77777777" w:rsidTr="00D575A8">
        <w:tc>
          <w:tcPr>
            <w:tcW w:w="9577" w:type="dxa"/>
            <w:gridSpan w:val="2"/>
            <w:shd w:val="clear" w:color="auto" w:fill="auto"/>
          </w:tcPr>
          <w:p w14:paraId="76F27BA5" w14:textId="77777777" w:rsidR="008E0CF3" w:rsidRDefault="00886B73">
            <w:pPr>
              <w:pBdr>
                <w:top w:val="nil"/>
                <w:left w:val="nil"/>
                <w:bottom w:val="nil"/>
                <w:right w:val="nil"/>
                <w:between w:val="nil"/>
              </w:pBdr>
              <w:rPr>
                <w:b/>
                <w:i/>
              </w:rPr>
            </w:pPr>
            <w:r>
              <w:rPr>
                <w:b/>
                <w:i/>
              </w:rPr>
              <w:t>Prasības kredītpunktu iegūšanai</w:t>
            </w:r>
          </w:p>
        </w:tc>
      </w:tr>
      <w:tr w:rsidR="008E0CF3" w14:paraId="3513328D" w14:textId="77777777" w:rsidTr="00D575A8">
        <w:tc>
          <w:tcPr>
            <w:tcW w:w="9577" w:type="dxa"/>
            <w:gridSpan w:val="2"/>
            <w:shd w:val="clear" w:color="auto" w:fill="auto"/>
          </w:tcPr>
          <w:p w14:paraId="3DAEB81F" w14:textId="4835B1C4" w:rsidR="008E0CF3" w:rsidRDefault="00886B73">
            <w:r w:rsidRPr="008A58FC">
              <w:t>Studiju kursa vērtējumu veido vidējā svērtā atzīme par starppārbaudījumiem</w:t>
            </w:r>
            <w:r w:rsidR="008A58FC" w:rsidRPr="008A58FC">
              <w:t xml:space="preserve"> (30%)</w:t>
            </w:r>
            <w:r w:rsidRPr="008A58FC">
              <w:t>, aktīvu līdzdalību semināru nodarbībās</w:t>
            </w:r>
            <w:r w:rsidR="008A58FC" w:rsidRPr="008A58FC">
              <w:t xml:space="preserve"> (30%)</w:t>
            </w:r>
            <w:r w:rsidRPr="008A58FC">
              <w:t xml:space="preserve"> un noslēguma pārbaudījumu</w:t>
            </w:r>
            <w:r w:rsidR="008A58FC">
              <w:t xml:space="preserve"> (40%)</w:t>
            </w:r>
            <w:r>
              <w:t>.</w:t>
            </w:r>
          </w:p>
          <w:p w14:paraId="72DA4424" w14:textId="77777777" w:rsidR="008E0CF3" w:rsidRDefault="008E0CF3"/>
          <w:p w14:paraId="3A7512D6" w14:textId="77777777" w:rsidR="008E0CF3" w:rsidRDefault="00886B73">
            <w:r>
              <w:t>STUDIJU REZULTĀTU VĒRTĒŠANAS KRITĒRIJI</w:t>
            </w:r>
          </w:p>
          <w:p w14:paraId="38607C07" w14:textId="77777777" w:rsidR="008E0CF3" w:rsidRDefault="00886B73">
            <w:r>
              <w:t>Studiju kursa apguve tā noslēgumā tiek vērtēta 10 ballu skalā saskaņā ar Latvijas Republikas normatīvajiem aktiem un atbilstoši "Nolikumam</w:t>
            </w:r>
            <w:r>
              <w:br/>
              <w:t>par studijām Daugavpils Universitātē" (apstiprināts DU Senāta sēdē 17.12.2018., protokols Nr. 15), vadoties pēc šādiem kritērijiem:iegūto zināšanu apjoms un kvalitāte, iegūtās prasmes un kompetences atbilstoši plānotajiem studiju rezultātiem.</w:t>
            </w:r>
          </w:p>
          <w:p w14:paraId="6882DBAD" w14:textId="77777777" w:rsidR="008E0CF3" w:rsidRDefault="008E0CF3"/>
          <w:p w14:paraId="7F327275" w14:textId="77777777" w:rsidR="008E0CF3" w:rsidRDefault="00886B73">
            <w:r>
              <w:lastRenderedPageBreak/>
              <w:t>STUDIJU REZULTĀTU VĒRTĒŠANA</w:t>
            </w:r>
          </w:p>
          <w:p w14:paraId="4D5DE0F3" w14:textId="77777777" w:rsidR="008E0CF3" w:rsidRDefault="008E0CF3"/>
          <w:tbl>
            <w:tblPr>
              <w:tblStyle w:val="a7"/>
              <w:tblW w:w="6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2"/>
              <w:gridCol w:w="432"/>
              <w:gridCol w:w="433"/>
              <w:gridCol w:w="418"/>
              <w:gridCol w:w="425"/>
              <w:gridCol w:w="425"/>
              <w:gridCol w:w="426"/>
            </w:tblGrid>
            <w:tr w:rsidR="008E0CF3" w14:paraId="237F857F" w14:textId="77777777" w:rsidTr="000D0B2B">
              <w:trPr>
                <w:trHeight w:val="517"/>
                <w:jc w:val="center"/>
              </w:trPr>
              <w:tc>
                <w:tcPr>
                  <w:tcW w:w="3512" w:type="dxa"/>
                  <w:vMerge w:val="restart"/>
                  <w:shd w:val="clear" w:color="auto" w:fill="auto"/>
                </w:tcPr>
                <w:p w14:paraId="258B9A3A" w14:textId="77777777" w:rsidR="008E0CF3" w:rsidRDefault="008E0CF3"/>
                <w:p w14:paraId="77A875A3" w14:textId="77777777" w:rsidR="008E0CF3" w:rsidRDefault="00886B73">
                  <w:r>
                    <w:t>Pārbaudījumu veidi</w:t>
                  </w:r>
                </w:p>
              </w:tc>
              <w:tc>
                <w:tcPr>
                  <w:tcW w:w="2559" w:type="dxa"/>
                  <w:gridSpan w:val="6"/>
                  <w:shd w:val="clear" w:color="auto" w:fill="auto"/>
                </w:tcPr>
                <w:p w14:paraId="14B5F4DD" w14:textId="77777777" w:rsidR="008E0CF3" w:rsidRDefault="00886B73">
                  <w:r>
                    <w:t>Studiju rezultāti *</w:t>
                  </w:r>
                </w:p>
              </w:tc>
            </w:tr>
            <w:tr w:rsidR="000D0B2B" w14:paraId="2BB05BCA" w14:textId="77777777" w:rsidTr="000D0B2B">
              <w:trPr>
                <w:jc w:val="center"/>
              </w:trPr>
              <w:tc>
                <w:tcPr>
                  <w:tcW w:w="3512" w:type="dxa"/>
                  <w:vMerge/>
                  <w:shd w:val="clear" w:color="auto" w:fill="auto"/>
                </w:tcPr>
                <w:p w14:paraId="6E31305A" w14:textId="77777777" w:rsidR="000D0B2B" w:rsidRDefault="000D0B2B">
                  <w:pPr>
                    <w:widowControl w:val="0"/>
                    <w:pBdr>
                      <w:top w:val="nil"/>
                      <w:left w:val="nil"/>
                      <w:bottom w:val="nil"/>
                      <w:right w:val="nil"/>
                      <w:between w:val="nil"/>
                    </w:pBdr>
                    <w:spacing w:line="276" w:lineRule="auto"/>
                  </w:pPr>
                </w:p>
              </w:tc>
              <w:tc>
                <w:tcPr>
                  <w:tcW w:w="432" w:type="dxa"/>
                  <w:shd w:val="clear" w:color="auto" w:fill="auto"/>
                </w:tcPr>
                <w:p w14:paraId="7018D704" w14:textId="77777777" w:rsidR="000D0B2B" w:rsidRDefault="000D0B2B">
                  <w:r>
                    <w:t>1.</w:t>
                  </w:r>
                </w:p>
              </w:tc>
              <w:tc>
                <w:tcPr>
                  <w:tcW w:w="433" w:type="dxa"/>
                  <w:shd w:val="clear" w:color="auto" w:fill="auto"/>
                </w:tcPr>
                <w:p w14:paraId="03FDAB12" w14:textId="77777777" w:rsidR="000D0B2B" w:rsidRDefault="000D0B2B">
                  <w:r>
                    <w:t>2.</w:t>
                  </w:r>
                </w:p>
              </w:tc>
              <w:tc>
                <w:tcPr>
                  <w:tcW w:w="418" w:type="dxa"/>
                  <w:shd w:val="clear" w:color="auto" w:fill="auto"/>
                </w:tcPr>
                <w:p w14:paraId="35987355" w14:textId="77777777" w:rsidR="000D0B2B" w:rsidRDefault="000D0B2B">
                  <w:r>
                    <w:t>3.</w:t>
                  </w:r>
                </w:p>
              </w:tc>
              <w:tc>
                <w:tcPr>
                  <w:tcW w:w="425" w:type="dxa"/>
                  <w:shd w:val="clear" w:color="auto" w:fill="auto"/>
                </w:tcPr>
                <w:p w14:paraId="348D5AA6" w14:textId="77777777" w:rsidR="000D0B2B" w:rsidRDefault="000D0B2B">
                  <w:r>
                    <w:t>4.</w:t>
                  </w:r>
                </w:p>
              </w:tc>
              <w:tc>
                <w:tcPr>
                  <w:tcW w:w="425" w:type="dxa"/>
                  <w:shd w:val="clear" w:color="auto" w:fill="auto"/>
                </w:tcPr>
                <w:p w14:paraId="2DDB52D2" w14:textId="77777777" w:rsidR="000D0B2B" w:rsidRDefault="000D0B2B">
                  <w:r>
                    <w:t>5.</w:t>
                  </w:r>
                </w:p>
              </w:tc>
              <w:tc>
                <w:tcPr>
                  <w:tcW w:w="426" w:type="dxa"/>
                  <w:shd w:val="clear" w:color="auto" w:fill="auto"/>
                </w:tcPr>
                <w:p w14:paraId="520504D3" w14:textId="77777777" w:rsidR="000D0B2B" w:rsidRDefault="000D0B2B">
                  <w:r>
                    <w:t>6.</w:t>
                  </w:r>
                </w:p>
              </w:tc>
            </w:tr>
            <w:tr w:rsidR="000D0B2B" w14:paraId="4D52C8EA" w14:textId="77777777" w:rsidTr="000D0B2B">
              <w:trPr>
                <w:trHeight w:val="303"/>
                <w:jc w:val="center"/>
              </w:trPr>
              <w:tc>
                <w:tcPr>
                  <w:tcW w:w="3512" w:type="dxa"/>
                  <w:shd w:val="clear" w:color="auto" w:fill="auto"/>
                  <w:vAlign w:val="center"/>
                </w:tcPr>
                <w:p w14:paraId="27BE2130" w14:textId="77777777" w:rsidR="000D0B2B" w:rsidRDefault="000D0B2B">
                  <w:r>
                    <w:t>1. Argumentu formulēšana diskusijā Moodle vidē</w:t>
                  </w:r>
                </w:p>
              </w:tc>
              <w:tc>
                <w:tcPr>
                  <w:tcW w:w="432" w:type="dxa"/>
                  <w:shd w:val="clear" w:color="auto" w:fill="auto"/>
                  <w:vAlign w:val="center"/>
                </w:tcPr>
                <w:p w14:paraId="440BE8E2" w14:textId="77777777" w:rsidR="000D0B2B" w:rsidRDefault="000D0B2B">
                  <w:r>
                    <w:t>x</w:t>
                  </w:r>
                </w:p>
              </w:tc>
              <w:tc>
                <w:tcPr>
                  <w:tcW w:w="433" w:type="dxa"/>
                  <w:shd w:val="clear" w:color="auto" w:fill="auto"/>
                  <w:vAlign w:val="center"/>
                </w:tcPr>
                <w:p w14:paraId="17F1F3A8" w14:textId="77777777" w:rsidR="000D0B2B" w:rsidRDefault="000D0B2B">
                  <w:r>
                    <w:t>x</w:t>
                  </w:r>
                </w:p>
              </w:tc>
              <w:tc>
                <w:tcPr>
                  <w:tcW w:w="418" w:type="dxa"/>
                  <w:shd w:val="clear" w:color="auto" w:fill="auto"/>
                  <w:vAlign w:val="center"/>
                </w:tcPr>
                <w:p w14:paraId="381D276F" w14:textId="77777777" w:rsidR="000D0B2B" w:rsidRDefault="000D0B2B"/>
              </w:tc>
              <w:tc>
                <w:tcPr>
                  <w:tcW w:w="425" w:type="dxa"/>
                  <w:shd w:val="clear" w:color="auto" w:fill="auto"/>
                  <w:vAlign w:val="center"/>
                </w:tcPr>
                <w:p w14:paraId="517E9807" w14:textId="77777777" w:rsidR="000D0B2B" w:rsidRDefault="000D0B2B">
                  <w:r>
                    <w:t>x</w:t>
                  </w:r>
                </w:p>
              </w:tc>
              <w:tc>
                <w:tcPr>
                  <w:tcW w:w="425" w:type="dxa"/>
                  <w:shd w:val="clear" w:color="auto" w:fill="auto"/>
                  <w:vAlign w:val="center"/>
                </w:tcPr>
                <w:p w14:paraId="009B220F" w14:textId="77777777" w:rsidR="000D0B2B" w:rsidRDefault="000D0B2B">
                  <w:r>
                    <w:t>x</w:t>
                  </w:r>
                </w:p>
              </w:tc>
              <w:tc>
                <w:tcPr>
                  <w:tcW w:w="426" w:type="dxa"/>
                  <w:shd w:val="clear" w:color="auto" w:fill="auto"/>
                  <w:vAlign w:val="center"/>
                </w:tcPr>
                <w:p w14:paraId="5A7640EF" w14:textId="77777777" w:rsidR="000D0B2B" w:rsidRDefault="000D0B2B">
                  <w:r>
                    <w:t>x</w:t>
                  </w:r>
                </w:p>
              </w:tc>
            </w:tr>
            <w:tr w:rsidR="000D0B2B" w14:paraId="47736AC8" w14:textId="77777777" w:rsidTr="000D0B2B">
              <w:trPr>
                <w:trHeight w:val="359"/>
                <w:jc w:val="center"/>
              </w:trPr>
              <w:tc>
                <w:tcPr>
                  <w:tcW w:w="3512" w:type="dxa"/>
                  <w:shd w:val="clear" w:color="auto" w:fill="auto"/>
                  <w:vAlign w:val="center"/>
                </w:tcPr>
                <w:p w14:paraId="7BF28FFF" w14:textId="77777777" w:rsidR="000D0B2B" w:rsidRDefault="000D0B2B">
                  <w:r>
                    <w:t>2. Eseja</w:t>
                  </w:r>
                </w:p>
              </w:tc>
              <w:tc>
                <w:tcPr>
                  <w:tcW w:w="432" w:type="dxa"/>
                  <w:shd w:val="clear" w:color="auto" w:fill="auto"/>
                  <w:vAlign w:val="center"/>
                </w:tcPr>
                <w:p w14:paraId="238B256C" w14:textId="77777777" w:rsidR="000D0B2B" w:rsidRDefault="000D0B2B">
                  <w:r>
                    <w:t>x</w:t>
                  </w:r>
                </w:p>
              </w:tc>
              <w:tc>
                <w:tcPr>
                  <w:tcW w:w="433" w:type="dxa"/>
                  <w:shd w:val="clear" w:color="auto" w:fill="auto"/>
                  <w:vAlign w:val="center"/>
                </w:tcPr>
                <w:p w14:paraId="2C275669" w14:textId="77777777" w:rsidR="000D0B2B" w:rsidRDefault="000D0B2B">
                  <w:r>
                    <w:t>x</w:t>
                  </w:r>
                </w:p>
              </w:tc>
              <w:tc>
                <w:tcPr>
                  <w:tcW w:w="418" w:type="dxa"/>
                  <w:shd w:val="clear" w:color="auto" w:fill="auto"/>
                  <w:vAlign w:val="center"/>
                </w:tcPr>
                <w:p w14:paraId="7C2ABA21" w14:textId="77777777" w:rsidR="000D0B2B" w:rsidRDefault="000D0B2B">
                  <w:r>
                    <w:t>x</w:t>
                  </w:r>
                </w:p>
              </w:tc>
              <w:tc>
                <w:tcPr>
                  <w:tcW w:w="425" w:type="dxa"/>
                  <w:shd w:val="clear" w:color="auto" w:fill="auto"/>
                  <w:vAlign w:val="center"/>
                </w:tcPr>
                <w:p w14:paraId="0E3388D7" w14:textId="77777777" w:rsidR="000D0B2B" w:rsidRDefault="000D0B2B">
                  <w:r>
                    <w:t>x</w:t>
                  </w:r>
                </w:p>
              </w:tc>
              <w:tc>
                <w:tcPr>
                  <w:tcW w:w="425" w:type="dxa"/>
                  <w:shd w:val="clear" w:color="auto" w:fill="auto"/>
                  <w:vAlign w:val="center"/>
                </w:tcPr>
                <w:p w14:paraId="6A155587" w14:textId="77777777" w:rsidR="000D0B2B" w:rsidRDefault="000D0B2B"/>
              </w:tc>
              <w:tc>
                <w:tcPr>
                  <w:tcW w:w="426" w:type="dxa"/>
                  <w:shd w:val="clear" w:color="auto" w:fill="auto"/>
                  <w:vAlign w:val="center"/>
                </w:tcPr>
                <w:p w14:paraId="4F7F0970" w14:textId="77777777" w:rsidR="000D0B2B" w:rsidRDefault="000D0B2B">
                  <w:r>
                    <w:t>x</w:t>
                  </w:r>
                </w:p>
              </w:tc>
            </w:tr>
            <w:tr w:rsidR="000D0B2B" w14:paraId="2ABF2AD3" w14:textId="77777777" w:rsidTr="000D0B2B">
              <w:trPr>
                <w:trHeight w:val="265"/>
                <w:jc w:val="center"/>
              </w:trPr>
              <w:tc>
                <w:tcPr>
                  <w:tcW w:w="3512" w:type="dxa"/>
                  <w:shd w:val="clear" w:color="auto" w:fill="auto"/>
                  <w:vAlign w:val="center"/>
                </w:tcPr>
                <w:p w14:paraId="31D45DF0" w14:textId="77777777" w:rsidR="000D0B2B" w:rsidRDefault="000D0B2B">
                  <w:r>
                    <w:t>3. Patstāvīgs darbs Moodle vidē</w:t>
                  </w:r>
                </w:p>
              </w:tc>
              <w:tc>
                <w:tcPr>
                  <w:tcW w:w="432" w:type="dxa"/>
                  <w:shd w:val="clear" w:color="auto" w:fill="auto"/>
                  <w:vAlign w:val="center"/>
                </w:tcPr>
                <w:p w14:paraId="3B248D84" w14:textId="77777777" w:rsidR="000D0B2B" w:rsidRDefault="000D0B2B"/>
              </w:tc>
              <w:tc>
                <w:tcPr>
                  <w:tcW w:w="433" w:type="dxa"/>
                  <w:shd w:val="clear" w:color="auto" w:fill="auto"/>
                  <w:vAlign w:val="center"/>
                </w:tcPr>
                <w:p w14:paraId="0455C5D1" w14:textId="77777777" w:rsidR="000D0B2B" w:rsidRDefault="000D0B2B">
                  <w:r>
                    <w:t>x</w:t>
                  </w:r>
                </w:p>
              </w:tc>
              <w:tc>
                <w:tcPr>
                  <w:tcW w:w="418" w:type="dxa"/>
                  <w:shd w:val="clear" w:color="auto" w:fill="auto"/>
                  <w:vAlign w:val="center"/>
                </w:tcPr>
                <w:p w14:paraId="699293A1" w14:textId="77777777" w:rsidR="000D0B2B" w:rsidRDefault="000D0B2B">
                  <w:r>
                    <w:t>x</w:t>
                  </w:r>
                </w:p>
              </w:tc>
              <w:tc>
                <w:tcPr>
                  <w:tcW w:w="425" w:type="dxa"/>
                  <w:shd w:val="clear" w:color="auto" w:fill="auto"/>
                  <w:vAlign w:val="center"/>
                </w:tcPr>
                <w:p w14:paraId="373663E0" w14:textId="77777777" w:rsidR="000D0B2B" w:rsidRDefault="000D0B2B">
                  <w:r>
                    <w:t>x</w:t>
                  </w:r>
                </w:p>
              </w:tc>
              <w:tc>
                <w:tcPr>
                  <w:tcW w:w="425" w:type="dxa"/>
                  <w:shd w:val="clear" w:color="auto" w:fill="auto"/>
                  <w:vAlign w:val="center"/>
                </w:tcPr>
                <w:p w14:paraId="3CA260CA" w14:textId="77777777" w:rsidR="000D0B2B" w:rsidRDefault="000D0B2B"/>
              </w:tc>
              <w:tc>
                <w:tcPr>
                  <w:tcW w:w="426" w:type="dxa"/>
                  <w:shd w:val="clear" w:color="auto" w:fill="auto"/>
                  <w:vAlign w:val="center"/>
                </w:tcPr>
                <w:p w14:paraId="3C680C1C" w14:textId="77777777" w:rsidR="000D0B2B" w:rsidRDefault="000D0B2B">
                  <w:r>
                    <w:t>x</w:t>
                  </w:r>
                </w:p>
              </w:tc>
            </w:tr>
            <w:tr w:rsidR="000D0B2B" w14:paraId="6DFF263B" w14:textId="77777777" w:rsidTr="000D0B2B">
              <w:trPr>
                <w:trHeight w:val="269"/>
                <w:jc w:val="center"/>
              </w:trPr>
              <w:tc>
                <w:tcPr>
                  <w:tcW w:w="3512" w:type="dxa"/>
                  <w:shd w:val="clear" w:color="auto" w:fill="auto"/>
                  <w:vAlign w:val="center"/>
                </w:tcPr>
                <w:p w14:paraId="02DAA2AB" w14:textId="77777777" w:rsidR="000D0B2B" w:rsidRDefault="000D0B2B">
                  <w:r>
                    <w:t>4. Ierosmju publicēšana forumā Moodle vidē</w:t>
                  </w:r>
                </w:p>
              </w:tc>
              <w:tc>
                <w:tcPr>
                  <w:tcW w:w="432" w:type="dxa"/>
                  <w:shd w:val="clear" w:color="auto" w:fill="auto"/>
                  <w:vAlign w:val="center"/>
                </w:tcPr>
                <w:p w14:paraId="189F2E93" w14:textId="77777777" w:rsidR="000D0B2B" w:rsidRDefault="000D0B2B">
                  <w:r>
                    <w:t>x</w:t>
                  </w:r>
                </w:p>
              </w:tc>
              <w:tc>
                <w:tcPr>
                  <w:tcW w:w="433" w:type="dxa"/>
                  <w:shd w:val="clear" w:color="auto" w:fill="auto"/>
                  <w:vAlign w:val="center"/>
                </w:tcPr>
                <w:p w14:paraId="2DCA7694" w14:textId="77777777" w:rsidR="000D0B2B" w:rsidRDefault="000D0B2B">
                  <w:r>
                    <w:t>x</w:t>
                  </w:r>
                </w:p>
              </w:tc>
              <w:tc>
                <w:tcPr>
                  <w:tcW w:w="418" w:type="dxa"/>
                  <w:shd w:val="clear" w:color="auto" w:fill="auto"/>
                  <w:vAlign w:val="center"/>
                </w:tcPr>
                <w:p w14:paraId="4B33C695" w14:textId="77777777" w:rsidR="000D0B2B" w:rsidRDefault="000D0B2B"/>
              </w:tc>
              <w:tc>
                <w:tcPr>
                  <w:tcW w:w="425" w:type="dxa"/>
                  <w:shd w:val="clear" w:color="auto" w:fill="auto"/>
                  <w:vAlign w:val="center"/>
                </w:tcPr>
                <w:p w14:paraId="1C563286" w14:textId="77777777" w:rsidR="000D0B2B" w:rsidRDefault="000D0B2B">
                  <w:r>
                    <w:t>x</w:t>
                  </w:r>
                </w:p>
              </w:tc>
              <w:tc>
                <w:tcPr>
                  <w:tcW w:w="425" w:type="dxa"/>
                  <w:shd w:val="clear" w:color="auto" w:fill="auto"/>
                  <w:vAlign w:val="center"/>
                </w:tcPr>
                <w:p w14:paraId="31DD03D7" w14:textId="77777777" w:rsidR="000D0B2B" w:rsidRDefault="000D0B2B">
                  <w:r>
                    <w:t>x</w:t>
                  </w:r>
                </w:p>
              </w:tc>
              <w:tc>
                <w:tcPr>
                  <w:tcW w:w="426" w:type="dxa"/>
                  <w:shd w:val="clear" w:color="auto" w:fill="auto"/>
                  <w:vAlign w:val="center"/>
                </w:tcPr>
                <w:p w14:paraId="06E91BB0" w14:textId="77777777" w:rsidR="000D0B2B" w:rsidRDefault="000D0B2B">
                  <w:r>
                    <w:t>x</w:t>
                  </w:r>
                </w:p>
              </w:tc>
            </w:tr>
          </w:tbl>
          <w:p w14:paraId="706AA46F" w14:textId="77777777" w:rsidR="008E0CF3" w:rsidRDefault="008E0CF3"/>
          <w:p w14:paraId="46333208" w14:textId="77777777" w:rsidR="008E0CF3" w:rsidRDefault="008E0CF3"/>
        </w:tc>
      </w:tr>
      <w:tr w:rsidR="008E0CF3" w14:paraId="256F61F7" w14:textId="77777777" w:rsidTr="00D575A8">
        <w:tc>
          <w:tcPr>
            <w:tcW w:w="9577" w:type="dxa"/>
            <w:gridSpan w:val="2"/>
            <w:shd w:val="clear" w:color="auto" w:fill="auto"/>
          </w:tcPr>
          <w:p w14:paraId="3C87164D" w14:textId="77777777" w:rsidR="008E0CF3" w:rsidRDefault="00886B73">
            <w:pPr>
              <w:pBdr>
                <w:top w:val="nil"/>
                <w:left w:val="nil"/>
                <w:bottom w:val="nil"/>
                <w:right w:val="nil"/>
                <w:between w:val="nil"/>
              </w:pBdr>
              <w:rPr>
                <w:b/>
                <w:i/>
              </w:rPr>
            </w:pPr>
            <w:r>
              <w:rPr>
                <w:b/>
                <w:i/>
              </w:rPr>
              <w:lastRenderedPageBreak/>
              <w:t>Kursa saturs</w:t>
            </w:r>
          </w:p>
        </w:tc>
      </w:tr>
      <w:tr w:rsidR="008E0CF3" w14:paraId="35BB76D5" w14:textId="77777777" w:rsidTr="00D575A8">
        <w:tc>
          <w:tcPr>
            <w:tcW w:w="9577" w:type="dxa"/>
            <w:gridSpan w:val="2"/>
            <w:shd w:val="clear" w:color="auto" w:fill="auto"/>
          </w:tcPr>
          <w:p w14:paraId="3D0DF9FA" w14:textId="401537D6" w:rsidR="008E0CF3" w:rsidRDefault="00886B73">
            <w:r>
              <w:t xml:space="preserve">L 12, S </w:t>
            </w:r>
            <w:r w:rsidR="007C2EF9">
              <w:t>20</w:t>
            </w:r>
            <w:r>
              <w:t>, Pd 48</w:t>
            </w:r>
          </w:p>
          <w:p w14:paraId="5C3BBCF7" w14:textId="77777777" w:rsidR="008E0CF3" w:rsidRDefault="00886B73">
            <w:r>
              <w:t>1. Pārskats par kanādiešu anglofonās literatūras attīstības posmiem un kontekstiem. Kultūru daudzveidība (cultural diversity) Kanādā. L2</w:t>
            </w:r>
          </w:p>
          <w:p w14:paraId="7ACD4511" w14:textId="77777777" w:rsidR="008E0CF3" w:rsidRDefault="00886B73">
            <w:r>
              <w:t>2. Vietējās tautas (indigenous peoples) un to kultūra Kanādas teritorijā. Mutvārdu tradīcija. L1, S1</w:t>
            </w:r>
          </w:p>
          <w:p w14:paraId="2FDF8840" w14:textId="77777777" w:rsidR="008E0CF3" w:rsidRDefault="00886B73">
            <w:r>
              <w:t>3. 17.-18. gadsimta ceļojumu un izpētes (exploration), epistolārā, komiskā literatūra. L1, S1</w:t>
            </w:r>
          </w:p>
          <w:p w14:paraId="2D7AC875" w14:textId="77777777" w:rsidR="008E0CF3" w:rsidRDefault="00886B73">
            <w:r>
              <w:t>4. Dzīves rakstības tradīcija kanādiešu literatūrā kopš 19. gadsimta vidus. L2, S2</w:t>
            </w:r>
          </w:p>
          <w:p w14:paraId="5A68F5BD" w14:textId="77777777" w:rsidR="008E0CF3" w:rsidRDefault="00886B73">
            <w:r>
              <w:t>4.1. Ieceļotāju memuāri un auto/biogrāfiskā rakstība, sadzīves tematika, dabas un kultūras kolorīts.</w:t>
            </w:r>
          </w:p>
          <w:p w14:paraId="07A82735" w14:textId="77777777" w:rsidR="008E0CF3" w:rsidRDefault="00886B73">
            <w:r>
              <w:t>4.2. Sievišķās tradīcijas iezīmēšanās (S. Moodie, C. Parr Traill, A. Brownell Jameson).</w:t>
            </w:r>
          </w:p>
          <w:p w14:paraId="58F4E409" w14:textId="77777777" w:rsidR="008E0CF3" w:rsidRDefault="00886B73">
            <w:r>
              <w:t>5. Kultūras uzplaukums Kanādā Konfederācijas laikā. L1, S1</w:t>
            </w:r>
          </w:p>
          <w:p w14:paraId="45DD078F" w14:textId="77777777" w:rsidR="008E0CF3" w:rsidRDefault="00886B73">
            <w:r>
              <w:t xml:space="preserve">Sociālās un politiskās kustības, pēckonfederācijas laikmeta proza un dzeja. Vēsturiskā romāna uzplaukums. </w:t>
            </w:r>
          </w:p>
          <w:p w14:paraId="4B77CE11" w14:textId="77777777" w:rsidR="008E0CF3" w:rsidRDefault="00886B73">
            <w:r>
              <w:t>6. 20. gadsimta starpkaru periods Kanādā un literatūra pēc 2. pasaules kara. L1, S3</w:t>
            </w:r>
          </w:p>
          <w:p w14:paraId="4E294934" w14:textId="77777777" w:rsidR="008E0CF3" w:rsidRDefault="00886B73">
            <w:r>
              <w:t>6.1. Sociālā tematika, prēriju tēma. Bērnu, piedzīvojumu, vēsturiskā literatūra (H. Maklenans, S. Ross, M. Lourijs, M. Rihlers E.T. Setons, A. Makleods, R. Deiviss).</w:t>
            </w:r>
          </w:p>
          <w:p w14:paraId="20EA205E" w14:textId="77777777" w:rsidR="008E0CF3" w:rsidRDefault="00886B73">
            <w:r>
              <w:t>6.2. R. Deivisa un M. Lorensas romānu cikli.</w:t>
            </w:r>
          </w:p>
          <w:p w14:paraId="50E86CC5" w14:textId="77777777" w:rsidR="008E0CF3" w:rsidRDefault="00886B73">
            <w:r>
              <w:t>6.3. L. Koena dzejas analīze.</w:t>
            </w:r>
          </w:p>
          <w:p w14:paraId="7FA1AB5D" w14:textId="77777777" w:rsidR="008E0CF3" w:rsidRDefault="00886B73">
            <w:r>
              <w:t>7. Mūsdienu kanādiešu literatūras izcilības: A. Manro un M. Atvuda. L2, S4</w:t>
            </w:r>
          </w:p>
          <w:p w14:paraId="7837FAE7" w14:textId="77777777" w:rsidR="008E0CF3" w:rsidRDefault="00886B73">
            <w:r>
              <w:t>7.1. Sieviešu un reģionālie literatūras aspekti A. Manro un M. Atvudas daiļradē.</w:t>
            </w:r>
          </w:p>
          <w:p w14:paraId="16A17452" w14:textId="77777777" w:rsidR="008E0CF3" w:rsidRDefault="00886B73">
            <w:r>
              <w:t>7.2. Pieaugšanas, sievišķās identitātes tēmas A. Manro stāstos (“Meiteņu un sieviešu dzīves”, “Dārgā dzīve” u.c.).</w:t>
            </w:r>
          </w:p>
          <w:p w14:paraId="4AF81FC4" w14:textId="77777777" w:rsidR="008E0CF3" w:rsidRDefault="00886B73">
            <w:r>
              <w:t>7.3. M. Atvudas daiļrades feministiskā ievirze (“Iznirstot”, “Kaķacs”, “Līgava laupītāja”, “Kalpones stāsts” u.c.).</w:t>
            </w:r>
          </w:p>
          <w:p w14:paraId="2BE781F7" w14:textId="77777777" w:rsidR="008E0CF3" w:rsidRDefault="00886B73">
            <w:r>
              <w:t>8. Postmodernisms mūsdienu kanādiešu literatūrā. L2, S4</w:t>
            </w:r>
          </w:p>
          <w:p w14:paraId="6B719973" w14:textId="77777777" w:rsidR="008E0CF3" w:rsidRDefault="00886B73">
            <w:r>
              <w:t xml:space="preserve">8.1. L. Hačena par historiogrāfisko metaliteratūru un kanādiešu postmodernisma specifiku.. </w:t>
            </w:r>
          </w:p>
          <w:p w14:paraId="0018BDE1" w14:textId="77777777" w:rsidR="008E0CF3" w:rsidRDefault="00886B73">
            <w:r>
              <w:t>8.2. Metaliteratūras, intertekstualitātes, pastiša iezīmes R. Kreča (R. Kroetsch), T. Findlija (T. Findley), M. Ondaatje, K. Šīldas (C. Shields), D. Kaplenda (Coupland) u.c. daiļradē.</w:t>
            </w:r>
          </w:p>
          <w:p w14:paraId="5038FFD5" w14:textId="77777777" w:rsidR="008E0CF3" w:rsidRDefault="00886B73">
            <w:r>
              <w:t>9. Mūsdienu vietējo tautu literatūra (Indigenous literature). S4</w:t>
            </w:r>
          </w:p>
        </w:tc>
      </w:tr>
      <w:tr w:rsidR="008E0CF3" w14:paraId="3D6089FC" w14:textId="77777777" w:rsidTr="00D575A8">
        <w:tc>
          <w:tcPr>
            <w:tcW w:w="9577" w:type="dxa"/>
            <w:gridSpan w:val="2"/>
            <w:shd w:val="clear" w:color="auto" w:fill="auto"/>
          </w:tcPr>
          <w:p w14:paraId="73CA926E" w14:textId="77777777" w:rsidR="008E0CF3" w:rsidRDefault="00886B73">
            <w:pPr>
              <w:pBdr>
                <w:top w:val="nil"/>
                <w:left w:val="nil"/>
                <w:bottom w:val="nil"/>
                <w:right w:val="nil"/>
                <w:between w:val="nil"/>
              </w:pBdr>
              <w:rPr>
                <w:b/>
                <w:i/>
              </w:rPr>
            </w:pPr>
            <w:r>
              <w:rPr>
                <w:b/>
                <w:i/>
              </w:rPr>
              <w:t>Obligāti izmantojamie informācijas avoti</w:t>
            </w:r>
          </w:p>
        </w:tc>
      </w:tr>
      <w:tr w:rsidR="008E0CF3" w14:paraId="629EB2CE" w14:textId="77777777" w:rsidTr="00D575A8">
        <w:tc>
          <w:tcPr>
            <w:tcW w:w="9577" w:type="dxa"/>
            <w:gridSpan w:val="2"/>
            <w:shd w:val="clear" w:color="auto" w:fill="auto"/>
          </w:tcPr>
          <w:p w14:paraId="3B9A647C" w14:textId="77777777" w:rsidR="008E0CF3" w:rsidRDefault="00886B73">
            <w:r>
              <w:t xml:space="preserve">Bennet, D., Brown, R., eds. </w:t>
            </w:r>
            <w:r>
              <w:rPr>
                <w:i/>
              </w:rPr>
              <w:t>An Anthology of Canadian Literature in English</w:t>
            </w:r>
            <w:r>
              <w:t xml:space="preserve">. 2010 </w:t>
            </w:r>
          </w:p>
          <w:p w14:paraId="2D0DBE04" w14:textId="77777777" w:rsidR="008E0CF3" w:rsidRDefault="00886B73">
            <w:r>
              <w:t xml:space="preserve">Benson, E., Toye W. </w:t>
            </w:r>
            <w:r>
              <w:rPr>
                <w:i/>
              </w:rPr>
              <w:t>The Oxford Companion to Canadian Literature</w:t>
            </w:r>
            <w:r>
              <w:t xml:space="preserve">. Oxford University Press, 1997. </w:t>
            </w:r>
          </w:p>
          <w:p w14:paraId="033F788C" w14:textId="77777777" w:rsidR="008E0CF3" w:rsidRDefault="00886B73">
            <w:r>
              <w:t xml:space="preserve">Howells, C. A., Kroller, E.-M., eds. </w:t>
            </w:r>
            <w:r>
              <w:rPr>
                <w:i/>
              </w:rPr>
              <w:t>The Cambridge History of Canadian Literature</w:t>
            </w:r>
            <w:r>
              <w:t>. 2009</w:t>
            </w:r>
          </w:p>
          <w:p w14:paraId="35004536" w14:textId="77777777" w:rsidR="008E0CF3" w:rsidRDefault="00886B73">
            <w:r>
              <w:lastRenderedPageBreak/>
              <w:t>Hutcheon, L. The Canadian Postmodern: A Study of Contemporary Canadian Fiction. Oxford University Press, 2012. ch. 1, 2, 4, 7.</w:t>
            </w:r>
          </w:p>
          <w:p w14:paraId="666C04DB" w14:textId="77777777" w:rsidR="008E0CF3" w:rsidRDefault="00886B73">
            <w:r>
              <w:t xml:space="preserve">MacKay, M. </w:t>
            </w:r>
            <w:r>
              <w:rPr>
                <w:i/>
              </w:rPr>
              <w:t>The Cambridge Introduction to the Novel</w:t>
            </w:r>
            <w:r>
              <w:t>. Pp. 159-161</w:t>
            </w:r>
          </w:p>
          <w:p w14:paraId="5903270A" w14:textId="77777777" w:rsidR="008E0CF3" w:rsidRDefault="00886B73">
            <w:r>
              <w:t>Stacey, R. D. Re: Reading the Postmodern. Canadian Literature and Criticism After Modernism. University of Ottawa Press, 2010. Part 1.</w:t>
            </w:r>
          </w:p>
          <w:p w14:paraId="68FD9088" w14:textId="2454CAAB" w:rsidR="008E0CF3" w:rsidRDefault="00796D40">
            <w:r>
              <w:t xml:space="preserve">Vance, J. F. A History of Canadian Culture. Oxford University Press, 2009. </w:t>
            </w:r>
          </w:p>
        </w:tc>
      </w:tr>
      <w:tr w:rsidR="008E0CF3" w14:paraId="6158CA9B" w14:textId="77777777" w:rsidTr="00D575A8">
        <w:tc>
          <w:tcPr>
            <w:tcW w:w="9577" w:type="dxa"/>
            <w:gridSpan w:val="2"/>
            <w:shd w:val="clear" w:color="auto" w:fill="auto"/>
          </w:tcPr>
          <w:p w14:paraId="7D3E7D45" w14:textId="77777777" w:rsidR="008E0CF3" w:rsidRDefault="00886B73">
            <w:pPr>
              <w:pBdr>
                <w:top w:val="nil"/>
                <w:left w:val="nil"/>
                <w:bottom w:val="nil"/>
                <w:right w:val="nil"/>
                <w:between w:val="nil"/>
              </w:pBdr>
              <w:rPr>
                <w:b/>
                <w:i/>
              </w:rPr>
            </w:pPr>
            <w:r>
              <w:rPr>
                <w:b/>
                <w:i/>
              </w:rPr>
              <w:lastRenderedPageBreak/>
              <w:t>Papildus informācijas avoti</w:t>
            </w:r>
          </w:p>
        </w:tc>
      </w:tr>
      <w:tr w:rsidR="008E0CF3" w14:paraId="6B5F897D" w14:textId="77777777" w:rsidTr="00D575A8">
        <w:tc>
          <w:tcPr>
            <w:tcW w:w="9577" w:type="dxa"/>
            <w:gridSpan w:val="2"/>
            <w:shd w:val="clear" w:color="auto" w:fill="auto"/>
          </w:tcPr>
          <w:p w14:paraId="266196F8" w14:textId="77777777" w:rsidR="008E0CF3" w:rsidRDefault="00886B73">
            <w:pPr>
              <w:jc w:val="both"/>
            </w:pPr>
            <w:r>
              <w:t xml:space="preserve">Gilmore, L. </w:t>
            </w:r>
            <w:r>
              <w:rPr>
                <w:i/>
              </w:rPr>
              <w:t>The Limits of Autobiography. Trauma and Testimony</w:t>
            </w:r>
            <w:r>
              <w:t>. Cornell University Press, 2001. pp. 96-119.</w:t>
            </w:r>
          </w:p>
          <w:p w14:paraId="08E968D6" w14:textId="77777777" w:rsidR="008E0CF3" w:rsidRDefault="00886B73">
            <w:pPr>
              <w:jc w:val="both"/>
            </w:pPr>
            <w:r>
              <w:t xml:space="preserve">Moss, L., Sugars, C. </w:t>
            </w:r>
            <w:r>
              <w:rPr>
                <w:i/>
              </w:rPr>
              <w:t>Canadian Literature in English: Texts and Contexts</w:t>
            </w:r>
            <w:r>
              <w:t>. 2009</w:t>
            </w:r>
          </w:p>
          <w:p w14:paraId="7D678AD1" w14:textId="0F38E19F" w:rsidR="008E0CF3" w:rsidRDefault="00886B73">
            <w:pPr>
              <w:jc w:val="both"/>
            </w:pPr>
            <w:r>
              <w:t xml:space="preserve">Ridout, A. </w:t>
            </w:r>
            <w:r>
              <w:rPr>
                <w:i/>
              </w:rPr>
              <w:t>Contemporary Women Writers Look Back: From Irony to Nostalgia</w:t>
            </w:r>
            <w:r>
              <w:t xml:space="preserve">. London: </w:t>
            </w:r>
            <w:hyperlink r:id="rId7">
              <w:r>
                <w:t>Continuum Literary Studies</w:t>
              </w:r>
            </w:hyperlink>
            <w:r>
              <w:t xml:space="preserve">, Bloomsbury Publishing, 2010. ch. 1. </w:t>
            </w:r>
          </w:p>
          <w:p w14:paraId="143452ED" w14:textId="481C1726" w:rsidR="005570B8" w:rsidRDefault="005570B8">
            <w:pPr>
              <w:jc w:val="both"/>
            </w:pPr>
            <w:r>
              <w:t>Staines, D. The Cambridge Companion to Alice Munro. Cambridge University Press, 2016. ch. 1, 2, 5, 6.</w:t>
            </w:r>
          </w:p>
          <w:p w14:paraId="08457328" w14:textId="77777777" w:rsidR="008E0CF3" w:rsidRDefault="008E0CF3">
            <w:pPr>
              <w:tabs>
                <w:tab w:val="left" w:pos="426"/>
              </w:tabs>
            </w:pPr>
          </w:p>
        </w:tc>
      </w:tr>
      <w:tr w:rsidR="008E0CF3" w14:paraId="3722098A" w14:textId="77777777" w:rsidTr="00D575A8">
        <w:tc>
          <w:tcPr>
            <w:tcW w:w="9577" w:type="dxa"/>
            <w:gridSpan w:val="2"/>
            <w:shd w:val="clear" w:color="auto" w:fill="auto"/>
          </w:tcPr>
          <w:p w14:paraId="4B2A76F2" w14:textId="77777777" w:rsidR="008E0CF3" w:rsidRDefault="00886B73">
            <w:pPr>
              <w:pBdr>
                <w:top w:val="nil"/>
                <w:left w:val="nil"/>
                <w:bottom w:val="nil"/>
                <w:right w:val="nil"/>
                <w:between w:val="nil"/>
              </w:pBdr>
              <w:rPr>
                <w:b/>
                <w:i/>
              </w:rPr>
            </w:pPr>
            <w:r>
              <w:rPr>
                <w:b/>
                <w:i/>
              </w:rPr>
              <w:t>Periodika un citi informācijas avoti</w:t>
            </w:r>
          </w:p>
        </w:tc>
      </w:tr>
      <w:tr w:rsidR="008E0CF3" w14:paraId="2EB31B9B" w14:textId="77777777" w:rsidTr="00D575A8">
        <w:tc>
          <w:tcPr>
            <w:tcW w:w="9577" w:type="dxa"/>
            <w:gridSpan w:val="2"/>
            <w:shd w:val="clear" w:color="auto" w:fill="auto"/>
          </w:tcPr>
          <w:p w14:paraId="2FD4D4FE" w14:textId="77777777" w:rsidR="008E0CF3" w:rsidRDefault="00886B73">
            <w:pPr>
              <w:rPr>
                <w:sz w:val="22"/>
                <w:szCs w:val="22"/>
              </w:rPr>
            </w:pPr>
            <w:r>
              <w:rPr>
                <w:sz w:val="22"/>
                <w:szCs w:val="22"/>
              </w:rPr>
              <w:t xml:space="preserve">Baltic Journal of English language, Literature and Culture (www.bjellc.lu.lv) </w:t>
            </w:r>
          </w:p>
          <w:p w14:paraId="12FBD04B" w14:textId="77777777" w:rsidR="008E0CF3" w:rsidRDefault="00000000">
            <w:pPr>
              <w:rPr>
                <w:sz w:val="22"/>
                <w:szCs w:val="22"/>
              </w:rPr>
            </w:pPr>
            <w:hyperlink r:id="rId8">
              <w:r w:rsidR="00886B73">
                <w:rPr>
                  <w:color w:val="1155CC"/>
                  <w:sz w:val="22"/>
                  <w:szCs w:val="22"/>
                  <w:u w:val="single"/>
                </w:rPr>
                <w:t>https://www.kobo.com/blog/some-of-the-best-books-by-indigenous-writers-in-canada</w:t>
              </w:r>
            </w:hyperlink>
          </w:p>
          <w:p w14:paraId="617293AD" w14:textId="77777777" w:rsidR="008E0CF3" w:rsidRDefault="00000000">
            <w:pPr>
              <w:rPr>
                <w:sz w:val="22"/>
                <w:szCs w:val="22"/>
              </w:rPr>
            </w:pPr>
            <w:hyperlink r:id="rId9">
              <w:r w:rsidR="00886B73">
                <w:rPr>
                  <w:color w:val="1155CC"/>
                  <w:sz w:val="22"/>
                  <w:szCs w:val="22"/>
                  <w:u w:val="single"/>
                </w:rPr>
                <w:t>http://thepeopleandthetext.ca/</w:t>
              </w:r>
            </w:hyperlink>
          </w:p>
          <w:p w14:paraId="03984A2A" w14:textId="77777777" w:rsidR="008E0CF3" w:rsidRDefault="00000000">
            <w:pPr>
              <w:rPr>
                <w:sz w:val="22"/>
                <w:szCs w:val="22"/>
              </w:rPr>
            </w:pPr>
            <w:hyperlink r:id="rId10">
              <w:r w:rsidR="00886B73">
                <w:rPr>
                  <w:color w:val="0000FF"/>
                  <w:sz w:val="22"/>
                  <w:szCs w:val="22"/>
                  <w:u w:val="single"/>
                </w:rPr>
                <w:t>www.thecanadianencyclopedia.ca</w:t>
              </w:r>
            </w:hyperlink>
          </w:p>
          <w:p w14:paraId="0461D978" w14:textId="77777777" w:rsidR="008E0CF3" w:rsidRDefault="00000000">
            <w:hyperlink r:id="rId11">
              <w:r w:rsidR="00886B73">
                <w:rPr>
                  <w:color w:val="0000FF"/>
                  <w:u w:val="single"/>
                </w:rPr>
                <w:t>http://www.jstor.org/</w:t>
              </w:r>
            </w:hyperlink>
          </w:p>
          <w:p w14:paraId="38E08A84" w14:textId="77777777" w:rsidR="008E0CF3" w:rsidRDefault="00000000">
            <w:hyperlink r:id="rId12">
              <w:r w:rsidR="00886B73">
                <w:rPr>
                  <w:color w:val="0000FF"/>
                  <w:u w:val="single"/>
                </w:rPr>
                <w:t>www.bloomsburycollections.com</w:t>
              </w:r>
            </w:hyperlink>
            <w:r w:rsidR="00886B73">
              <w:t xml:space="preserve"> (abonēta DU 2015.g.), docētāja ielādēti materiāli</w:t>
            </w:r>
          </w:p>
          <w:p w14:paraId="192EAD17" w14:textId="77777777" w:rsidR="008E0CF3" w:rsidRDefault="00886B73">
            <w:r>
              <w:t>docētāja sagatavotie materiāli Moodle vidē</w:t>
            </w:r>
          </w:p>
        </w:tc>
      </w:tr>
      <w:tr w:rsidR="008E0CF3" w14:paraId="5A0BB920" w14:textId="77777777" w:rsidTr="00D575A8">
        <w:tc>
          <w:tcPr>
            <w:tcW w:w="9577" w:type="dxa"/>
            <w:gridSpan w:val="2"/>
            <w:shd w:val="clear" w:color="auto" w:fill="auto"/>
          </w:tcPr>
          <w:p w14:paraId="2836D164" w14:textId="77777777" w:rsidR="008E0CF3" w:rsidRDefault="00886B73">
            <w:pPr>
              <w:pBdr>
                <w:top w:val="nil"/>
                <w:left w:val="nil"/>
                <w:bottom w:val="nil"/>
                <w:right w:val="nil"/>
                <w:between w:val="nil"/>
              </w:pBdr>
              <w:rPr>
                <w:b/>
                <w:i/>
              </w:rPr>
            </w:pPr>
            <w:r>
              <w:rPr>
                <w:b/>
                <w:i/>
              </w:rPr>
              <w:t>Piezīmes</w:t>
            </w:r>
          </w:p>
        </w:tc>
      </w:tr>
      <w:tr w:rsidR="008E0CF3" w14:paraId="73611B49" w14:textId="77777777" w:rsidTr="00D575A8">
        <w:tc>
          <w:tcPr>
            <w:tcW w:w="9577" w:type="dxa"/>
            <w:gridSpan w:val="2"/>
            <w:shd w:val="clear" w:color="auto" w:fill="auto"/>
          </w:tcPr>
          <w:p w14:paraId="0EC9EBA0" w14:textId="1A65906E" w:rsidR="008E0CF3" w:rsidRDefault="00886B73">
            <w:r>
              <w:t xml:space="preserve"> </w:t>
            </w:r>
            <w:r w:rsidR="00C12887">
              <w:t>Studiju kurss adresēts akadēmiskās maģistra studiju programmas "Filoloģija  un valodu prakses"  studējošajiem. Studiju kurss tiek docēts un apgūts angļu valodā.</w:t>
            </w:r>
          </w:p>
        </w:tc>
      </w:tr>
    </w:tbl>
    <w:p w14:paraId="6F60A844" w14:textId="77777777" w:rsidR="008E0CF3" w:rsidRDefault="008E0CF3"/>
    <w:sectPr w:rsidR="008E0CF3">
      <w:headerReference w:type="default" r:id="rId13"/>
      <w:footerReference w:type="default" r:id="rId14"/>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8087A" w14:textId="77777777" w:rsidR="00683D26" w:rsidRDefault="00683D26">
      <w:r>
        <w:separator/>
      </w:r>
    </w:p>
  </w:endnote>
  <w:endnote w:type="continuationSeparator" w:id="0">
    <w:p w14:paraId="79B1215B" w14:textId="77777777" w:rsidR="00683D26" w:rsidRDefault="0068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07FD5" w14:textId="77777777" w:rsidR="008E0CF3" w:rsidRDefault="00886B73">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7C2EF9">
      <w:rPr>
        <w:noProof/>
        <w:color w:val="000000"/>
      </w:rPr>
      <w:t>1</w:t>
    </w:r>
    <w:r>
      <w:rPr>
        <w:color w:val="000000"/>
      </w:rPr>
      <w:fldChar w:fldCharType="end"/>
    </w:r>
  </w:p>
  <w:p w14:paraId="56E5073D" w14:textId="77777777" w:rsidR="008E0CF3" w:rsidRDefault="008E0CF3">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DC4D4" w14:textId="77777777" w:rsidR="00683D26" w:rsidRDefault="00683D26">
      <w:r>
        <w:separator/>
      </w:r>
    </w:p>
  </w:footnote>
  <w:footnote w:type="continuationSeparator" w:id="0">
    <w:p w14:paraId="65C95C0B" w14:textId="77777777" w:rsidR="00683D26" w:rsidRDefault="00683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68AFF" w14:textId="77777777" w:rsidR="008E0CF3" w:rsidRDefault="008E0CF3">
    <w:pPr>
      <w:pBdr>
        <w:top w:val="nil"/>
        <w:left w:val="nil"/>
        <w:bottom w:val="nil"/>
        <w:right w:val="nil"/>
        <w:between w:val="nil"/>
      </w:pBdr>
      <w:tabs>
        <w:tab w:val="center" w:pos="4153"/>
        <w:tab w:val="right" w:pos="8306"/>
      </w:tabs>
      <w:rPr>
        <w:color w:val="000000"/>
      </w:rPr>
    </w:pPr>
  </w:p>
  <w:p w14:paraId="610F23A3" w14:textId="77777777" w:rsidR="008E0CF3" w:rsidRDefault="008E0CF3">
    <w:pPr>
      <w:pBdr>
        <w:top w:val="nil"/>
        <w:left w:val="nil"/>
        <w:bottom w:val="nil"/>
        <w:right w:val="nil"/>
        <w:between w:val="nil"/>
      </w:pBdr>
      <w:tabs>
        <w:tab w:val="center" w:pos="4153"/>
        <w:tab w:val="right" w:pos="8306"/>
      </w:tabs>
      <w:rPr>
        <w:color w:val="000000"/>
      </w:rPr>
    </w:pPr>
  </w:p>
  <w:p w14:paraId="1CD71D9A" w14:textId="77777777" w:rsidR="008E0CF3" w:rsidRDefault="008E0CF3">
    <w:pPr>
      <w:pBdr>
        <w:top w:val="nil"/>
        <w:left w:val="nil"/>
        <w:bottom w:val="nil"/>
        <w:right w:val="nil"/>
        <w:between w:val="nil"/>
      </w:pBd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CF3"/>
    <w:rsid w:val="000B1732"/>
    <w:rsid w:val="000D0B2B"/>
    <w:rsid w:val="00190FD7"/>
    <w:rsid w:val="002E4644"/>
    <w:rsid w:val="003334E4"/>
    <w:rsid w:val="004C3420"/>
    <w:rsid w:val="005570B8"/>
    <w:rsid w:val="00683D26"/>
    <w:rsid w:val="007368FB"/>
    <w:rsid w:val="00796D40"/>
    <w:rsid w:val="007C2EF9"/>
    <w:rsid w:val="00886B73"/>
    <w:rsid w:val="008A58FC"/>
    <w:rsid w:val="008E0CF3"/>
    <w:rsid w:val="00A47538"/>
    <w:rsid w:val="00C12887"/>
    <w:rsid w:val="00D575A8"/>
    <w:rsid w:val="00E602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0B72E"/>
  <w15:docId w15:val="{DB4B7C8C-7014-5C45-A837-E257A8784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styleId="ColorfulList-Accent1">
    <w:name w:val="Colorful List Accent 1"/>
    <w:basedOn w:val="TableNormal"/>
    <w:uiPriority w:val="72"/>
    <w:semiHidden/>
    <w:unhideWhenUsed/>
    <w:rsid w:val="000A776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0A776D"/>
    <w:rPr>
      <w:color w:val="605E5C"/>
      <w:shd w:val="clear" w:color="auto" w:fill="E1DFDD"/>
    </w:rPr>
  </w:style>
  <w:style w:type="character" w:styleId="FollowedHyperlink">
    <w:name w:val="FollowedHyperlink"/>
    <w:basedOn w:val="DefaultParagraphFont"/>
    <w:uiPriority w:val="99"/>
    <w:semiHidden/>
    <w:unhideWhenUsed/>
    <w:rsid w:val="00804DEE"/>
    <w:rPr>
      <w:color w:val="800080" w:themeColor="followedHyperlink"/>
      <w:u w:val="single"/>
    </w:rPr>
  </w:style>
  <w:style w:type="table" w:customStyle="1" w:styleId="a2">
    <w:basedOn w:val="TableNormal"/>
    <w:rPr>
      <w:color w:val="000000"/>
    </w:rPr>
    <w:tblPr>
      <w:tblStyleRowBandSize w:val="1"/>
      <w:tblStyleColBandSize w:val="1"/>
      <w:tblCellMar>
        <w:left w:w="115" w:type="dxa"/>
        <w:right w:w="115" w:type="dxa"/>
      </w:tblCellMar>
    </w:tblPr>
    <w:tcPr>
      <w:shd w:val="clear" w:color="auto" w:fill="EDF2F8"/>
    </w:tcPr>
  </w:style>
  <w:style w:type="table" w:customStyle="1" w:styleId="a3">
    <w:basedOn w:val="TableNormal"/>
    <w:rPr>
      <w:color w:val="000000"/>
    </w:rPr>
    <w:tblPr>
      <w:tblStyleRowBandSize w:val="1"/>
      <w:tblStyleColBandSize w:val="1"/>
      <w:tblCellMar>
        <w:left w:w="115" w:type="dxa"/>
        <w:right w:w="115" w:type="dxa"/>
      </w:tblCellMar>
    </w:tblPr>
    <w:tcPr>
      <w:shd w:val="clear" w:color="auto" w:fill="EDF2F8"/>
    </w:tcPr>
  </w:style>
  <w:style w:type="table" w:customStyle="1" w:styleId="a4">
    <w:basedOn w:val="TableNormal"/>
    <w:rPr>
      <w:color w:val="000000"/>
    </w:rPr>
    <w:tblPr>
      <w:tblStyleRowBandSize w:val="1"/>
      <w:tblStyleColBandSize w:val="1"/>
      <w:tblCellMar>
        <w:left w:w="115" w:type="dxa"/>
        <w:right w:w="115" w:type="dxa"/>
      </w:tblCellMar>
    </w:tblPr>
    <w:tcPr>
      <w:shd w:val="clear" w:color="auto" w:fill="EDF2F8"/>
    </w:tcPr>
  </w:style>
  <w:style w:type="table" w:customStyle="1" w:styleId="a5">
    <w:basedOn w:val="TableNormal"/>
    <w:rPr>
      <w:color w:val="000000"/>
    </w:rPr>
    <w:tblPr>
      <w:tblStyleRowBandSize w:val="1"/>
      <w:tblStyleColBandSize w:val="1"/>
      <w:tblCellMar>
        <w:left w:w="115" w:type="dxa"/>
        <w:right w:w="115" w:type="dxa"/>
      </w:tblCellMar>
    </w:tblPr>
    <w:tcPr>
      <w:shd w:val="clear" w:color="auto" w:fill="EDF2F8"/>
    </w:tcPr>
  </w:style>
  <w:style w:type="table" w:customStyle="1" w:styleId="a6">
    <w:basedOn w:val="TableNormal"/>
    <w:rPr>
      <w:color w:val="000000"/>
    </w:rPr>
    <w:tblPr>
      <w:tblStyleRowBandSize w:val="1"/>
      <w:tblStyleColBandSize w:val="1"/>
      <w:tblCellMar>
        <w:left w:w="115" w:type="dxa"/>
        <w:right w:w="115" w:type="dxa"/>
      </w:tblCellMar>
    </w:tblPr>
    <w:tcPr>
      <w:shd w:val="clear" w:color="auto" w:fill="EDF2F8"/>
    </w:tcPr>
  </w:style>
  <w:style w:type="table" w:customStyle="1" w:styleId="a7">
    <w:basedOn w:val="TableNormal"/>
    <w:rPr>
      <w:color w:val="000000"/>
    </w:rPr>
    <w:tblPr>
      <w:tblStyleRowBandSize w:val="1"/>
      <w:tblStyleColBandSize w:val="1"/>
      <w:tblCellMar>
        <w:left w:w="115" w:type="dxa"/>
        <w:right w:w="115" w:type="dxa"/>
      </w:tblCellMar>
    </w:tblPr>
    <w:tcPr>
      <w:shd w:val="clear" w:color="auto" w:fill="EDF2F8"/>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kobo.com/blog/some-of-the-best-books-by-indigenous-writers-in-canad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lv/search?hl=ru&amp;tbo=p&amp;tbm=bks&amp;q=bibliogroup:%22Continuum+Literary+Studies%22&amp;source=gbs_metadata_r&amp;cad=7" TargetMode="External"/><Relationship Id="rId12" Type="http://schemas.openxmlformats.org/officeDocument/2006/relationships/hyperlink" Target="http://www.bloomsburycollection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jstor.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hecanadianencyclopedia.ca" TargetMode="External"/><Relationship Id="rId4" Type="http://schemas.openxmlformats.org/officeDocument/2006/relationships/webSettings" Target="webSettings.xml"/><Relationship Id="rId9" Type="http://schemas.openxmlformats.org/officeDocument/2006/relationships/hyperlink" Target="http://thepeopleandthetext.c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XWfjWf+6xRLi2UHEupMFqh0W2A==">AMUW2mU5ZvJe9bIKqTBI7WA4tryhQhYHoxKb/nCQ7l7y0FseOkP9DJafd5gXvvB1src/zulhrYvVtCHp+rGZ2J1+JsVNINGzGyA/4pHSSQGWopDf44+2e1Q=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5934</Words>
  <Characters>3383</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Elvira</cp:lastModifiedBy>
  <cp:revision>11</cp:revision>
  <dcterms:created xsi:type="dcterms:W3CDTF">2022-07-01T14:41:00Z</dcterms:created>
  <dcterms:modified xsi:type="dcterms:W3CDTF">2022-07-11T07:10:00Z</dcterms:modified>
</cp:coreProperties>
</file>