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600"/>
        <w:gridCol w:w="4977"/>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45F12AB4" w:rsidR="001E37E7" w:rsidRPr="0093308E" w:rsidRDefault="00E20AF5" w:rsidP="007534EA">
            <w:pPr>
              <w:rPr>
                <w:lang w:eastAsia="lv-LV"/>
              </w:rPr>
            </w:pPr>
            <w:permStart w:id="1807229392" w:edGrp="everyone"/>
            <w:r>
              <w:t xml:space="preserve"> </w:t>
            </w:r>
            <w:r w:rsidR="00B37C04">
              <w:t>Izziņa un komunikācija</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2F0C34EF" w:rsidR="001E37E7" w:rsidRPr="0093308E" w:rsidRDefault="00E20AF5" w:rsidP="007534EA">
            <w:pPr>
              <w:rPr>
                <w:lang w:eastAsia="lv-LV"/>
              </w:rPr>
            </w:pPr>
            <w:permStart w:id="1078017356" w:edGrp="everyone"/>
            <w:r>
              <w:t xml:space="preserve"> </w:t>
            </w:r>
            <w:r w:rsidR="00B37C04">
              <w:t>Filo6098</w:t>
            </w:r>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permStart w:id="1900755650" w:edGrp="everyone" w:displacedByCustomXml="prev"/>
            <w:tc>
              <w:tcPr>
                <w:tcW w:w="4820" w:type="dxa"/>
              </w:tcPr>
              <w:p w14:paraId="1128E148" w14:textId="74DD97DB" w:rsidR="001E37E7" w:rsidRPr="0093308E" w:rsidRDefault="00B37C04" w:rsidP="007534EA">
                <w:pPr>
                  <w:rPr>
                    <w:b/>
                  </w:rPr>
                </w:pPr>
                <w:r>
                  <w:rPr>
                    <w:b/>
                  </w:rPr>
                  <w:t>Filoloģija</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875B41F" w:rsidR="001E37E7" w:rsidRPr="0093308E" w:rsidRDefault="00F864CA"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Content>
            <w:tc>
              <w:tcPr>
                <w:tcW w:w="9039" w:type="dxa"/>
                <w:gridSpan w:val="2"/>
              </w:tcPr>
              <w:p w14:paraId="4E56A8FF" w14:textId="77777777" w:rsidR="005302E5" w:rsidRDefault="00E20AF5" w:rsidP="007534EA">
                <w:r>
                  <w:t xml:space="preserve"> </w:t>
                </w:r>
                <w:r w:rsidR="005302E5">
                  <w:t>Dr.philol., doc. Ilze Oļehnoviča</w:t>
                </w:r>
              </w:p>
              <w:p w14:paraId="37F373D4" w14:textId="5C72672B" w:rsidR="00BB3CCC" w:rsidRPr="0093308E" w:rsidRDefault="005302E5" w:rsidP="007534EA">
                <w:r>
                  <w:t>Mg.philol., lekt. Solveiga Liepa</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0617930D" w:rsidR="00FD6E2F" w:rsidRPr="007534EA" w:rsidRDefault="00000000" w:rsidP="007534EA">
            <w:sdt>
              <w:sdtPr>
                <w:rPr>
                  <w:lang w:val="ru-RU"/>
                </w:rPr>
                <w:id w:val="-722602371"/>
                <w:placeholder>
                  <w:docPart w:val="D74E6AE9D3CB4486ABAB5379CB4274E8"/>
                </w:placeholder>
              </w:sdtPr>
              <w:sdtContent>
                <w:r w:rsidR="00E20AF5">
                  <w:t xml:space="preserve"> </w:t>
                </w:r>
                <w:r w:rsidR="005302E5">
                  <w:t>Dr.philol., Ilze Oļehnoviča, Mg.philol., lekt. Solveiga Liepa, Dr.philol., viesdoc. Jeļena Tretjakova</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E0EE454" w:rsidR="00BB3CCC" w:rsidRPr="0093308E" w:rsidRDefault="00BB3CCC" w:rsidP="007534EA">
            <w:permStart w:id="1804483927" w:edGrp="everyone"/>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48A52931" w14:textId="2D7D77BF" w:rsidR="004A30DF" w:rsidRDefault="004A30DF" w:rsidP="008B7213">
            <w:permStart w:id="2100326173" w:edGrp="everyone"/>
            <w:r w:rsidRPr="00140E2B">
              <w:t xml:space="preserve">Studiju kurss paredzēts maģistra programmas „Angļu filoloģija” </w:t>
            </w:r>
            <w:r w:rsidRPr="004A30DF">
              <w:t>studējošajiem. Izziņa nozīmē domāšanu un zināšanas. Studiju kurss sniedz ieskatu par dažādām kognitīvās lingvistikas, komunikācijas un filozofijas teorijām par domāšanu, sajūtu uztveri, emocijām un darbībām, kuras nepieciešamas, lai izprastu, kā notiek komunikācija (gan cilvēkiem kontaktējot savā starpā, gan ar audiovizuālu un datortehnikas starpniecību). Aplūkotas arī literatūras, spēļu un dizaina teorijas, ko izmanto, analizējot dažādu mediju produkciju un tās lietošanu. Studiju kursā apvienota starpdisciplināra, teorētiska un praktiska pieeja.</w:t>
            </w:r>
          </w:p>
          <w:p w14:paraId="1090AECB" w14:textId="2D02B93D" w:rsidR="008B7213" w:rsidRPr="008B7213" w:rsidRDefault="008B7213" w:rsidP="008B7213"/>
          <w:p w14:paraId="59702CEF" w14:textId="2DC7D383" w:rsidR="00BB3CCC" w:rsidRPr="0093308E" w:rsidRDefault="008B7213" w:rsidP="007534EA">
            <w:r w:rsidRPr="008B030A">
              <w:t>Kursa aprakstā piedāvātie obligātie informācijas avoti  studiju procesā izmantojami fragmentāri pēc docetāja  norād</w:t>
            </w:r>
            <w:r w:rsidR="00F77C45">
              <w:t>ī</w:t>
            </w:r>
            <w:r w:rsidRPr="008B030A">
              <w:t>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161B3252" w:rsidR="008B7213" w:rsidRDefault="00D24FC8" w:rsidP="008B7213">
            <w:permStart w:id="44596525" w:edGrp="everyone"/>
            <w:r>
              <w:t>Studiju kursa struktūra: l</w:t>
            </w:r>
            <w:r w:rsidR="00916D56" w:rsidRPr="00916D56">
              <w:t>ekcijas</w:t>
            </w:r>
            <w:r>
              <w:t xml:space="preserve"> (L)</w:t>
            </w:r>
            <w:r w:rsidR="00AB35F9">
              <w:t xml:space="preserve"> -</w:t>
            </w:r>
            <w:r w:rsidR="00916D56" w:rsidRPr="00916D56">
              <w:t xml:space="preserve"> </w:t>
            </w:r>
            <w:r w:rsidR="00866F2B">
              <w:t>16</w:t>
            </w:r>
            <w:r>
              <w:t xml:space="preserve"> akadēmiskās</w:t>
            </w:r>
            <w:r w:rsidR="00916D56">
              <w:t xml:space="preserve"> st.,  semināri </w:t>
            </w:r>
            <w:r>
              <w:t>(S)</w:t>
            </w:r>
            <w:r w:rsidR="00916D56">
              <w:t xml:space="preserve"> </w:t>
            </w:r>
            <w:r w:rsidR="00AB35F9">
              <w:t xml:space="preserve">- </w:t>
            </w:r>
            <w:r w:rsidR="00866F2B">
              <w:t>16</w:t>
            </w:r>
            <w:r w:rsidR="00916D56">
              <w:t xml:space="preserve"> </w:t>
            </w:r>
            <w:r>
              <w:t>akadēmiskās</w:t>
            </w:r>
            <w:r w:rsidRPr="00D24FC8">
              <w:t xml:space="preserve"> </w:t>
            </w:r>
            <w:r w:rsidR="008B7213" w:rsidRPr="00916D56">
              <w:t xml:space="preserve">st., patstāvīgais darbs </w:t>
            </w:r>
            <w:r>
              <w:t>(Pd)</w:t>
            </w:r>
            <w:r w:rsidR="00AB35F9">
              <w:t xml:space="preserve"> -</w:t>
            </w:r>
            <w:r>
              <w:t xml:space="preserve"> </w:t>
            </w:r>
            <w:r w:rsidR="008B7213" w:rsidRPr="00916D56">
              <w:t>48</w:t>
            </w:r>
            <w:r>
              <w:t xml:space="preserve"> akadēmiskās</w:t>
            </w:r>
            <w:r w:rsidRPr="00D24FC8">
              <w:t xml:space="preserve"> </w:t>
            </w:r>
            <w:r w:rsidR="008B7213" w:rsidRPr="00916D56">
              <w:t>st.</w:t>
            </w:r>
          </w:p>
          <w:p w14:paraId="051A36FB" w14:textId="77777777" w:rsidR="00C1218B" w:rsidRPr="00916D56" w:rsidRDefault="00C1218B" w:rsidP="008B7213"/>
          <w:p w14:paraId="09163411" w14:textId="2D0BAFDB" w:rsidR="008B7213" w:rsidRDefault="00916D56" w:rsidP="008B7213">
            <w:r>
              <w:t>1</w:t>
            </w:r>
            <w:r w:rsidR="00866F2B">
              <w:t xml:space="preserve">. Kognitīvā valodniecība: galvenie jēdzieni. Kognitīvā valodniecība un valodas izziņa. </w:t>
            </w:r>
            <w:r w:rsidR="00964999">
              <w:t>(L 2, S 2, Pd 6)</w:t>
            </w:r>
          </w:p>
          <w:p w14:paraId="11ED4C71" w14:textId="5E940A77" w:rsidR="00916D56" w:rsidRDefault="00916D56" w:rsidP="008B7213">
            <w:r>
              <w:t>2.</w:t>
            </w:r>
            <w:r w:rsidR="00866F2B">
              <w:t>Nozīmes iemiesojums. Psiholoģiskais un konceptuālais aspekts vārdu nozīmju izpratnē.</w:t>
            </w:r>
            <w:r w:rsidR="00964999">
              <w:t xml:space="preserve"> (L 2, S 2, </w:t>
            </w:r>
            <w:r w:rsidR="00964999" w:rsidRPr="00964999">
              <w:t>Pd 6)</w:t>
            </w:r>
          </w:p>
          <w:p w14:paraId="1F80C73D" w14:textId="2C9D4885" w:rsidR="00866F2B" w:rsidRDefault="00866F2B" w:rsidP="008B7213">
            <w:r>
              <w:t>3. Konceptuālās metaforas teorija. Tēlu shēmas kā kognitīvie procesi. Kategori</w:t>
            </w:r>
            <w:r w:rsidR="00AB35F9">
              <w:t>zā</w:t>
            </w:r>
            <w:r>
              <w:t>cijas prototipa modelis.</w:t>
            </w:r>
            <w:r w:rsidR="00964999">
              <w:t xml:space="preserve"> (L 2, S 2, </w:t>
            </w:r>
            <w:r w:rsidR="00964999" w:rsidRPr="00964999">
              <w:t>Pd 6)</w:t>
            </w:r>
          </w:p>
          <w:p w14:paraId="3C10BE7B" w14:textId="1399A8F7" w:rsidR="00866F2B" w:rsidRDefault="00866F2B" w:rsidP="008B7213">
            <w:pPr>
              <w:rPr>
                <w:lang w:eastAsia="ru-RU"/>
              </w:rPr>
            </w:pPr>
            <w:r>
              <w:t xml:space="preserve">4. Domēni un idealizēti izziņas modeļi (ICM). </w:t>
            </w:r>
            <w:r w:rsidR="00613E49">
              <w:t xml:space="preserve">Profili </w:t>
            </w:r>
            <w:r w:rsidR="00AB35F9">
              <w:t xml:space="preserve">un </w:t>
            </w:r>
            <w:r w:rsidR="00613E49">
              <w:t>freimi / domēni.</w:t>
            </w:r>
            <w:r w:rsidR="00964999">
              <w:t xml:space="preserve"> (L 2, S 2, </w:t>
            </w:r>
            <w:r w:rsidR="00964999" w:rsidRPr="00964999">
              <w:t>Pd 6)</w:t>
            </w:r>
          </w:p>
          <w:p w14:paraId="1E0E77DC" w14:textId="26CE3647" w:rsidR="00613E49" w:rsidRDefault="00613E49" w:rsidP="008B7213">
            <w:pPr>
              <w:rPr>
                <w:lang w:eastAsia="ru-RU"/>
              </w:rPr>
            </w:pPr>
            <w:r>
              <w:t>5. Konceptuālie pamati: kas ir komunikācija? Komunikācijas teorijas: procesi un konteksti.</w:t>
            </w:r>
            <w:r w:rsidR="00964999">
              <w:t xml:space="preserve"> (L 2, S 2, </w:t>
            </w:r>
            <w:r w:rsidR="00964999" w:rsidRPr="00964999">
              <w:t>Pd 6)</w:t>
            </w:r>
          </w:p>
          <w:p w14:paraId="5AECA088" w14:textId="5181C9C0" w:rsidR="00613E49" w:rsidRDefault="00613E49" w:rsidP="008B7213">
            <w:r>
              <w:lastRenderedPageBreak/>
              <w:t>6. Kas ir teorija? Teoriju izveides aspekti. Izteikuma izveides un interpretācijas teorijas. Dažādi verbālās un neverbālās saziņas aspekti.</w:t>
            </w:r>
            <w:r w:rsidR="00964999">
              <w:t xml:space="preserve"> (L 2, S 2, </w:t>
            </w:r>
            <w:r w:rsidR="00964999" w:rsidRPr="00964999">
              <w:t>Pd 6)</w:t>
            </w:r>
          </w:p>
          <w:p w14:paraId="734E642A" w14:textId="06BBEB89" w:rsidR="00613E49" w:rsidRDefault="00613E49" w:rsidP="008B7213">
            <w:r>
              <w:t>7. Sociālās apziņas pamati un komunikācija. Diskursa un sadarbības teorijas. Diskursa analīze.</w:t>
            </w:r>
            <w:r w:rsidR="00964999">
              <w:t xml:space="preserve"> (L 2, S 2, </w:t>
            </w:r>
            <w:r w:rsidR="00964999" w:rsidRPr="00964999">
              <w:t>Pd 6)</w:t>
            </w:r>
          </w:p>
          <w:p w14:paraId="36353CC6" w14:textId="46A5B8C9" w:rsidR="00525213" w:rsidRPr="0093308E" w:rsidRDefault="00613E49" w:rsidP="007534EA">
            <w:r>
              <w:t>8. Mediji un sabiedrība. Kultūra un komunikācij. Masu mediju produkcijas izpētes metodes. Komunikācijas veidi, mērķi, mērķa grupas, konteksti.</w:t>
            </w:r>
            <w:r w:rsidR="00964999">
              <w:t xml:space="preserve"> (L 2, S 2, </w:t>
            </w:r>
            <w:r w:rsidR="00964999" w:rsidRPr="00964999">
              <w:t>Pd 6)</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Content>
              <w:p w14:paraId="37C86726" w14:textId="012F5936" w:rsidR="007D4849" w:rsidRPr="007008B5" w:rsidRDefault="007008B5" w:rsidP="007D4849">
                <w:r>
                  <w:t>Studiju kursa apguves rezultātā studējošie:</w:t>
                </w: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0CB3A556" w14:textId="12266908" w:rsidR="007D4849" w:rsidRDefault="00520EE2" w:rsidP="007D4849">
                      <w:r>
                        <w:t xml:space="preserve">1. zina </w:t>
                      </w:r>
                      <w:r w:rsidR="00345A7E">
                        <w:t xml:space="preserve">kognitīvās zinātnes starpdisciplināro raksturu un tās </w:t>
                      </w:r>
                      <w:r w:rsidR="00AB35F9">
                        <w:t>dažādos ietvarus</w:t>
                      </w:r>
                      <w:r w:rsidR="00345A7E">
                        <w:t>, kā arī mūsdienu starpdisciplinārās kognitīvās zinātnes un mediju studiju galvenās teorijas un metodoloģijas;</w:t>
                      </w:r>
                    </w:p>
                    <w:p w14:paraId="0C0ABCA7" w14:textId="6D3652E7" w:rsidR="00345A7E" w:rsidRPr="007D4849" w:rsidRDefault="00345A7E" w:rsidP="007D4849">
                      <w:r>
                        <w:t>2.</w:t>
                      </w:r>
                      <w:r w:rsidR="000C7246">
                        <w:t xml:space="preserve"> zina cilvēka izziņas nozīmi gan tehnoloģiski mediētā, gan tiešā saziņā;</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4B6D7E19" w14:textId="77777777" w:rsidR="007D4849" w:rsidRDefault="003E3DCF" w:rsidP="007D4849">
                      <w:r>
                        <w:t>3. prot aprakstīt un izskaidrot, kā kognitīvās zinātnes pielietojums var būt nozīmīgs komunikācijā, tostarp civēks-cilvēks, cilvēks-tehnoloģijas mijiedarbības procesos sociālajā un kultūras kontekstā;</w:t>
                      </w:r>
                    </w:p>
                    <w:p w14:paraId="1AD704DC" w14:textId="31F018E2" w:rsidR="003E3DCF" w:rsidRPr="007D4849" w:rsidRDefault="003E3DCF" w:rsidP="007D4849">
                      <w:r>
                        <w:t>4.</w:t>
                      </w:r>
                      <w:r w:rsidR="008E5050">
                        <w:t xml:space="preserve"> prot pielietot zināšanas par kognitīvajiem un komunikācijas procesiem </w:t>
                      </w:r>
                      <w:r w:rsidR="0020510B">
                        <w:t>situāciju cilvēka uzvedības analīzē;</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5B4C4B7F" w14:textId="77777777" w:rsidR="007D4849" w:rsidRDefault="00783B65" w:rsidP="007D4849">
                      <w:pPr>
                        <w:rPr>
                          <w:highlight w:val="yellow"/>
                        </w:rPr>
                      </w:pPr>
                      <w:r>
                        <w:rPr>
                          <w:highlight w:val="yellow"/>
                        </w:rPr>
                        <w:t>5. pārdomā dažādas iespējamās teorijas interpretācijas un šo interpretāciju savstarpējās attiecības attiecībā uz komunikācijas jautājumiem;</w:t>
                      </w:r>
                    </w:p>
                    <w:p w14:paraId="3332B2C5" w14:textId="77D73BFD" w:rsidR="00783B65" w:rsidRPr="007D4849" w:rsidRDefault="00783B65" w:rsidP="007D4849">
                      <w:pPr>
                        <w:rPr>
                          <w:highlight w:val="yellow"/>
                        </w:rPr>
                      </w:pPr>
                      <w:r>
                        <w:rPr>
                          <w:highlight w:val="yellow"/>
                        </w:rPr>
                        <w:t>6. patstāvīgi plāno un īsteno maza un/vai vidēja mēroga empīriskus pētījumu, kas vērst</w:t>
                      </w:r>
                      <w:r w:rsidR="00B34C44">
                        <w:rPr>
                          <w:highlight w:val="yellow"/>
                        </w:rPr>
                        <w:t>s</w:t>
                      </w:r>
                      <w:r>
                        <w:rPr>
                          <w:highlight w:val="yellow"/>
                        </w:rPr>
                        <w:t xml:space="preserve"> uz kognitīviem un komunikatīviem procesiem.</w:t>
                      </w:r>
                    </w:p>
                  </w:tc>
                </w:tr>
              </w:tbl>
              <w:p w14:paraId="0B6DE13B" w14:textId="77777777" w:rsidR="007D4849" w:rsidRDefault="00000000"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054DECC" w14:textId="0CC79715" w:rsidR="00E33F4D" w:rsidRPr="0093308E" w:rsidRDefault="00AB35F9" w:rsidP="007534EA">
            <w:permStart w:id="1836219002" w:edGrp="everyone"/>
            <w:r>
              <w:t xml:space="preserve">Studējošo patstāvīgā darba stundas (48 akadēmiskās stundas): studējošo patstāvīgo studiju stundas paredz gatavošanos semināriem (skatīt semināru tēmas augstāk), studējošais patstāvīgi izvēlas, analizē un prezentē literatūras avotus, zinātniskos rakstus un periodiskajos izdevumos publicētās atziņas (skatīt obligātās un papildus literatūras sarakstu), prezentējot divus referātus par izvēlētajām semināru tēmām; </w:t>
            </w:r>
            <w:r w:rsidR="00B937EA">
              <w:t xml:space="preserve">patstāvīgi </w:t>
            </w:r>
            <w:r>
              <w:t xml:space="preserve">plāno un īsteno </w:t>
            </w:r>
            <w:r>
              <w:rPr>
                <w:highlight w:val="yellow"/>
              </w:rPr>
              <w:t>maza un/vai vidēja mēroga empīriskus pētījumu, kas vērst</w:t>
            </w:r>
            <w:r w:rsidR="00B34C44">
              <w:rPr>
                <w:highlight w:val="yellow"/>
              </w:rPr>
              <w:t>s</w:t>
            </w:r>
            <w:r>
              <w:rPr>
                <w:highlight w:val="yellow"/>
              </w:rPr>
              <w:t xml:space="preserve"> uz kognitīviem un komunikatīviem procesiem.</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0C60A74" w14:textId="5FFBB1A1" w:rsidR="00E54033" w:rsidRPr="00E54033" w:rsidRDefault="00E54033" w:rsidP="00E54033">
            <w:permStart w:id="1677921679" w:edGrp="everyone"/>
            <w:r w:rsidRPr="00E54033">
              <w:t>Studiju kursa gala vērtējums (</w:t>
            </w:r>
            <w:r w:rsidR="00EC2BB7">
              <w:t>eksāmens</w:t>
            </w:r>
            <w:r w:rsidRPr="00E54033">
              <w:t xml:space="preserve">) veidojas, summējot </w:t>
            </w:r>
            <w:r w:rsidR="00F35AFE">
              <w:t xml:space="preserve">divu referātu prezēntācijas par izvēlētajām semināru tēmām un </w:t>
            </w:r>
            <w:r w:rsidR="00B34C44">
              <w:t>gala pārbaudījuma</w:t>
            </w:r>
            <w:r w:rsidRPr="00E54033">
              <w:t xml:space="preserve"> rezultātus</w:t>
            </w:r>
            <w:r w:rsidR="00B34C44">
              <w:t xml:space="preserve">, proti, </w:t>
            </w:r>
            <w:r w:rsidR="00B34C44">
              <w:rPr>
                <w:highlight w:val="yellow"/>
              </w:rPr>
              <w:t>mazs un/vai vidēja mēroga empīrisks pētījums, kas vērsts uz kognitīviem un komunikatīviem procesiem.</w:t>
            </w:r>
            <w:r w:rsidR="00B34C44">
              <w:t xml:space="preserve"> </w:t>
            </w:r>
          </w:p>
          <w:p w14:paraId="188BCD93" w14:textId="74448B02" w:rsidR="00E54033" w:rsidRPr="00E54033" w:rsidRDefault="00B34C44" w:rsidP="00E54033">
            <w:r>
              <w:t>Eksāmena</w:t>
            </w:r>
            <w:r w:rsidR="00E54033" w:rsidRPr="00E54033">
              <w:t xml:space="preserve"> vērtējums  var tikt saņemts, ja ir izpildīti visi minētie nosacījumi un studējošais ir piedalījies 30% lekcijās un 70% seminārnodarbībās</w:t>
            </w:r>
            <w:r w:rsidR="00360116">
              <w:t>, ir prezentējis divus referātus par izvēlētajām semināru t</w:t>
            </w:r>
            <w:r w:rsidR="00360116" w:rsidRPr="00360116">
              <w:t>ēmām</w:t>
            </w:r>
            <w:r w:rsidR="00360116">
              <w:t xml:space="preserve"> </w:t>
            </w:r>
            <w:r w:rsidR="00E54033" w:rsidRPr="00E54033">
              <w:t xml:space="preserve"> un </w:t>
            </w:r>
            <w:r w:rsidR="00360116">
              <w:t xml:space="preserve">ir </w:t>
            </w:r>
            <w:r w:rsidR="00E54033" w:rsidRPr="00E54033">
              <w:t xml:space="preserve">veicis </w:t>
            </w:r>
            <w:r w:rsidR="00360116">
              <w:t xml:space="preserve">un prezentējis </w:t>
            </w:r>
            <w:r w:rsidR="00E54033" w:rsidRPr="00E54033">
              <w:t>pētījumu.</w:t>
            </w:r>
          </w:p>
          <w:p w14:paraId="1A132D3C" w14:textId="77777777" w:rsidR="00360116" w:rsidRDefault="00360116" w:rsidP="00E54033"/>
          <w:p w14:paraId="427E43EE" w14:textId="5C754634" w:rsidR="00E54033" w:rsidRPr="00E54033" w:rsidRDefault="00E54033" w:rsidP="00E54033">
            <w:r w:rsidRPr="00E54033">
              <w:t xml:space="preserve">STARPPĀRBAUDĪJUMI: </w:t>
            </w:r>
          </w:p>
          <w:p w14:paraId="0100E9FD" w14:textId="3CDEC753" w:rsidR="00E54033" w:rsidRPr="00E54033" w:rsidRDefault="00E54033" w:rsidP="00E54033">
            <w:r w:rsidRPr="00E54033">
              <w:t>(starpārbaud</w:t>
            </w:r>
            <w:r w:rsidR="00736973">
              <w:t>ī</w:t>
            </w:r>
            <w:r w:rsidRPr="00E54033">
              <w:t>juma uzdevumi tiek izstrādāti un vērtēti pēc docētāja noteiktajiem kritērijiem)</w:t>
            </w:r>
          </w:p>
          <w:p w14:paraId="1B1D514D" w14:textId="5C0EC955" w:rsidR="00E54033" w:rsidRPr="00E54033" w:rsidRDefault="00E54033" w:rsidP="00E54033">
            <w:r w:rsidRPr="00E54033">
              <w:t>1</w:t>
            </w:r>
            <w:r w:rsidR="00736973">
              <w:t xml:space="preserve">. </w:t>
            </w:r>
            <w:r w:rsidR="00595042">
              <w:t>Starppārbaudījums nr.1: r</w:t>
            </w:r>
            <w:r w:rsidR="00736973">
              <w:t xml:space="preserve">eferāta prezentācija </w:t>
            </w:r>
            <w:r w:rsidRPr="00E54033">
              <w:rPr>
                <w:lang w:eastAsia="ru-RU"/>
              </w:rPr>
              <w:t xml:space="preserve">– </w:t>
            </w:r>
            <w:r w:rsidR="00736973">
              <w:t>25</w:t>
            </w:r>
            <w:r w:rsidR="00916D56">
              <w:t>%</w:t>
            </w:r>
            <w:r w:rsidRPr="00E54033">
              <w:t xml:space="preserve"> </w:t>
            </w:r>
          </w:p>
          <w:p w14:paraId="4EC4A7E7" w14:textId="5DCFBBF7" w:rsidR="00E54033" w:rsidRDefault="00E54033" w:rsidP="00E54033">
            <w:r w:rsidRPr="00916D56">
              <w:t>2.</w:t>
            </w:r>
            <w:r w:rsidR="00736973">
              <w:t xml:space="preserve"> </w:t>
            </w:r>
            <w:r w:rsidR="00595042">
              <w:t>Starp</w:t>
            </w:r>
            <w:r w:rsidR="00595042" w:rsidRPr="00595042">
              <w:t>pārbaudījums nr.</w:t>
            </w:r>
            <w:r w:rsidR="00595042">
              <w:t>2</w:t>
            </w:r>
            <w:r w:rsidR="00595042" w:rsidRPr="00595042">
              <w:t>:</w:t>
            </w:r>
            <w:r w:rsidR="00595042">
              <w:t xml:space="preserve"> r</w:t>
            </w:r>
            <w:r w:rsidR="00736973">
              <w:t>eferāt</w:t>
            </w:r>
            <w:r w:rsidR="00736973" w:rsidRPr="00736973">
              <w:t>a prezentācija</w:t>
            </w:r>
            <w:r w:rsidR="00916D56">
              <w:t xml:space="preserve"> </w:t>
            </w:r>
            <w:r w:rsidR="00916D56" w:rsidRPr="00916D56">
              <w:rPr>
                <w:lang w:eastAsia="ru-RU"/>
              </w:rPr>
              <w:t>–</w:t>
            </w:r>
            <w:r w:rsidR="00736973">
              <w:t xml:space="preserve"> 25</w:t>
            </w:r>
            <w:r w:rsidR="00916D56">
              <w:t>%</w:t>
            </w:r>
          </w:p>
          <w:p w14:paraId="4B75A4F3" w14:textId="559A781E" w:rsidR="00736973" w:rsidRPr="00916D56" w:rsidRDefault="00736973" w:rsidP="00E54033">
            <w:pPr>
              <w:rPr>
                <w:lang w:eastAsia="ru-RU"/>
              </w:rPr>
            </w:pPr>
            <w:r>
              <w:t>3. Noslēguma pārbaudījums</w:t>
            </w:r>
            <w:r w:rsidR="006B306A">
              <w:t xml:space="preserve">: </w:t>
            </w:r>
            <w:r>
              <w:t>pētījum</w:t>
            </w:r>
            <w:r w:rsidR="006B306A">
              <w:t xml:space="preserve">a </w:t>
            </w:r>
            <w:r>
              <w:t>perezentācija - 50%</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17BCA33E" w:rsidR="003F3E33" w:rsidRPr="003F3E33" w:rsidRDefault="003F3E33" w:rsidP="003F3E33">
            <w:r w:rsidRPr="003F3E33">
              <w:t>Studiju kursa apguve tā noslēgumā tiek</w:t>
            </w:r>
            <w:r>
              <w:t> vērtēta 10 ballu skalā saskaņā</w:t>
            </w:r>
            <w:r w:rsidR="00233032">
              <w:t xml:space="preserve"> a</w:t>
            </w:r>
            <w:r w:rsidRPr="003F3E33">
              <w:t>r Latvijas Republikas normatīvajiem aktiem un atbilstoši "Nolikumam</w:t>
            </w:r>
            <w:r w:rsidRPr="003F3E33">
              <w:br/>
            </w:r>
            <w:r w:rsidRPr="003F3E33">
              <w:lastRenderedPageBreak/>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8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86"/>
              <w:gridCol w:w="626"/>
              <w:gridCol w:w="625"/>
              <w:gridCol w:w="626"/>
              <w:gridCol w:w="625"/>
              <w:gridCol w:w="626"/>
            </w:tblGrid>
            <w:tr w:rsidR="003F3E33" w:rsidRPr="003F3E33" w14:paraId="435521F4" w14:textId="77777777" w:rsidTr="00F066D0">
              <w:trPr>
                <w:trHeight w:val="517"/>
                <w:jc w:val="center"/>
              </w:trPr>
              <w:tc>
                <w:tcPr>
                  <w:tcW w:w="5245"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614" w:type="dxa"/>
                  <w:gridSpan w:val="6"/>
                  <w:shd w:val="clear" w:color="auto" w:fill="auto"/>
                </w:tcPr>
                <w:p w14:paraId="29BFEF89" w14:textId="77777777" w:rsidR="003F3E33" w:rsidRPr="003F3E33" w:rsidRDefault="003F3E33" w:rsidP="003F3E33">
                  <w:r w:rsidRPr="003F3E33">
                    <w:t>Studiju rezultāti *</w:t>
                  </w:r>
                </w:p>
              </w:tc>
            </w:tr>
            <w:tr w:rsidR="00360404" w:rsidRPr="003F3E33" w14:paraId="01D81789" w14:textId="3CFC2842" w:rsidTr="00F066D0">
              <w:trPr>
                <w:jc w:val="center"/>
              </w:trPr>
              <w:tc>
                <w:tcPr>
                  <w:tcW w:w="5245" w:type="dxa"/>
                  <w:vMerge/>
                  <w:shd w:val="clear" w:color="auto" w:fill="auto"/>
                </w:tcPr>
                <w:p w14:paraId="3404568C" w14:textId="77777777" w:rsidR="00360404" w:rsidRPr="003F3E33" w:rsidRDefault="00360404" w:rsidP="003F3E33"/>
              </w:tc>
              <w:tc>
                <w:tcPr>
                  <w:tcW w:w="486" w:type="dxa"/>
                  <w:shd w:val="clear" w:color="auto" w:fill="auto"/>
                </w:tcPr>
                <w:p w14:paraId="25790896" w14:textId="77777777" w:rsidR="00360404" w:rsidRPr="003F3E33" w:rsidRDefault="00360404" w:rsidP="003F3E33">
                  <w:r w:rsidRPr="003F3E33">
                    <w:t>1.</w:t>
                  </w:r>
                </w:p>
              </w:tc>
              <w:tc>
                <w:tcPr>
                  <w:tcW w:w="626" w:type="dxa"/>
                  <w:shd w:val="clear" w:color="auto" w:fill="auto"/>
                </w:tcPr>
                <w:p w14:paraId="2F4B2029" w14:textId="77777777" w:rsidR="00360404" w:rsidRPr="003F3E33" w:rsidRDefault="00360404" w:rsidP="003F3E33">
                  <w:r w:rsidRPr="003F3E33">
                    <w:t>2.</w:t>
                  </w:r>
                </w:p>
              </w:tc>
              <w:tc>
                <w:tcPr>
                  <w:tcW w:w="625" w:type="dxa"/>
                  <w:shd w:val="clear" w:color="auto" w:fill="auto"/>
                </w:tcPr>
                <w:p w14:paraId="701D8B2D" w14:textId="77777777" w:rsidR="00360404" w:rsidRPr="003F3E33" w:rsidRDefault="00360404" w:rsidP="003F3E33">
                  <w:r w:rsidRPr="003F3E33">
                    <w:t>3.</w:t>
                  </w:r>
                </w:p>
              </w:tc>
              <w:tc>
                <w:tcPr>
                  <w:tcW w:w="626" w:type="dxa"/>
                  <w:shd w:val="clear" w:color="auto" w:fill="auto"/>
                </w:tcPr>
                <w:p w14:paraId="387125B9" w14:textId="77777777" w:rsidR="00360404" w:rsidRPr="003F3E33" w:rsidRDefault="00360404" w:rsidP="003F3E33">
                  <w:r w:rsidRPr="003F3E33">
                    <w:t>4.</w:t>
                  </w:r>
                </w:p>
              </w:tc>
              <w:tc>
                <w:tcPr>
                  <w:tcW w:w="625" w:type="dxa"/>
                  <w:shd w:val="clear" w:color="auto" w:fill="auto"/>
                </w:tcPr>
                <w:p w14:paraId="67C10518" w14:textId="77777777" w:rsidR="00360404" w:rsidRPr="003F3E33" w:rsidRDefault="00360404" w:rsidP="003F3E33">
                  <w:r w:rsidRPr="003F3E33">
                    <w:t>5.</w:t>
                  </w:r>
                </w:p>
              </w:tc>
              <w:tc>
                <w:tcPr>
                  <w:tcW w:w="626" w:type="dxa"/>
                  <w:shd w:val="clear" w:color="auto" w:fill="auto"/>
                </w:tcPr>
                <w:p w14:paraId="30A131A9" w14:textId="67111B0C" w:rsidR="00360404" w:rsidRPr="003F3E33" w:rsidRDefault="00360404" w:rsidP="006E1AA5">
                  <w:r w:rsidRPr="003F3E33">
                    <w:t>6.</w:t>
                  </w:r>
                </w:p>
              </w:tc>
            </w:tr>
            <w:tr w:rsidR="00360404" w:rsidRPr="003F3E33" w14:paraId="3C2DF642" w14:textId="4388C5A9" w:rsidTr="00F066D0">
              <w:trPr>
                <w:trHeight w:val="376"/>
                <w:jc w:val="center"/>
              </w:trPr>
              <w:tc>
                <w:tcPr>
                  <w:tcW w:w="5245" w:type="dxa"/>
                  <w:shd w:val="clear" w:color="auto" w:fill="auto"/>
                  <w:vAlign w:val="center"/>
                </w:tcPr>
                <w:p w14:paraId="5A0B96B2" w14:textId="4ECFFC4A" w:rsidR="00360404" w:rsidRPr="003F3E33" w:rsidRDefault="00360404" w:rsidP="00916D56">
                  <w:r w:rsidRPr="003F3E33">
                    <w:t xml:space="preserve">1. </w:t>
                  </w:r>
                  <w:r w:rsidR="006B306A">
                    <w:t>Starp</w:t>
                  </w:r>
                  <w:r w:rsidR="006B306A" w:rsidRPr="006B306A">
                    <w:t>pārbaudījums nr.1: referāta prezentācija</w:t>
                  </w:r>
                </w:p>
              </w:tc>
              <w:tc>
                <w:tcPr>
                  <w:tcW w:w="486" w:type="dxa"/>
                  <w:shd w:val="clear" w:color="auto" w:fill="auto"/>
                  <w:vAlign w:val="center"/>
                </w:tcPr>
                <w:p w14:paraId="09A0FFCA" w14:textId="2D165EB6" w:rsidR="00360404" w:rsidRPr="003F3E33" w:rsidRDefault="00E10851" w:rsidP="003F3E33">
                  <w:r>
                    <w:t>+</w:t>
                  </w:r>
                </w:p>
              </w:tc>
              <w:tc>
                <w:tcPr>
                  <w:tcW w:w="626" w:type="dxa"/>
                  <w:shd w:val="clear" w:color="auto" w:fill="auto"/>
                  <w:vAlign w:val="center"/>
                </w:tcPr>
                <w:p w14:paraId="008199B1" w14:textId="4A19B995" w:rsidR="00360404" w:rsidRPr="003F3E33" w:rsidRDefault="00E10851" w:rsidP="003F3E33">
                  <w:r>
                    <w:t>+</w:t>
                  </w:r>
                </w:p>
              </w:tc>
              <w:tc>
                <w:tcPr>
                  <w:tcW w:w="625" w:type="dxa"/>
                  <w:shd w:val="clear" w:color="auto" w:fill="auto"/>
                  <w:vAlign w:val="center"/>
                </w:tcPr>
                <w:p w14:paraId="06F1BC59" w14:textId="57F16690" w:rsidR="00360404" w:rsidRPr="003F3E33" w:rsidRDefault="00E10851" w:rsidP="003F3E33">
                  <w:r>
                    <w:t>+</w:t>
                  </w:r>
                </w:p>
              </w:tc>
              <w:tc>
                <w:tcPr>
                  <w:tcW w:w="626" w:type="dxa"/>
                  <w:shd w:val="clear" w:color="auto" w:fill="auto"/>
                  <w:vAlign w:val="center"/>
                </w:tcPr>
                <w:p w14:paraId="02D359C9" w14:textId="62F88F8E" w:rsidR="00360404" w:rsidRPr="003F3E33" w:rsidRDefault="00E10851" w:rsidP="003F3E33">
                  <w:r>
                    <w:t>+</w:t>
                  </w:r>
                </w:p>
              </w:tc>
              <w:tc>
                <w:tcPr>
                  <w:tcW w:w="625" w:type="dxa"/>
                  <w:shd w:val="clear" w:color="auto" w:fill="auto"/>
                  <w:vAlign w:val="center"/>
                </w:tcPr>
                <w:p w14:paraId="01281C86" w14:textId="2E9659E0" w:rsidR="00360404" w:rsidRPr="003F3E33" w:rsidRDefault="00360404" w:rsidP="003F3E33"/>
              </w:tc>
              <w:tc>
                <w:tcPr>
                  <w:tcW w:w="626" w:type="dxa"/>
                  <w:shd w:val="clear" w:color="auto" w:fill="auto"/>
                  <w:vAlign w:val="center"/>
                </w:tcPr>
                <w:p w14:paraId="7113C02E" w14:textId="2D9DEFDD" w:rsidR="00360404" w:rsidRPr="003F3E33" w:rsidRDefault="00360404" w:rsidP="003F3E33"/>
              </w:tc>
            </w:tr>
            <w:tr w:rsidR="00360404" w:rsidRPr="003F3E33" w14:paraId="6641E555" w14:textId="6F87ADDC" w:rsidTr="00F066D0">
              <w:trPr>
                <w:trHeight w:val="376"/>
                <w:jc w:val="center"/>
              </w:trPr>
              <w:tc>
                <w:tcPr>
                  <w:tcW w:w="5245" w:type="dxa"/>
                  <w:shd w:val="clear" w:color="auto" w:fill="auto"/>
                  <w:vAlign w:val="center"/>
                </w:tcPr>
                <w:p w14:paraId="4A4D0ABB" w14:textId="28559487" w:rsidR="00360404" w:rsidRPr="003F3E33" w:rsidRDefault="00360404" w:rsidP="00916D56">
                  <w:r w:rsidRPr="003F3E33">
                    <w:t xml:space="preserve">2. </w:t>
                  </w:r>
                  <w:r w:rsidR="006B306A">
                    <w:t>Starp</w:t>
                  </w:r>
                  <w:r w:rsidR="006B306A" w:rsidRPr="006B306A">
                    <w:t>pārbaudījums nr</w:t>
                  </w:r>
                  <w:r w:rsidR="006B306A">
                    <w:t>.2</w:t>
                  </w:r>
                  <w:r w:rsidR="006B306A" w:rsidRPr="006B306A">
                    <w:t>: referāta prezentācija</w:t>
                  </w:r>
                </w:p>
              </w:tc>
              <w:tc>
                <w:tcPr>
                  <w:tcW w:w="486" w:type="dxa"/>
                  <w:shd w:val="clear" w:color="auto" w:fill="auto"/>
                  <w:vAlign w:val="center"/>
                </w:tcPr>
                <w:p w14:paraId="08A19016" w14:textId="018E19C1" w:rsidR="00360404" w:rsidRPr="003F3E33" w:rsidRDefault="00E10851" w:rsidP="003F3E33">
                  <w:r>
                    <w:t>+</w:t>
                  </w:r>
                </w:p>
              </w:tc>
              <w:tc>
                <w:tcPr>
                  <w:tcW w:w="626" w:type="dxa"/>
                  <w:shd w:val="clear" w:color="auto" w:fill="auto"/>
                  <w:vAlign w:val="center"/>
                </w:tcPr>
                <w:p w14:paraId="392161E7" w14:textId="4BCCDB1B" w:rsidR="00360404" w:rsidRPr="003F3E33" w:rsidRDefault="00E10851" w:rsidP="003F3E33">
                  <w:r>
                    <w:t>+</w:t>
                  </w:r>
                </w:p>
              </w:tc>
              <w:tc>
                <w:tcPr>
                  <w:tcW w:w="625" w:type="dxa"/>
                  <w:shd w:val="clear" w:color="auto" w:fill="auto"/>
                  <w:vAlign w:val="center"/>
                </w:tcPr>
                <w:p w14:paraId="50B5A073" w14:textId="54BE899E" w:rsidR="00360404" w:rsidRPr="003F3E33" w:rsidRDefault="00E10851" w:rsidP="003F3E33">
                  <w:r>
                    <w:t>+</w:t>
                  </w:r>
                </w:p>
              </w:tc>
              <w:tc>
                <w:tcPr>
                  <w:tcW w:w="626" w:type="dxa"/>
                  <w:shd w:val="clear" w:color="auto" w:fill="auto"/>
                  <w:vAlign w:val="center"/>
                </w:tcPr>
                <w:p w14:paraId="62D94B32" w14:textId="2BC38EC5" w:rsidR="00360404" w:rsidRPr="003F3E33" w:rsidRDefault="00E10851" w:rsidP="003F3E33">
                  <w:r>
                    <w:t>+</w:t>
                  </w:r>
                </w:p>
              </w:tc>
              <w:tc>
                <w:tcPr>
                  <w:tcW w:w="625" w:type="dxa"/>
                  <w:shd w:val="clear" w:color="auto" w:fill="auto"/>
                  <w:vAlign w:val="center"/>
                </w:tcPr>
                <w:p w14:paraId="45269AD3" w14:textId="576448DF" w:rsidR="00360404" w:rsidRPr="003F3E33" w:rsidRDefault="00360404" w:rsidP="003F3E33"/>
              </w:tc>
              <w:tc>
                <w:tcPr>
                  <w:tcW w:w="626" w:type="dxa"/>
                  <w:shd w:val="clear" w:color="auto" w:fill="auto"/>
                  <w:vAlign w:val="center"/>
                </w:tcPr>
                <w:p w14:paraId="4325B3E7" w14:textId="5902B19A" w:rsidR="00360404" w:rsidRPr="003F3E33" w:rsidRDefault="00360404" w:rsidP="006E1AA5"/>
              </w:tc>
            </w:tr>
            <w:tr w:rsidR="00360404" w:rsidRPr="003F3E33" w14:paraId="00EF2DBF" w14:textId="4B88F9A3" w:rsidTr="00F066D0">
              <w:trPr>
                <w:trHeight w:val="376"/>
                <w:jc w:val="center"/>
              </w:trPr>
              <w:tc>
                <w:tcPr>
                  <w:tcW w:w="5245" w:type="dxa"/>
                  <w:shd w:val="clear" w:color="auto" w:fill="auto"/>
                  <w:vAlign w:val="center"/>
                </w:tcPr>
                <w:p w14:paraId="0907D150" w14:textId="37D98312" w:rsidR="00360404" w:rsidRPr="003F3E33" w:rsidRDefault="00360404" w:rsidP="00916D56">
                  <w:r w:rsidRPr="003F3E33">
                    <w:t xml:space="preserve">3. </w:t>
                  </w:r>
                  <w:r w:rsidR="006B306A">
                    <w:t>Noslēguma pārbaudījums</w:t>
                  </w:r>
                  <w:r w:rsidR="006B306A" w:rsidRPr="006B306A">
                    <w:t>: pētījuma perezentācija</w:t>
                  </w:r>
                </w:p>
              </w:tc>
              <w:tc>
                <w:tcPr>
                  <w:tcW w:w="486" w:type="dxa"/>
                  <w:shd w:val="clear" w:color="auto" w:fill="auto"/>
                  <w:vAlign w:val="center"/>
                </w:tcPr>
                <w:p w14:paraId="0BF59EF7" w14:textId="643E216C" w:rsidR="00360404" w:rsidRPr="003F3E33" w:rsidRDefault="00E10851" w:rsidP="003F3E33">
                  <w:r>
                    <w:t>+</w:t>
                  </w:r>
                </w:p>
              </w:tc>
              <w:tc>
                <w:tcPr>
                  <w:tcW w:w="626" w:type="dxa"/>
                  <w:shd w:val="clear" w:color="auto" w:fill="auto"/>
                  <w:vAlign w:val="center"/>
                </w:tcPr>
                <w:p w14:paraId="68E02658" w14:textId="2D8A6FDE" w:rsidR="00360404" w:rsidRPr="003F3E33" w:rsidRDefault="00E10851" w:rsidP="003F3E33">
                  <w:r>
                    <w:t>+</w:t>
                  </w:r>
                </w:p>
              </w:tc>
              <w:tc>
                <w:tcPr>
                  <w:tcW w:w="625" w:type="dxa"/>
                  <w:shd w:val="clear" w:color="auto" w:fill="auto"/>
                  <w:vAlign w:val="center"/>
                </w:tcPr>
                <w:p w14:paraId="7A2BFC25" w14:textId="4C3F380E" w:rsidR="00360404" w:rsidRPr="003F3E33" w:rsidRDefault="00E10851" w:rsidP="003F3E33">
                  <w:r>
                    <w:t>+</w:t>
                  </w:r>
                </w:p>
              </w:tc>
              <w:tc>
                <w:tcPr>
                  <w:tcW w:w="626" w:type="dxa"/>
                  <w:shd w:val="clear" w:color="auto" w:fill="auto"/>
                  <w:vAlign w:val="center"/>
                </w:tcPr>
                <w:p w14:paraId="04751327" w14:textId="2FA2F827" w:rsidR="00360404" w:rsidRPr="003F3E33" w:rsidRDefault="00E10851" w:rsidP="003F3E33">
                  <w:r>
                    <w:t>+</w:t>
                  </w:r>
                </w:p>
              </w:tc>
              <w:tc>
                <w:tcPr>
                  <w:tcW w:w="625" w:type="dxa"/>
                  <w:shd w:val="clear" w:color="auto" w:fill="auto"/>
                  <w:vAlign w:val="center"/>
                </w:tcPr>
                <w:p w14:paraId="1A6C6E73" w14:textId="42E7763A" w:rsidR="00360404" w:rsidRPr="003F3E33" w:rsidRDefault="00E10851" w:rsidP="003F3E33">
                  <w:r>
                    <w:t>+</w:t>
                  </w:r>
                </w:p>
              </w:tc>
              <w:tc>
                <w:tcPr>
                  <w:tcW w:w="626" w:type="dxa"/>
                  <w:shd w:val="clear" w:color="auto" w:fill="auto"/>
                  <w:vAlign w:val="center"/>
                </w:tcPr>
                <w:p w14:paraId="60DDBAC7" w14:textId="0F3D6090" w:rsidR="00360404" w:rsidRPr="003F3E33" w:rsidRDefault="00E10851" w:rsidP="006E1AA5">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47F4BF1B" w14:textId="371EBE19" w:rsidR="005C3F6B" w:rsidRDefault="005C3F6B" w:rsidP="005C3F6B">
            <w:permStart w:id="370084287" w:edGrp="everyone"/>
            <w:r>
              <w:t>1</w:t>
            </w:r>
            <w:r w:rsidRPr="005C3F6B">
              <w:t>. Kognitīvā valodniecība: galvenie jēdzieni. Kognitīvā valodniecība un valodas izziņa. (L 2, S 2, Pd 6)</w:t>
            </w:r>
          </w:p>
          <w:p w14:paraId="316F9AE0" w14:textId="1DDA2A37" w:rsidR="00F23A32" w:rsidRDefault="00F23A32" w:rsidP="005C3F6B">
            <w:r>
              <w:t>Studējošā patstāvīgais darbs: studenti patstāvīgi izvēlas, analīzē un prezentē literatūras avotus, zinātniskos rakstus un atziņas, kas publicētas periodikas izdevumos par lekcijā aplūkoto tēmu.</w:t>
            </w:r>
          </w:p>
          <w:p w14:paraId="5592406B" w14:textId="77777777" w:rsidR="00F23A32" w:rsidRPr="005C3F6B" w:rsidRDefault="00F23A32" w:rsidP="005C3F6B"/>
          <w:p w14:paraId="13545850" w14:textId="75B7F977" w:rsidR="005C3F6B" w:rsidRDefault="005C3F6B" w:rsidP="005C3F6B">
            <w:r>
              <w:t>2.</w:t>
            </w:r>
            <w:r w:rsidRPr="005C3F6B">
              <w:t>Nozīmes iemiesojums. Psiholoģiskais un konceptuālais aspekts vārdu nozīmju izpratnē. (L 2, S 2, Pd 6)</w:t>
            </w:r>
          </w:p>
          <w:p w14:paraId="0A4AB977" w14:textId="77777777" w:rsidR="00F23A32" w:rsidRPr="00F23A32" w:rsidRDefault="00F23A32" w:rsidP="00F23A32">
            <w:r>
              <w:t>Studējoš</w:t>
            </w:r>
            <w:r w:rsidRPr="00F23A32">
              <w:t>ā patstāvīgais darbs: studenti patstāvīgi izvēlas, analīzē un prezentē literatūras avotus, zinātniskos rakstus un atziņas, kas publicētas periodikas izdevumos par lekcijā aplūkoto tēmu.</w:t>
            </w:r>
          </w:p>
          <w:p w14:paraId="2DEA3C93" w14:textId="77777777" w:rsidR="00F23A32" w:rsidRPr="005C3F6B" w:rsidRDefault="00F23A32" w:rsidP="005C3F6B"/>
          <w:p w14:paraId="25CC9EF3" w14:textId="6FB9B6CF" w:rsidR="005C3F6B" w:rsidRDefault="005C3F6B" w:rsidP="005C3F6B">
            <w:r>
              <w:t>3. Konceptuālās metaforas teorija. Tēlu shēmas kā kognitīvie procesi. Kategorižacijas prototipa modelis.</w:t>
            </w:r>
            <w:r w:rsidRPr="005C3F6B">
              <w:t xml:space="preserve"> (L 2, S 2, Pd 6)</w:t>
            </w:r>
          </w:p>
          <w:p w14:paraId="1B801696" w14:textId="77777777" w:rsidR="00F23A32" w:rsidRPr="00F23A32" w:rsidRDefault="00F23A32" w:rsidP="00F23A32">
            <w:r>
              <w:t>Studējoš</w:t>
            </w:r>
            <w:r w:rsidRPr="00F23A32">
              <w:t>ā patstāvīgais darbs: studenti patstāvīgi izvēlas, analīzē un prezentē literatūras avotus, zinātniskos rakstus un atziņas, kas publicētas periodikas izdevumos par lekcijā aplūkoto tēmu.</w:t>
            </w:r>
          </w:p>
          <w:p w14:paraId="42A72653" w14:textId="77777777" w:rsidR="00F23A32" w:rsidRPr="005C3F6B" w:rsidRDefault="00F23A32" w:rsidP="005C3F6B"/>
          <w:p w14:paraId="35FA985C" w14:textId="1BEF3F74" w:rsidR="005C3F6B" w:rsidRDefault="005C3F6B" w:rsidP="005C3F6B">
            <w:r>
              <w:t xml:space="preserve">4. Domēni un idealizēti izziņas modeļi (ICM). </w:t>
            </w:r>
            <w:r w:rsidRPr="005C3F6B">
              <w:t>Profili freimi / domēni. (L 2, S 2, Pd 6)</w:t>
            </w:r>
          </w:p>
          <w:p w14:paraId="407DBD59" w14:textId="77777777" w:rsidR="00F23A32" w:rsidRPr="00F23A32" w:rsidRDefault="00F23A32" w:rsidP="00F23A32">
            <w:r>
              <w:t>Studējoš</w:t>
            </w:r>
            <w:r w:rsidRPr="00F23A32">
              <w:t>ā patstāvīgais darbs: studenti patstāvīgi izvēlas, analīzē un prezentē literatūras avotus, zinātniskos rakstus un atziņas, kas publicētas periodikas izdevumos par lekcijā aplūkoto tēmu.</w:t>
            </w:r>
          </w:p>
          <w:p w14:paraId="4461F924" w14:textId="77777777" w:rsidR="00F23A32" w:rsidRPr="005C3F6B" w:rsidRDefault="00F23A32" w:rsidP="005C3F6B"/>
          <w:p w14:paraId="69B3D138" w14:textId="32D5DB7F" w:rsidR="005C3F6B" w:rsidRDefault="005C3F6B" w:rsidP="005C3F6B">
            <w:r>
              <w:t>5. Konceptuālie pamati: kas ir komunikācija? Komunikācijas teorijas: procesi un konteksti.</w:t>
            </w:r>
            <w:r w:rsidRPr="005C3F6B">
              <w:t xml:space="preserve"> (L 2, S 2, Pd 6)</w:t>
            </w:r>
          </w:p>
          <w:p w14:paraId="051C6CD8" w14:textId="77777777" w:rsidR="00F23A32" w:rsidRPr="00F23A32" w:rsidRDefault="00F23A32" w:rsidP="00F23A32">
            <w:r>
              <w:t>Studējoš</w:t>
            </w:r>
            <w:r w:rsidRPr="00F23A32">
              <w:t>ā patstāvīgais darbs: studenti patstāvīgi izvēlas, analīzē un prezentē literatūras avotus, zinātniskos rakstus un atziņas, kas publicētas periodikas izdevumos par lekcijā aplūkoto tēmu.</w:t>
            </w:r>
          </w:p>
          <w:p w14:paraId="51525AA5" w14:textId="77777777" w:rsidR="00F23A32" w:rsidRPr="005C3F6B" w:rsidRDefault="00F23A32" w:rsidP="005C3F6B"/>
          <w:p w14:paraId="18A65349" w14:textId="2E884255" w:rsidR="00525213" w:rsidRDefault="005C3F6B" w:rsidP="007534EA">
            <w:r>
              <w:t>6. Kas ir teorija? Teoriju izveides aspekti. Izteikuma izveides un interpretācijas teorijas. Dažādi verbālās un neverbālās saziņas aspekti.</w:t>
            </w:r>
            <w:r w:rsidRPr="005C3F6B">
              <w:t xml:space="preserve"> (L 2, S 2, Pd 6)</w:t>
            </w:r>
          </w:p>
          <w:p w14:paraId="215B538C" w14:textId="77777777" w:rsidR="00F23A32" w:rsidRPr="00F23A32" w:rsidRDefault="00F23A32" w:rsidP="00F23A32">
            <w:r>
              <w:t>Studējoš</w:t>
            </w:r>
            <w:r w:rsidRPr="00F23A32">
              <w:t>ā patstāvīgais darbs: studenti patstāvīgi izvēlas, analīzē un prezentē literatūras avotus, zinātniskos rakstus un atziņas, kas publicētas periodikas izdevumos par lekcijā aplūkoto tēmu.</w:t>
            </w:r>
          </w:p>
          <w:p w14:paraId="3C6582A2" w14:textId="77777777" w:rsidR="00F23A32" w:rsidRDefault="00F23A32" w:rsidP="007534EA"/>
          <w:p w14:paraId="3FD5C886" w14:textId="47A0ECF0" w:rsidR="005C3F6B" w:rsidRDefault="005C3F6B" w:rsidP="005C3F6B">
            <w:r>
              <w:t>7. Sociālās apziņas pamati un komunikācija. Diskursa un sadarbības teorijas. Diskursa analīze.</w:t>
            </w:r>
            <w:r w:rsidRPr="005C3F6B">
              <w:t xml:space="preserve"> (L 2, S 2, Pd 6)</w:t>
            </w:r>
          </w:p>
          <w:p w14:paraId="3634F127" w14:textId="77777777" w:rsidR="00F23A32" w:rsidRPr="00F23A32" w:rsidRDefault="00F23A32" w:rsidP="00F23A32">
            <w:r>
              <w:lastRenderedPageBreak/>
              <w:t>Studējoš</w:t>
            </w:r>
            <w:r w:rsidRPr="00F23A32">
              <w:t>ā patstāvīgais darbs: studenti patstāvīgi izvēlas, analīzē un prezentē literatūras avotus, zinātniskos rakstus un atziņas, kas publicētas periodikas izdevumos par lekcijā aplūkoto tēmu.</w:t>
            </w:r>
          </w:p>
          <w:p w14:paraId="03AE8D2E" w14:textId="77777777" w:rsidR="00F23A32" w:rsidRPr="005C3F6B" w:rsidRDefault="00F23A32" w:rsidP="005C3F6B"/>
          <w:p w14:paraId="3D6641D4" w14:textId="77777777" w:rsidR="00F23A32" w:rsidRDefault="005C3F6B" w:rsidP="007534EA">
            <w:r>
              <w:t xml:space="preserve">8. Mediji un sabiedrība. Kultūra </w:t>
            </w:r>
            <w:r w:rsidRPr="005C3F6B">
              <w:t>un komunikācij. Masu mediju produkcijas izpētes metodes. Komunikācijas veidi, mērķi, mērķa grupas, konteksti. (L 2, S 2, Pd 6</w:t>
            </w:r>
            <w:r w:rsidR="00F23A32">
              <w:t>)</w:t>
            </w:r>
          </w:p>
          <w:p w14:paraId="119700E1" w14:textId="1AA779B9" w:rsidR="00525213" w:rsidRPr="0093308E" w:rsidRDefault="00F23A32" w:rsidP="007534EA">
            <w:r>
              <w:t>Studējoš</w:t>
            </w:r>
            <w:r w:rsidRPr="00F23A32">
              <w:t>ā patstāvīgais darbs: studenti patstāvīgi izvēlas, analīzē un prezentē literatūras avotus, zinātniskos rakstus un atziņas, kas publicētas periodikas izdevumos par lekcijā aplūkoto tēmu.</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579C65A1" w14:textId="41BBD5C5" w:rsidR="00525213" w:rsidRPr="0093308E" w:rsidRDefault="00E82CCB" w:rsidP="007534EA">
            <w:permStart w:id="580019727" w:edGrp="everyone"/>
            <w:r>
              <w:t xml:space="preserve">1. </w:t>
            </w:r>
            <w:r w:rsidRPr="00E82CCB">
              <w:t>Miller, K. (2005). Communication Theories: Perspectives, Processes, and Contexts (2nd ed.). New York, New York: McGraw-Hill.</w:t>
            </w:r>
            <w:r w:rsidRPr="00E82CCB">
              <w:br/>
              <w:t>2. Stenning, K.; Lascarides, A.; Calder. J. (2006) Introduction to Cognition and Communication. Mit Press.</w:t>
            </w:r>
            <w:r w:rsidRPr="00E82CCB">
              <w:br/>
              <w:t>3. Valenzuela, J.; Rojo A.; Soriano, C. (2009) Trends in Cognitive Linguistics: Theoretical and Applied Models. Peter Lang.</w:t>
            </w:r>
            <w:r w:rsidRPr="00E82CCB">
              <w:br/>
              <w:t>4. Kristiansen, G. (2006) Cognitive Linguistics: Current Applications and Future Perspectives. Walter de Gruyter</w:t>
            </w:r>
            <w:r>
              <w:t>.</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423BCCF8" w14:textId="41ADB8E5" w:rsidR="00E82CCB" w:rsidRPr="00E82CCB" w:rsidRDefault="00E82CCB" w:rsidP="00E82CCB">
            <w:permStart w:id="1596548908" w:edGrp="everyone"/>
            <w:r>
              <w:t xml:space="preserve">1. </w:t>
            </w:r>
            <w:r w:rsidRPr="00E82CCB">
              <w:t>Givón, T. (2005) Context as Other Minds: The Pragmatics of Sociality, Cognition and Communication. John Benjamins Publishing.</w:t>
            </w:r>
            <w:r w:rsidRPr="00E82CCB">
              <w:br/>
              <w:t>2. Geeraerts, D., Cuyckens H. (2007) The Oxford Handbook of Cognitive Linguistics. Oxford University Press. 2007.</w:t>
            </w:r>
            <w:r w:rsidRPr="00E82CCB">
              <w:br/>
              <w:t>3. Roskos-Ewoldsen, D. R., Monahan Jennifer L. (2009) Communication and Social Cognition: Theories and Methods. Routledge.</w:t>
            </w:r>
            <w:r w:rsidRPr="00E82CCB">
              <w:br/>
              <w:t>4. Donohew, L., Sypher H. E., Higgins E. T. (1988) Communication, Social Cognition, and Affect. Psychology Press.</w:t>
            </w:r>
            <w:r w:rsidRPr="00E82CCB">
              <w:br/>
              <w:t>5. Canary, J.D. Interpersonal Communication: a Goals Based Approach.</w:t>
            </w:r>
            <w:r w:rsidRPr="00E82CCB">
              <w:br/>
              <w:t>6. Kristiansen, G., Achard, M., Dirven, R., Ruiz de Mendoza Ibanez, F. (ed.). (2006) Cognitive Linguistics: Current Applications and Future Perspectives. Walter de Gruyter GmbH &amp; Co. KG, D-10785 Berlin.</w:t>
            </w:r>
            <w:r w:rsidRPr="00E82CCB">
              <w:br/>
              <w:t>7. Gibbs, R. W. Jr. (2001) Embodied Experience and Linguistic Meaning. In: Journal “Brain and Language”, 84. Elsevier Science, USA, (1-15 pp.).</w:t>
            </w:r>
            <w:r w:rsidRPr="00E82CCB">
              <w:br/>
              <w:t>8. Cassanto, D. (2010) Space for Thinking. In: Evans, V., Chilton, P. (ed.). Language, Cognition and Space: State of the Art and new Directions, pp. 453-478. London: Equinox Publishing.</w:t>
            </w:r>
            <w:r w:rsidRPr="00E82CCB">
              <w:br/>
              <w:t>9. Cervel, S.P. (1997) Subsidiarity Relationships between Image Schemas: an Approach to the Force Schema. In: Journal of English Studies, I, (pp. 187-207)</w:t>
            </w:r>
            <w:r w:rsidRPr="00E82CCB">
              <w:br/>
              <w:t>10. Coëgnarts, M. and Kravanja, P. (2012) From Thought to Modality: A Theoretical Framework for Analysing Structural-Conceptual Metaphors and Image Metaphors in Film. In: Image &amp; Narrative, Vol 13, No 1.</w:t>
            </w:r>
            <w:r w:rsidRPr="00E82CCB">
              <w:br/>
              <w:t>11. Evans, V., Pourcel, S.(ed.). (2009) New Directions in Cognitive Linguistics. John Benjamins Publishing Company.</w:t>
            </w:r>
            <w:r w:rsidRPr="00E82CCB">
              <w:br/>
              <w:t>12. Geeraerts, D. (ed.). (2006) Cognitive Linguistics: Basic Readings. Walter Gruyter GmbH &amp; Co. KG, D-10785, Berlin.</w:t>
            </w:r>
            <w:r w:rsidRPr="00E82CCB">
              <w:br/>
              <w:t>13. Gibbs, R. W. Jr. (2001) Embodied Experience and Linguistic Meaning. In: Journal “Brain and Language”, 84. Elsevier Science, USA, (1-15 pp.).</w:t>
            </w:r>
            <w:r w:rsidRPr="00E82CCB">
              <w:br/>
              <w:t>14. Gibbs, R.W. Jr. (2005) Embodied Action in Thought and Action. In: Ruiz de Mendoza 15. Ibanez, F., Cervel, S. (ed.). Cognitive Linguistics: Internal Dynamics and Interdisciplinary Interaction. Walter de Gruyter GmbH &amp; Co. KG, D-1785, Berlin.</w:t>
            </w:r>
            <w:r w:rsidRPr="00E82CCB">
              <w:br/>
              <w:t>16. Hampe, B. (ed.). (2005) From Perception to Meaning: Image Schemas in Cognitive Linguistics. Cognitive Linguistics Research, 29. Walter de Gruyter GmbH &amp; Co. KG, D-10785 Berlin.</w:t>
            </w:r>
            <w:r w:rsidRPr="00E82CCB">
              <w:br/>
            </w:r>
            <w:r w:rsidRPr="00E82CCB">
              <w:lastRenderedPageBreak/>
              <w:t>17. Johnson, M., Rohrer, T. (2007) We Are Live Creatures: Embodiment, American Pragmatism, and the Cognitive Organism. In: Ziemke, T., Zlatev, J., Frank, R. M. Body, Language and Mind. Volume 1: Embodiment. Walter de Gruyter GmbH &amp; Co. KG, D-10785 Berlin, (pp. 17-54).</w:t>
            </w:r>
            <w:r w:rsidRPr="00E82CCB">
              <w:br/>
              <w:t>18. Lindblom, J., Ziemke, T. (2007) Embodiment and Social Interaction. In: Ziemke, T.,</w:t>
            </w:r>
            <w:r w:rsidRPr="00D66943">
              <w:t xml:space="preserve"> Zlatev, J., Frank, R. M. Body, Language and Mind. Volume 1: Embodiment. Walter de Gruyter GmbH &amp; Co. KG, D-10785 Berlin, (pp. 129-163).</w:t>
            </w:r>
          </w:p>
          <w:p w14:paraId="52226813" w14:textId="0B3314B2" w:rsidR="00525213" w:rsidRPr="0093308E" w:rsidRDefault="00E82CCB" w:rsidP="007534EA">
            <w:r>
              <w:t xml:space="preserve">19. </w:t>
            </w:r>
            <w:r w:rsidRPr="00E82CCB">
              <w:t>Putnam, H. (1975) Mind, Language and Reality. Philosophical Papers, Volume 2. Cambridge University Press.</w:t>
            </w:r>
            <w:r w:rsidRPr="00E82CCB">
              <w:br/>
              <w:t>20. Talmy, L. (2000) Toward a Cognitive Semantics. The MIT Press.</w:t>
            </w:r>
            <w:r w:rsidRPr="00E82CCB">
              <w:br/>
              <w:t>21. Taylor, J. R., MacLaury, R. E. (ed.). (1995) Language and the Cognitive Construal of the World. Walter de Gruyter GmbH &amp; Co. KG, D-10785 Berlin.</w:t>
            </w:r>
            <w:r w:rsidRPr="00E82CCB">
              <w:br/>
              <w:t>22. Zlatev, J. (2009) Levels of Meaning, Embodiment and Communication. In: Cybernetics and Human Knowing, Vol 14, No. 3-4, (pp.149-174)</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03993677" w14:textId="77777777" w:rsidR="009B28EC" w:rsidRDefault="009B28EC" w:rsidP="007534EA">
            <w:permStart w:id="2104519286" w:edGrp="everyone"/>
            <w:r>
              <w:t xml:space="preserve">1. Journal of Communication. Available at </w:t>
            </w:r>
            <w:hyperlink r:id="rId8" w:history="1">
              <w:r w:rsidRPr="00BD0EFF">
                <w:rPr>
                  <w:rStyle w:val="Hyperlink"/>
                </w:rPr>
                <w:t>http://www.jocm.us/</w:t>
              </w:r>
            </w:hyperlink>
          </w:p>
          <w:p w14:paraId="2F1F9FE9" w14:textId="7EDAB647" w:rsidR="00525213" w:rsidRPr="0093308E" w:rsidRDefault="009B28EC" w:rsidP="007534EA">
            <w:r>
              <w:t xml:space="preserve">2. Journal of Cognition. Available at </w:t>
            </w:r>
            <w:hyperlink r:id="rId9" w:history="1">
              <w:r w:rsidRPr="00BD0EFF">
                <w:rPr>
                  <w:rStyle w:val="Hyperlink"/>
                </w:rPr>
                <w:t>https://www.journalofcognition.org/</w:t>
              </w:r>
            </w:hyperlink>
            <w:r>
              <w:t xml:space="preserve"> </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7965C588" w:rsidR="00525213" w:rsidRPr="0093308E" w:rsidRDefault="00F864CA" w:rsidP="007534EA">
            <w:permStart w:id="1906538136" w:edGrp="everyone"/>
            <w:r w:rsidRPr="00F864CA">
              <w:t>Studiju kurss adresēts akadēmiskās maģistra studiju programmas "Filoloģija  un valodu prakses"  studējošajiem. Studiju kurss tiek docēts un apgūts angļu valodā.</w:t>
            </w:r>
            <w:permEnd w:id="1906538136"/>
          </w:p>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AB243" w14:textId="77777777" w:rsidR="00BA1646" w:rsidRDefault="00BA1646" w:rsidP="007534EA">
      <w:r>
        <w:separator/>
      </w:r>
    </w:p>
  </w:endnote>
  <w:endnote w:type="continuationSeparator" w:id="0">
    <w:p w14:paraId="59073AAE" w14:textId="77777777" w:rsidR="00BA1646" w:rsidRDefault="00BA1646"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1FFA1" w14:textId="77777777" w:rsidR="00BA1646" w:rsidRDefault="00BA1646" w:rsidP="007534EA">
      <w:r>
        <w:separator/>
      </w:r>
    </w:p>
  </w:footnote>
  <w:footnote w:type="continuationSeparator" w:id="0">
    <w:p w14:paraId="412BC309" w14:textId="77777777" w:rsidR="00BA1646" w:rsidRDefault="00BA1646"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24451276">
    <w:abstractNumId w:val="2"/>
  </w:num>
  <w:num w:numId="2" w16cid:durableId="593903410">
    <w:abstractNumId w:val="4"/>
  </w:num>
  <w:num w:numId="3" w16cid:durableId="986981093">
    <w:abstractNumId w:val="0"/>
  </w:num>
  <w:num w:numId="4" w16cid:durableId="81293763">
    <w:abstractNumId w:val="3"/>
  </w:num>
  <w:num w:numId="5" w16cid:durableId="1894150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40EF0"/>
    <w:rsid w:val="000516E5"/>
    <w:rsid w:val="00057199"/>
    <w:rsid w:val="00057F5E"/>
    <w:rsid w:val="0006606E"/>
    <w:rsid w:val="000718FB"/>
    <w:rsid w:val="00082FD0"/>
    <w:rsid w:val="00083D51"/>
    <w:rsid w:val="00092451"/>
    <w:rsid w:val="0009472D"/>
    <w:rsid w:val="000A2D8D"/>
    <w:rsid w:val="000A4413"/>
    <w:rsid w:val="000B541D"/>
    <w:rsid w:val="000C7246"/>
    <w:rsid w:val="000D275C"/>
    <w:rsid w:val="000D281F"/>
    <w:rsid w:val="000E62D2"/>
    <w:rsid w:val="000F31B0"/>
    <w:rsid w:val="00124650"/>
    <w:rsid w:val="00125F2F"/>
    <w:rsid w:val="00126789"/>
    <w:rsid w:val="00131128"/>
    <w:rsid w:val="00140E2B"/>
    <w:rsid w:val="0019467B"/>
    <w:rsid w:val="001B5F63"/>
    <w:rsid w:val="001C40BD"/>
    <w:rsid w:val="001C523E"/>
    <w:rsid w:val="001C5466"/>
    <w:rsid w:val="001D68F3"/>
    <w:rsid w:val="001E010A"/>
    <w:rsid w:val="001E37E7"/>
    <w:rsid w:val="001F53B5"/>
    <w:rsid w:val="0020510B"/>
    <w:rsid w:val="00211AC3"/>
    <w:rsid w:val="00212071"/>
    <w:rsid w:val="002177C1"/>
    <w:rsid w:val="00232205"/>
    <w:rsid w:val="00233032"/>
    <w:rsid w:val="00240D9B"/>
    <w:rsid w:val="00257890"/>
    <w:rsid w:val="002620CD"/>
    <w:rsid w:val="002831C0"/>
    <w:rsid w:val="002B671A"/>
    <w:rsid w:val="002C1B85"/>
    <w:rsid w:val="002C1EA4"/>
    <w:rsid w:val="002D26FA"/>
    <w:rsid w:val="002E1D5A"/>
    <w:rsid w:val="002E5F8E"/>
    <w:rsid w:val="00300185"/>
    <w:rsid w:val="00303975"/>
    <w:rsid w:val="003242B3"/>
    <w:rsid w:val="00337CF9"/>
    <w:rsid w:val="00345A7E"/>
    <w:rsid w:val="00353D86"/>
    <w:rsid w:val="00360116"/>
    <w:rsid w:val="00360404"/>
    <w:rsid w:val="003629CF"/>
    <w:rsid w:val="003826FF"/>
    <w:rsid w:val="00384975"/>
    <w:rsid w:val="00386DE3"/>
    <w:rsid w:val="00391185"/>
    <w:rsid w:val="00391B74"/>
    <w:rsid w:val="003A0FC1"/>
    <w:rsid w:val="003A2A8D"/>
    <w:rsid w:val="003A4392"/>
    <w:rsid w:val="003B7D44"/>
    <w:rsid w:val="003E3DCF"/>
    <w:rsid w:val="003E4234"/>
    <w:rsid w:val="003E71D7"/>
    <w:rsid w:val="003F3E33"/>
    <w:rsid w:val="003F4CAE"/>
    <w:rsid w:val="00406A60"/>
    <w:rsid w:val="0041505D"/>
    <w:rsid w:val="004255EF"/>
    <w:rsid w:val="00446FAA"/>
    <w:rsid w:val="004520EF"/>
    <w:rsid w:val="004537CD"/>
    <w:rsid w:val="004633B3"/>
    <w:rsid w:val="004665E2"/>
    <w:rsid w:val="00482FC2"/>
    <w:rsid w:val="0049086B"/>
    <w:rsid w:val="00496691"/>
    <w:rsid w:val="004A30DF"/>
    <w:rsid w:val="004A560D"/>
    <w:rsid w:val="004A57E0"/>
    <w:rsid w:val="004B5043"/>
    <w:rsid w:val="004D22E2"/>
    <w:rsid w:val="004D356E"/>
    <w:rsid w:val="00515EA9"/>
    <w:rsid w:val="00520EE2"/>
    <w:rsid w:val="005226EC"/>
    <w:rsid w:val="00522D4B"/>
    <w:rsid w:val="00525213"/>
    <w:rsid w:val="0052677A"/>
    <w:rsid w:val="005302E5"/>
    <w:rsid w:val="00533C29"/>
    <w:rsid w:val="00543742"/>
    <w:rsid w:val="00544B54"/>
    <w:rsid w:val="00552314"/>
    <w:rsid w:val="005634FA"/>
    <w:rsid w:val="00566BA6"/>
    <w:rsid w:val="00576867"/>
    <w:rsid w:val="0059171A"/>
    <w:rsid w:val="00594B7E"/>
    <w:rsid w:val="00595042"/>
    <w:rsid w:val="005C3F6B"/>
    <w:rsid w:val="005C6853"/>
    <w:rsid w:val="005E5E8A"/>
    <w:rsid w:val="00606976"/>
    <w:rsid w:val="00612759"/>
    <w:rsid w:val="00613E49"/>
    <w:rsid w:val="00632863"/>
    <w:rsid w:val="00634775"/>
    <w:rsid w:val="00655E76"/>
    <w:rsid w:val="00656B02"/>
    <w:rsid w:val="00660967"/>
    <w:rsid w:val="00667018"/>
    <w:rsid w:val="0069338F"/>
    <w:rsid w:val="00697EEE"/>
    <w:rsid w:val="006B306A"/>
    <w:rsid w:val="006C0C68"/>
    <w:rsid w:val="006C517B"/>
    <w:rsid w:val="006E1AA5"/>
    <w:rsid w:val="007008B5"/>
    <w:rsid w:val="007018EF"/>
    <w:rsid w:val="0072031C"/>
    <w:rsid w:val="00724ECA"/>
    <w:rsid w:val="00732EA4"/>
    <w:rsid w:val="00732F99"/>
    <w:rsid w:val="0073612D"/>
    <w:rsid w:val="00736973"/>
    <w:rsid w:val="0073718F"/>
    <w:rsid w:val="00752671"/>
    <w:rsid w:val="007534EA"/>
    <w:rsid w:val="0076689C"/>
    <w:rsid w:val="00773562"/>
    <w:rsid w:val="0078238C"/>
    <w:rsid w:val="00783B65"/>
    <w:rsid w:val="007901C7"/>
    <w:rsid w:val="007B1FB4"/>
    <w:rsid w:val="007D4849"/>
    <w:rsid w:val="007D690A"/>
    <w:rsid w:val="007D6F15"/>
    <w:rsid w:val="007F2A5B"/>
    <w:rsid w:val="00815FAB"/>
    <w:rsid w:val="008231E1"/>
    <w:rsid w:val="00827C96"/>
    <w:rsid w:val="00830DB0"/>
    <w:rsid w:val="008377E7"/>
    <w:rsid w:val="00841180"/>
    <w:rsid w:val="00866F2B"/>
    <w:rsid w:val="008727DA"/>
    <w:rsid w:val="0087428B"/>
    <w:rsid w:val="00877B26"/>
    <w:rsid w:val="00884C63"/>
    <w:rsid w:val="008869E1"/>
    <w:rsid w:val="008B030A"/>
    <w:rsid w:val="008B2D0D"/>
    <w:rsid w:val="008B7213"/>
    <w:rsid w:val="008C1A35"/>
    <w:rsid w:val="008C7627"/>
    <w:rsid w:val="008D14A0"/>
    <w:rsid w:val="008E5050"/>
    <w:rsid w:val="00900DC9"/>
    <w:rsid w:val="00916D56"/>
    <w:rsid w:val="0093308E"/>
    <w:rsid w:val="009613C9"/>
    <w:rsid w:val="00964999"/>
    <w:rsid w:val="00966D4F"/>
    <w:rsid w:val="00977BBE"/>
    <w:rsid w:val="00977E76"/>
    <w:rsid w:val="00982C4A"/>
    <w:rsid w:val="009904CC"/>
    <w:rsid w:val="009A7DE8"/>
    <w:rsid w:val="009B0DA7"/>
    <w:rsid w:val="009B28EC"/>
    <w:rsid w:val="009B6AF5"/>
    <w:rsid w:val="009D350C"/>
    <w:rsid w:val="009F7068"/>
    <w:rsid w:val="00A00CBC"/>
    <w:rsid w:val="00A120DE"/>
    <w:rsid w:val="00A1665A"/>
    <w:rsid w:val="00A30254"/>
    <w:rsid w:val="00A5430D"/>
    <w:rsid w:val="00A6366E"/>
    <w:rsid w:val="00A77980"/>
    <w:rsid w:val="00A8127C"/>
    <w:rsid w:val="00AA0800"/>
    <w:rsid w:val="00AA5194"/>
    <w:rsid w:val="00AB35F9"/>
    <w:rsid w:val="00AD4584"/>
    <w:rsid w:val="00B139F9"/>
    <w:rsid w:val="00B13A71"/>
    <w:rsid w:val="00B34C44"/>
    <w:rsid w:val="00B36DCD"/>
    <w:rsid w:val="00B37C04"/>
    <w:rsid w:val="00B53309"/>
    <w:rsid w:val="00B61706"/>
    <w:rsid w:val="00B74D7E"/>
    <w:rsid w:val="00B76DDB"/>
    <w:rsid w:val="00B937EA"/>
    <w:rsid w:val="00B959C2"/>
    <w:rsid w:val="00BA06EC"/>
    <w:rsid w:val="00BA1646"/>
    <w:rsid w:val="00BB0A32"/>
    <w:rsid w:val="00BB1515"/>
    <w:rsid w:val="00BB3CCC"/>
    <w:rsid w:val="00BC1FA7"/>
    <w:rsid w:val="00BC5298"/>
    <w:rsid w:val="00BD2D0D"/>
    <w:rsid w:val="00BE3226"/>
    <w:rsid w:val="00BE6F4B"/>
    <w:rsid w:val="00BF2CA5"/>
    <w:rsid w:val="00C02152"/>
    <w:rsid w:val="00C06D10"/>
    <w:rsid w:val="00C1218B"/>
    <w:rsid w:val="00C23661"/>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24FC8"/>
    <w:rsid w:val="00D43CF2"/>
    <w:rsid w:val="00D477F9"/>
    <w:rsid w:val="00D52BA9"/>
    <w:rsid w:val="00D64C4B"/>
    <w:rsid w:val="00D6542C"/>
    <w:rsid w:val="00D66CC2"/>
    <w:rsid w:val="00D75976"/>
    <w:rsid w:val="00D76F6A"/>
    <w:rsid w:val="00D82406"/>
    <w:rsid w:val="00D84505"/>
    <w:rsid w:val="00D92891"/>
    <w:rsid w:val="00D9301F"/>
    <w:rsid w:val="00D94A3C"/>
    <w:rsid w:val="00DA3A38"/>
    <w:rsid w:val="00DC2790"/>
    <w:rsid w:val="00DD0364"/>
    <w:rsid w:val="00DD0524"/>
    <w:rsid w:val="00DD134F"/>
    <w:rsid w:val="00DF0484"/>
    <w:rsid w:val="00DF50C8"/>
    <w:rsid w:val="00E051B8"/>
    <w:rsid w:val="00E10851"/>
    <w:rsid w:val="00E13AEA"/>
    <w:rsid w:val="00E20AF5"/>
    <w:rsid w:val="00E3236B"/>
    <w:rsid w:val="00E33F4D"/>
    <w:rsid w:val="00E36E84"/>
    <w:rsid w:val="00E523D2"/>
    <w:rsid w:val="00E54033"/>
    <w:rsid w:val="00E6096C"/>
    <w:rsid w:val="00E82CCB"/>
    <w:rsid w:val="00E82F3C"/>
    <w:rsid w:val="00E83FA4"/>
    <w:rsid w:val="00E84A4C"/>
    <w:rsid w:val="00E93940"/>
    <w:rsid w:val="00EA0BB0"/>
    <w:rsid w:val="00EA1A34"/>
    <w:rsid w:val="00EA2E61"/>
    <w:rsid w:val="00EB4D5A"/>
    <w:rsid w:val="00EC2BB7"/>
    <w:rsid w:val="00ED5B09"/>
    <w:rsid w:val="00EE16F0"/>
    <w:rsid w:val="00EE24FC"/>
    <w:rsid w:val="00EE6661"/>
    <w:rsid w:val="00F066D0"/>
    <w:rsid w:val="00F06EFB"/>
    <w:rsid w:val="00F115CB"/>
    <w:rsid w:val="00F23A32"/>
    <w:rsid w:val="00F24CB8"/>
    <w:rsid w:val="00F2581C"/>
    <w:rsid w:val="00F3263F"/>
    <w:rsid w:val="00F35AFE"/>
    <w:rsid w:val="00F432B9"/>
    <w:rsid w:val="00F445F1"/>
    <w:rsid w:val="00F54D27"/>
    <w:rsid w:val="00F75719"/>
    <w:rsid w:val="00F77C45"/>
    <w:rsid w:val="00F864CA"/>
    <w:rsid w:val="00FA369A"/>
    <w:rsid w:val="00FB20D6"/>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A32"/>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UnresolvedMention">
    <w:name w:val="Unresolved Mention"/>
    <w:basedOn w:val="DefaultParagraphFont"/>
    <w:uiPriority w:val="99"/>
    <w:semiHidden/>
    <w:unhideWhenUsed/>
    <w:rsid w:val="009B28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cm.us/"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journalofcognition.org/"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2940"/>
    <w:rsid w:val="000153D6"/>
    <w:rsid w:val="00035E66"/>
    <w:rsid w:val="00061AAD"/>
    <w:rsid w:val="000B4DB4"/>
    <w:rsid w:val="001023BA"/>
    <w:rsid w:val="00221A22"/>
    <w:rsid w:val="00251532"/>
    <w:rsid w:val="002D3F45"/>
    <w:rsid w:val="00301385"/>
    <w:rsid w:val="003761D2"/>
    <w:rsid w:val="003E7201"/>
    <w:rsid w:val="003F25CC"/>
    <w:rsid w:val="0045298F"/>
    <w:rsid w:val="004D04D9"/>
    <w:rsid w:val="004E5700"/>
    <w:rsid w:val="004F1284"/>
    <w:rsid w:val="004F49AE"/>
    <w:rsid w:val="0050447D"/>
    <w:rsid w:val="005414C4"/>
    <w:rsid w:val="0055073D"/>
    <w:rsid w:val="00556B0D"/>
    <w:rsid w:val="005B6211"/>
    <w:rsid w:val="00634627"/>
    <w:rsid w:val="00656F4D"/>
    <w:rsid w:val="006B7FD6"/>
    <w:rsid w:val="006E240D"/>
    <w:rsid w:val="00791A44"/>
    <w:rsid w:val="007D173C"/>
    <w:rsid w:val="008440A1"/>
    <w:rsid w:val="00861B34"/>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1389A"/>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90BE0-B737-4799-A02D-519A9017E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7875</Words>
  <Characters>4490</Characters>
  <Application>Microsoft Office Word</Application>
  <DocSecurity>8</DocSecurity>
  <Lines>37</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Elvira</cp:lastModifiedBy>
  <cp:revision>3</cp:revision>
  <cp:lastPrinted>2018-11-16T11:31:00Z</cp:lastPrinted>
  <dcterms:created xsi:type="dcterms:W3CDTF">2022-06-30T12:15:00Z</dcterms:created>
  <dcterms:modified xsi:type="dcterms:W3CDTF">2022-07-11T07:09:00Z</dcterms:modified>
</cp:coreProperties>
</file>