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696AAE55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</w:t>
            </w:r>
            <w:r w:rsidR="003C55FE">
              <w:t>Valodas kursu vadīšana</w:t>
            </w:r>
            <w:r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2B2847FE" w:rsidR="001E37E7" w:rsidRPr="0093308E" w:rsidRDefault="00F3584E" w:rsidP="007534EA">
            <w:pPr>
              <w:rPr>
                <w:lang w:eastAsia="lv-LV"/>
              </w:rPr>
            </w:pPr>
            <w:permStart w:id="341396338" w:edGrp="everyone"/>
            <w:r>
              <w:t>7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8E3109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8E310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8E310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Content>
            <w:tc>
              <w:tcPr>
                <w:tcW w:w="9039" w:type="dxa"/>
                <w:gridSpan w:val="2"/>
              </w:tcPr>
              <w:p w14:paraId="37F373D4" w14:textId="6AA16187" w:rsidR="00BB3CCC" w:rsidRPr="0093308E" w:rsidRDefault="00E20AF5" w:rsidP="007534EA">
                <w:r>
                  <w:t xml:space="preserve">       </w:t>
                </w:r>
                <w:r w:rsidR="003C55FE">
                  <w:t xml:space="preserve">Prof., Dr. filol. Maija </w:t>
                </w:r>
                <w:proofErr w:type="spellStart"/>
                <w:r w:rsidR="003C55FE">
                  <w:t>Burima</w:t>
                </w:r>
                <w:proofErr w:type="spellEnd"/>
                <w:r>
                  <w:t xml:space="preserve">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8E3109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8E3109">
        <w:tc>
          <w:tcPr>
            <w:tcW w:w="9039" w:type="dxa"/>
            <w:gridSpan w:val="2"/>
          </w:tcPr>
          <w:p w14:paraId="7C4B3A2A" w14:textId="043DEF18" w:rsidR="00FD6E2F" w:rsidRPr="007534EA" w:rsidRDefault="0000000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Content>
                <w:r w:rsidR="00E20AF5">
                  <w:t xml:space="preserve">         </w:t>
                </w:r>
                <w:r w:rsidR="003C55FE">
                  <w:t xml:space="preserve">Prof., Dr. filol. Maija </w:t>
                </w:r>
                <w:proofErr w:type="spellStart"/>
                <w:r w:rsidR="003C55FE">
                  <w:t>Burima</w:t>
                </w:r>
                <w:proofErr w:type="spellEnd"/>
                <w:r w:rsidR="00E20AF5">
                  <w:t xml:space="preserve">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8E310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8E3109">
        <w:tc>
          <w:tcPr>
            <w:tcW w:w="9039" w:type="dxa"/>
            <w:gridSpan w:val="2"/>
          </w:tcPr>
          <w:p w14:paraId="05AFBFC0" w14:textId="45052364" w:rsidR="00BB3CCC" w:rsidRPr="0093308E" w:rsidRDefault="00E20AF5" w:rsidP="007534EA">
            <w:permStart w:id="1804483927" w:edGrp="everyone"/>
            <w:r>
              <w:t xml:space="preserve">     </w:t>
            </w:r>
            <w:r w:rsidR="003C55FE">
              <w:t>-</w:t>
            </w:r>
            <w:r>
              <w:t xml:space="preserve">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8E310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8E3109">
        <w:tc>
          <w:tcPr>
            <w:tcW w:w="9039" w:type="dxa"/>
            <w:gridSpan w:val="2"/>
          </w:tcPr>
          <w:p w14:paraId="5DC1FF8C" w14:textId="50A74341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3C55FE">
              <w:t>veidot izpratni par neformālās izglītības instrumenta - valodas apguves kursu satura un menedžmenta jautājumiem.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0FE0F219" w14:textId="63B584AC" w:rsidR="003039B9" w:rsidRDefault="008B7213" w:rsidP="008B7213">
            <w:r w:rsidRPr="008B7213">
              <w:rPr>
                <w:lang w:eastAsia="ru-RU"/>
              </w:rPr>
              <w:t xml:space="preserve">- </w:t>
            </w:r>
            <w:r w:rsidR="003039B9">
              <w:t>iegūt izpratni par valodas kursu satura, mācību līdzekļu izmantojuma un mācību metodisko materiālu izstrādi valodas kursu nodarbībās;</w:t>
            </w:r>
          </w:p>
          <w:p w14:paraId="17D64DA7" w14:textId="185509CD" w:rsidR="008B7213" w:rsidRDefault="003039B9" w:rsidP="008B7213">
            <w:r>
              <w:t xml:space="preserve">- </w:t>
            </w:r>
            <w:r w:rsidR="003C55FE">
              <w:t>iepazīties ar valodas kursu programmas izstrādes</w:t>
            </w:r>
            <w:r>
              <w:t>, licencēšanas un akreditācijas</w:t>
            </w:r>
            <w:r w:rsidR="003C55FE">
              <w:t xml:space="preserve"> principiem</w:t>
            </w:r>
            <w:r>
              <w:t xml:space="preserve"> </w:t>
            </w:r>
            <w:r w:rsidR="0023429B" w:rsidRPr="0023429B">
              <w:t>formālās un neformālās mācību iestādēs;</w:t>
            </w:r>
          </w:p>
          <w:p w14:paraId="4B983F5C" w14:textId="2B7D772F" w:rsidR="003C55FE" w:rsidRPr="008B7213" w:rsidRDefault="003C55FE" w:rsidP="008B7213">
            <w:pPr>
              <w:rPr>
                <w:lang w:eastAsia="ru-RU"/>
              </w:rPr>
            </w:pPr>
            <w:r>
              <w:t>- izzināt valodas kursu organizēšanas juridiskos un psiholoģiskos aspektus;</w:t>
            </w:r>
          </w:p>
          <w:p w14:paraId="74E5886F" w14:textId="7E9C10E3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3039B9">
              <w:t>apzināt valodas kursu pozitīvas prakses piemērus.</w:t>
            </w:r>
          </w:p>
          <w:p w14:paraId="59702CEF" w14:textId="79BD7601" w:rsidR="00BB3CCC" w:rsidRPr="0093308E" w:rsidRDefault="00F445F1" w:rsidP="007534EA">
            <w:r>
              <w:t xml:space="preserve"> </w:t>
            </w:r>
            <w:permEnd w:id="2100326173"/>
          </w:p>
        </w:tc>
      </w:tr>
      <w:tr w:rsidR="00E13AEA" w:rsidRPr="0093308E" w14:paraId="125A888D" w14:textId="77777777" w:rsidTr="008E310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8E3109">
        <w:tc>
          <w:tcPr>
            <w:tcW w:w="9039" w:type="dxa"/>
            <w:gridSpan w:val="2"/>
          </w:tcPr>
          <w:p w14:paraId="69C015EE" w14:textId="542E7474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41790E">
              <w:t>16</w:t>
            </w:r>
            <w:r>
              <w:t xml:space="preserve"> st.,  semināri  </w:t>
            </w:r>
            <w:r w:rsidR="0041790E">
              <w:t>16</w:t>
            </w:r>
            <w:r w:rsidR="003039B9">
              <w:t xml:space="preserve"> </w:t>
            </w:r>
            <w:r w:rsidR="008B7213" w:rsidRPr="00916D56">
              <w:t>st., patstāvīgais darbs 48</w:t>
            </w:r>
            <w:r w:rsidR="003039B9">
              <w:t xml:space="preserve"> </w:t>
            </w:r>
            <w:r w:rsidR="008B7213" w:rsidRPr="00916D56">
              <w:t>st.</w:t>
            </w:r>
          </w:p>
          <w:p w14:paraId="3405A000" w14:textId="50F69FD1" w:rsidR="009D3556" w:rsidRPr="009D3556" w:rsidRDefault="00916D56" w:rsidP="009D3556">
            <w:r>
              <w:t>1</w:t>
            </w:r>
            <w:r w:rsidR="004E6CD8">
              <w:t>. N</w:t>
            </w:r>
            <w:r w:rsidR="009D3556" w:rsidRPr="009D3556">
              <w:t>eformālās izglītības instrumenta - valodas apguves kursu satura un menedžmenta jaut</w:t>
            </w:r>
            <w:r w:rsidR="004E6CD8">
              <w:t>ājumi</w:t>
            </w:r>
            <w:r w:rsidR="009D3556" w:rsidRPr="009D3556">
              <w:t>.</w:t>
            </w:r>
            <w:r w:rsidR="004E6CD8">
              <w:t xml:space="preserve"> </w:t>
            </w:r>
            <w:r w:rsidR="009D3556" w:rsidRPr="009D3556">
              <w:t xml:space="preserve"> </w:t>
            </w:r>
            <w:r w:rsidR="0041790E">
              <w:t>V</w:t>
            </w:r>
            <w:r w:rsidR="009D3556" w:rsidRPr="009D3556">
              <w:t>alodas kursu organizēšanas juridisk</w:t>
            </w:r>
            <w:r w:rsidR="0041790E">
              <w:t>ie</w:t>
            </w:r>
            <w:r w:rsidR="009D3556" w:rsidRPr="009D3556">
              <w:t>, psiholoģisk</w:t>
            </w:r>
            <w:r w:rsidR="0041790E">
              <w:t>ie</w:t>
            </w:r>
            <w:r w:rsidR="009D3556" w:rsidRPr="009D3556">
              <w:t xml:space="preserve"> un publicitātes aspekt</w:t>
            </w:r>
            <w:r w:rsidR="0041790E">
              <w:t>i</w:t>
            </w:r>
            <w:r w:rsidR="009D3556" w:rsidRPr="009D3556">
              <w:t>.</w:t>
            </w:r>
            <w:r w:rsidR="0041790E">
              <w:t xml:space="preserve"> Projektu pieteikumu izstrāde un iepirkuma dokumentācijas sagatavošana valodas kursu organizēšanai. </w:t>
            </w:r>
          </w:p>
          <w:p w14:paraId="09163411" w14:textId="7837493F" w:rsidR="008B7213" w:rsidRDefault="004E6CD8" w:rsidP="008B7213">
            <w:r>
              <w:t>L 2 st., S 2 st.</w:t>
            </w:r>
          </w:p>
          <w:p w14:paraId="4AEF5671" w14:textId="04D531E8" w:rsidR="009D3556" w:rsidRDefault="0041790E" w:rsidP="009D3556">
            <w:r>
              <w:t>2</w:t>
            </w:r>
            <w:r w:rsidR="00916D56">
              <w:t>.</w:t>
            </w:r>
            <w:r w:rsidR="009D3556">
              <w:t xml:space="preserve"> </w:t>
            </w:r>
            <w:r>
              <w:t>V</w:t>
            </w:r>
            <w:r w:rsidR="009D3556" w:rsidRPr="009D3556">
              <w:t>alodas kursu satura, mācību līdzekļu izmantojuma un mācību metodisko materiālu izstrādes princip</w:t>
            </w:r>
            <w:r>
              <w:t>i</w:t>
            </w:r>
            <w:r w:rsidR="009D3556" w:rsidRPr="009D3556">
              <w:t xml:space="preserve"> efektīvām un tehnoloģijām bagātinātām valodas kursu nodarbībām.</w:t>
            </w:r>
          </w:p>
          <w:p w14:paraId="47DF1D93" w14:textId="77777777" w:rsidR="004E6CD8" w:rsidRPr="004E6CD8" w:rsidRDefault="004E6CD8" w:rsidP="004E6CD8">
            <w:r w:rsidRPr="004E6CD8">
              <w:t>L 2 st., S 2 st.</w:t>
            </w:r>
          </w:p>
          <w:p w14:paraId="0140C144" w14:textId="5ED5C021" w:rsidR="004E6CD8" w:rsidRPr="004E6CD8" w:rsidRDefault="0041790E" w:rsidP="004E6CD8">
            <w:r>
              <w:t>3</w:t>
            </w:r>
            <w:r w:rsidR="009D3556" w:rsidRPr="009D3556">
              <w:t xml:space="preserve">. </w:t>
            </w:r>
            <w:r>
              <w:t>D</w:t>
            </w:r>
            <w:r w:rsidR="009D3556" w:rsidRPr="009D3556">
              <w:t xml:space="preserve">audzveidīgas valodas pasniegšanas metodes un izglītojamo darba organizēšanas formas klātienes, attālinātai un </w:t>
            </w:r>
            <w:proofErr w:type="spellStart"/>
            <w:r w:rsidR="009D3556" w:rsidRPr="009D3556">
              <w:t>hibrīdformāta</w:t>
            </w:r>
            <w:proofErr w:type="spellEnd"/>
            <w:r w:rsidR="009D3556" w:rsidRPr="009D3556">
              <w:t xml:space="preserve"> izglītībai.</w:t>
            </w:r>
            <w:r w:rsidR="004E6CD8">
              <w:t xml:space="preserve"> </w:t>
            </w:r>
            <w:r w:rsidR="004E6CD8" w:rsidRPr="004E6CD8">
              <w:t>L 2 st., S 2 st.</w:t>
            </w:r>
          </w:p>
          <w:p w14:paraId="38117E92" w14:textId="77777777" w:rsidR="0041790E" w:rsidRDefault="0041790E" w:rsidP="004E6CD8">
            <w:r>
              <w:t>4</w:t>
            </w:r>
            <w:r w:rsidR="009D3556" w:rsidRPr="009D3556">
              <w:t xml:space="preserve">. </w:t>
            </w:r>
            <w:r>
              <w:t>V</w:t>
            </w:r>
            <w:r w:rsidR="009D3556" w:rsidRPr="009D3556">
              <w:t>alodas kursu organizēšanai nepiecie</w:t>
            </w:r>
            <w:r>
              <w:t>šamo</w:t>
            </w:r>
            <w:r w:rsidR="009D3556" w:rsidRPr="009D3556">
              <w:t xml:space="preserve"> mācību metodiskos materiālu apzinā</w:t>
            </w:r>
            <w:r>
              <w:t>šana</w:t>
            </w:r>
            <w:r w:rsidR="009D3556" w:rsidRPr="009D3556">
              <w:t xml:space="preserve"> un izmanto</w:t>
            </w:r>
            <w:r>
              <w:t>šana.</w:t>
            </w:r>
          </w:p>
          <w:p w14:paraId="4E3F4EB9" w14:textId="77777777" w:rsidR="004034DB" w:rsidRPr="004034DB" w:rsidRDefault="0041790E" w:rsidP="004034DB">
            <w:r>
              <w:t>5. M</w:t>
            </w:r>
            <w:r w:rsidR="009D3556" w:rsidRPr="009D3556">
              <w:t>ācību līdzekļu</w:t>
            </w:r>
            <w:r>
              <w:t xml:space="preserve"> un digitālo resursu piemērošana</w:t>
            </w:r>
            <w:r w:rsidR="009D3556" w:rsidRPr="009D3556">
              <w:t xml:space="preserve"> atbilstoši kursu mērķauditorijas vecumposmiem un zināšanu līmeņiem.</w:t>
            </w:r>
            <w:r w:rsidR="004E6CD8">
              <w:t xml:space="preserve"> </w:t>
            </w:r>
            <w:r w:rsidR="004034DB" w:rsidRPr="004034DB">
              <w:t>Digitālo resursu izmantojums valodas apguves procesā.</w:t>
            </w:r>
          </w:p>
          <w:p w14:paraId="58566C62" w14:textId="73C4DC80" w:rsidR="004E6CD8" w:rsidRPr="004E6CD8" w:rsidRDefault="004E6CD8" w:rsidP="004E6CD8">
            <w:r w:rsidRPr="004E6CD8">
              <w:lastRenderedPageBreak/>
              <w:t>L 2 st., S 2 st.</w:t>
            </w:r>
          </w:p>
          <w:p w14:paraId="710540E1" w14:textId="135083D7" w:rsidR="004E6CD8" w:rsidRPr="004E6CD8" w:rsidRDefault="004E6CD8" w:rsidP="004E6CD8"/>
          <w:p w14:paraId="2A1C45CB" w14:textId="6960398E" w:rsidR="004E6CD8" w:rsidRDefault="0041790E" w:rsidP="004E6CD8">
            <w:r>
              <w:t>6</w:t>
            </w:r>
            <w:r w:rsidR="009D3556" w:rsidRPr="009D3556">
              <w:t>. Spēj noteikt izglītojamo zināšanu līmeni, izstrādāt zināšanu novērtēšanas testus, piemērot to vērtēšanas kritērijus.</w:t>
            </w:r>
            <w:r w:rsidR="004E6CD8">
              <w:t xml:space="preserve"> </w:t>
            </w:r>
            <w:r w:rsidR="004E6CD8" w:rsidRPr="004E6CD8">
              <w:t>L 2 st., S 2 st.</w:t>
            </w:r>
          </w:p>
          <w:p w14:paraId="2B8CF599" w14:textId="27BBE5ED" w:rsidR="0041790E" w:rsidRPr="004E6CD8" w:rsidRDefault="0041790E" w:rsidP="004E6CD8">
            <w:r>
              <w:t xml:space="preserve">7. </w:t>
            </w:r>
            <w:r w:rsidRPr="0041790E">
              <w:t>Spēj piedalīties valodas kursu programmas izstrādes, licencēšanas un akreditācijas procedūrās formālās un neformālās mācību iestādēs. L 2 st., S 2 st.</w:t>
            </w:r>
          </w:p>
          <w:p w14:paraId="14CAB7C4" w14:textId="2AFA81D2" w:rsidR="004E6CD8" w:rsidRPr="004E6CD8" w:rsidRDefault="0041790E" w:rsidP="004E6CD8">
            <w:r>
              <w:t>8</w:t>
            </w:r>
            <w:r w:rsidR="009D3556" w:rsidRPr="009D3556">
              <w:t xml:space="preserve">. </w:t>
            </w:r>
            <w:r w:rsidR="004E6CD8">
              <w:t>Dažāda apjoma v</w:t>
            </w:r>
            <w:r w:rsidR="009D3556" w:rsidRPr="009D3556">
              <w:t xml:space="preserve">alodas kursu apguves programmas </w:t>
            </w:r>
            <w:proofErr w:type="spellStart"/>
            <w:r w:rsidR="004E6CD8">
              <w:t>izvērtējums</w:t>
            </w:r>
            <w:proofErr w:type="spellEnd"/>
            <w:r w:rsidR="004E6CD8">
              <w:t xml:space="preserve"> </w:t>
            </w:r>
            <w:r w:rsidR="009D3556" w:rsidRPr="009D3556">
              <w:t>ar mērķi noteikt un pārņemt pozitīvu pieredzi</w:t>
            </w:r>
            <w:r w:rsidR="004E6CD8">
              <w:t>. S</w:t>
            </w:r>
            <w:r w:rsidR="009D3556" w:rsidRPr="009D3556">
              <w:t>imetriska</w:t>
            </w:r>
            <w:r w:rsidR="004E6CD8">
              <w:t>s</w:t>
            </w:r>
            <w:r w:rsidR="009D3556" w:rsidRPr="009D3556">
              <w:t xml:space="preserve"> valodas prasmju apguve</w:t>
            </w:r>
            <w:r w:rsidR="004E6CD8">
              <w:t xml:space="preserve">s </w:t>
            </w:r>
            <w:proofErr w:type="spellStart"/>
            <w:r w:rsidR="004E6CD8">
              <w:t>proncipi</w:t>
            </w:r>
            <w:proofErr w:type="spellEnd"/>
            <w:r w:rsidR="009D3556" w:rsidRPr="009D3556">
              <w:t xml:space="preserve"> ar daudzveidīgiem mācību līdzekļiem.</w:t>
            </w:r>
            <w:r w:rsidR="004E6CD8">
              <w:t xml:space="preserve"> Valodas kursu ieviesēja</w:t>
            </w:r>
            <w:r w:rsidR="009D3556" w:rsidRPr="009D3556">
              <w:t xml:space="preserve"> darba efektivitāt</w:t>
            </w:r>
            <w:r w:rsidR="004E6CD8">
              <w:t xml:space="preserve">es novērtējuma deskriptori. </w:t>
            </w:r>
            <w:proofErr w:type="spellStart"/>
            <w:r w:rsidR="004E6CD8">
              <w:t>P</w:t>
            </w:r>
            <w:r w:rsidR="009D3556" w:rsidRPr="009D3556">
              <w:t>ašvadīt</w:t>
            </w:r>
            <w:r w:rsidR="004E6CD8">
              <w:t>as</w:t>
            </w:r>
            <w:proofErr w:type="spellEnd"/>
            <w:r w:rsidR="009D3556" w:rsidRPr="009D3556">
              <w:t xml:space="preserve"> tālākizglīt</w:t>
            </w:r>
            <w:r w:rsidR="004E6CD8">
              <w:t xml:space="preserve">ības organizēšana. </w:t>
            </w:r>
            <w:r w:rsidR="004E6CD8" w:rsidRPr="004E6CD8">
              <w:t>L 2 st., S 2 st.</w:t>
            </w:r>
          </w:p>
          <w:p w14:paraId="1C9C8675" w14:textId="09F0419C" w:rsidR="009D3556" w:rsidRPr="009D3556" w:rsidRDefault="004E6CD8" w:rsidP="009D3556">
            <w:r>
              <w:t xml:space="preserve"> </w:t>
            </w:r>
          </w:p>
          <w:permEnd w:id="44596525"/>
          <w:p w14:paraId="36353CC6" w14:textId="403C441D" w:rsidR="00525213" w:rsidRPr="0093308E" w:rsidRDefault="00525213" w:rsidP="007534EA"/>
        </w:tc>
      </w:tr>
      <w:tr w:rsidR="00E13AEA" w:rsidRPr="0093308E" w14:paraId="6B78934C" w14:textId="77777777" w:rsidTr="008E310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8E310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Content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8E3109">
                  <w:tc>
                    <w:tcPr>
                      <w:tcW w:w="9351" w:type="dxa"/>
                    </w:tcPr>
                    <w:p w14:paraId="1E29ED5B" w14:textId="36439381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8E3109">
                  <w:tc>
                    <w:tcPr>
                      <w:tcW w:w="9351" w:type="dxa"/>
                    </w:tcPr>
                    <w:p w14:paraId="1D816CB4" w14:textId="71F2A431" w:rsidR="003039B9" w:rsidRDefault="003039B9" w:rsidP="003039B9">
                      <w:r>
                        <w:t>1. Pārzina</w:t>
                      </w:r>
                      <w:r w:rsidRPr="003039B9">
                        <w:t xml:space="preserve"> neformālās izglītības instrumenta - valodas apguves kursu satura un menedžmenta jaut</w:t>
                      </w:r>
                      <w:r>
                        <w:t>ājumus</w:t>
                      </w:r>
                      <w:r w:rsidRPr="003039B9">
                        <w:t>.</w:t>
                      </w:r>
                    </w:p>
                    <w:p w14:paraId="0933FA07" w14:textId="4EF1B18E" w:rsidR="003039B9" w:rsidRPr="003039B9" w:rsidRDefault="003039B9" w:rsidP="003039B9">
                      <w:r>
                        <w:t xml:space="preserve">2. </w:t>
                      </w:r>
                      <w:r w:rsidR="009A7D8D">
                        <w:t xml:space="preserve">Pārvalda </w:t>
                      </w:r>
                      <w:r w:rsidR="009A7D8D" w:rsidRPr="009A7D8D">
                        <w:t>valodas kursu organizēšanas juridisk</w:t>
                      </w:r>
                      <w:r w:rsidR="009A7D8D">
                        <w:t xml:space="preserve">os, </w:t>
                      </w:r>
                      <w:r w:rsidR="009A7D8D" w:rsidRPr="009A7D8D">
                        <w:t xml:space="preserve">psiholoģiskos </w:t>
                      </w:r>
                      <w:r w:rsidR="009A7D8D">
                        <w:t xml:space="preserve">un publicitātes </w:t>
                      </w:r>
                      <w:r w:rsidR="009A7D8D" w:rsidRPr="009A7D8D">
                        <w:t>aspektus</w:t>
                      </w:r>
                      <w:r w:rsidR="009A7D8D">
                        <w:t>.</w:t>
                      </w:r>
                    </w:p>
                    <w:p w14:paraId="0C0ABCA7" w14:textId="3569D61F" w:rsidR="007D4849" w:rsidRPr="007D4849" w:rsidRDefault="007D4849" w:rsidP="007D4849"/>
                  </w:tc>
                </w:tr>
                <w:tr w:rsidR="007D4849" w:rsidRPr="007D4849" w14:paraId="2A66917A" w14:textId="77777777" w:rsidTr="008E3109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8E3109">
                  <w:tc>
                    <w:tcPr>
                      <w:tcW w:w="9351" w:type="dxa"/>
                    </w:tcPr>
                    <w:p w14:paraId="62DBEB9D" w14:textId="2D865CA7" w:rsidR="007D4849" w:rsidRDefault="009A7D8D" w:rsidP="007D4849">
                      <w:r>
                        <w:t xml:space="preserve">3. </w:t>
                      </w:r>
                      <w:r w:rsidR="0023429B" w:rsidRPr="0023429B">
                        <w:t xml:space="preserve">Izprot valodas kursu satura, mācību līdzekļu izmantojuma un mācību metodisko materiālu izstrādes principus efektīvām </w:t>
                      </w:r>
                      <w:r w:rsidR="009D3556">
                        <w:t xml:space="preserve">un tehnoloģijām bagātinātām </w:t>
                      </w:r>
                      <w:r w:rsidR="0023429B" w:rsidRPr="0023429B">
                        <w:t>valodas kursu nodarbībām.</w:t>
                      </w:r>
                    </w:p>
                    <w:p w14:paraId="169D3E6C" w14:textId="0250C3F6" w:rsidR="009D3556" w:rsidRDefault="009D3556" w:rsidP="007D4849">
                      <w:r>
                        <w:t xml:space="preserve">4. Ir iepazinis un prot izmantot daudzveidīgas valodas pasniegšanas metodes un izglītojamo darba organizēšanas formas klātienes, attālinātai un </w:t>
                      </w:r>
                      <w:proofErr w:type="spellStart"/>
                      <w:r>
                        <w:t>hibrīdformāta</w:t>
                      </w:r>
                      <w:proofErr w:type="spellEnd"/>
                      <w:r>
                        <w:t xml:space="preserve"> izglītībai.</w:t>
                      </w:r>
                    </w:p>
                    <w:p w14:paraId="220687D1" w14:textId="444BA348" w:rsidR="009A7D8D" w:rsidRDefault="009D3556" w:rsidP="007D4849">
                      <w:r>
                        <w:t>5</w:t>
                      </w:r>
                      <w:r w:rsidR="009A7D8D">
                        <w:t>. Prot izstrādāt valodas kursu organizēšanai nepieciešamos mācību metodiskos materiālus, apzināt un izmantot mācību līdzekļus atbilstoši kursu mērķauditorijas vecumposmiem un zināšanu līmeņiem.</w:t>
                      </w:r>
                    </w:p>
                    <w:p w14:paraId="1AD704DC" w14:textId="46ACA3FD" w:rsidR="009A7D8D" w:rsidRPr="007D4849" w:rsidRDefault="009A7D8D" w:rsidP="009A7D8D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8E3109">
                  <w:tc>
                    <w:tcPr>
                      <w:tcW w:w="9351" w:type="dxa"/>
                    </w:tcPr>
                    <w:p w14:paraId="25D3A8F5" w14:textId="7142BBFF" w:rsidR="009A7D8D" w:rsidRDefault="009D3556" w:rsidP="009A7D8D">
                      <w:r>
                        <w:t xml:space="preserve">6. </w:t>
                      </w:r>
                      <w:r w:rsidR="009A7D8D">
                        <w:t xml:space="preserve">Spēj piedalīties </w:t>
                      </w:r>
                      <w:r w:rsidR="009A7D8D" w:rsidRPr="009A7D8D">
                        <w:t xml:space="preserve">valodas kursu programmas izstrādes, licencēšanas un akreditācijas </w:t>
                      </w:r>
                      <w:r w:rsidR="009A7D8D">
                        <w:t>proced</w:t>
                      </w:r>
                      <w:r>
                        <w:t>ūr</w:t>
                      </w:r>
                      <w:r w:rsidR="009A7D8D">
                        <w:t>ās</w:t>
                      </w:r>
                      <w:r w:rsidR="009A7D8D" w:rsidRPr="009A7D8D">
                        <w:t xml:space="preserve"> formālās un neformālās mācību iestādēs</w:t>
                      </w:r>
                      <w:r w:rsidR="009A7D8D">
                        <w:t>.</w:t>
                      </w:r>
                    </w:p>
                    <w:p w14:paraId="6852F217" w14:textId="4A4D21D6" w:rsidR="009A7D8D" w:rsidRDefault="009D3556" w:rsidP="009A7D8D">
                      <w:r>
                        <w:t xml:space="preserve">7. </w:t>
                      </w:r>
                      <w:r w:rsidR="009A7D8D">
                        <w:t>Spēj noteikt izglītojamo zināšanu līmeni, izstrādāt zināšanu novērtēšanas testus, piemērot to vērtēšanas kritērijus.</w:t>
                      </w:r>
                    </w:p>
                    <w:p w14:paraId="2CED813F" w14:textId="3CDC993F" w:rsidR="009D3556" w:rsidRDefault="009D3556" w:rsidP="009A7D8D">
                      <w:r>
                        <w:t>8. Izvērtē valodas kursu apguves programmas ar mērķi noteikt un pārņemt pozitīvu pieredzi, sniegt rekomendācijas simetriskai valodas prasmju apguvei  ar daudzveidīgiem mācību līdzekļiem.</w:t>
                      </w:r>
                    </w:p>
                    <w:p w14:paraId="75EFDA54" w14:textId="1DCC2AB6" w:rsidR="009D3556" w:rsidRPr="009A7D8D" w:rsidRDefault="009D3556" w:rsidP="009A7D8D">
                      <w:r>
                        <w:t xml:space="preserve">9. Spēj noteikt sava darba efektivitāti, organizēt </w:t>
                      </w:r>
                      <w:proofErr w:type="spellStart"/>
                      <w:r>
                        <w:t>pašvadītu</w:t>
                      </w:r>
                      <w:proofErr w:type="spellEnd"/>
                      <w:r>
                        <w:t xml:space="preserve"> tālākizglītību.</w:t>
                      </w:r>
                    </w:p>
                    <w:p w14:paraId="3332B2C5" w14:textId="39553B35" w:rsidR="009A7D8D" w:rsidRPr="007D4849" w:rsidRDefault="009A7D8D" w:rsidP="0023429B">
                      <w:pPr>
                        <w:rPr>
                          <w:highlight w:val="yellow"/>
                        </w:rPr>
                      </w:pPr>
                    </w:p>
                  </w:tc>
                </w:tr>
              </w:tbl>
              <w:p w14:paraId="0B6DE13B" w14:textId="77777777" w:rsidR="007D4849" w:rsidRDefault="00000000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8E310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8E3109">
        <w:tc>
          <w:tcPr>
            <w:tcW w:w="9039" w:type="dxa"/>
            <w:gridSpan w:val="2"/>
          </w:tcPr>
          <w:p w14:paraId="20B70268" w14:textId="2EEFEFE1" w:rsidR="00916D56" w:rsidRPr="001C5466" w:rsidRDefault="008E3109" w:rsidP="00916D56">
            <w:pPr>
              <w:rPr>
                <w:lang w:eastAsia="ru-RU"/>
              </w:rPr>
            </w:pPr>
            <w:permStart w:id="1836219002" w:edGrp="everyone"/>
            <w:r w:rsidRPr="008E3109">
              <w:t xml:space="preserve">Studējošo patstāvīgais darba formas, uzdevumi un materiāli pieejami studiju vidē </w:t>
            </w:r>
            <w:proofErr w:type="spellStart"/>
            <w:r w:rsidRPr="008E3109">
              <w:t>Moodle</w:t>
            </w:r>
            <w:proofErr w:type="spellEnd"/>
          </w:p>
          <w:p w14:paraId="5054DECC" w14:textId="7D61C773" w:rsidR="00E33F4D" w:rsidRPr="0093308E" w:rsidRDefault="008B7213" w:rsidP="007534EA">
            <w:r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8E310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8E3109">
        <w:tc>
          <w:tcPr>
            <w:tcW w:w="9039" w:type="dxa"/>
            <w:gridSpan w:val="2"/>
          </w:tcPr>
          <w:p w14:paraId="670228DA" w14:textId="77777777" w:rsidR="008E3109" w:rsidRPr="008E3109" w:rsidRDefault="008E3109" w:rsidP="008E3109">
            <w:permStart w:id="1677921679" w:edGrp="everyone"/>
            <w:r w:rsidRPr="008E3109">
              <w:t xml:space="preserve">Studiju kursa apguve noslēgumā tiek vērtēta 10 </w:t>
            </w:r>
            <w:proofErr w:type="spellStart"/>
            <w:r w:rsidRPr="008E3109">
              <w:t>ballu</w:t>
            </w:r>
            <w:proofErr w:type="spellEnd"/>
            <w:r w:rsidRPr="008E3109">
              <w:t xml:space="preserve"> skalā saskaņā ar Latvijas Republikas normatīvajiem aktiem un atbilstoši "Nolikumam par studijām Daugavpils Universitātē" (apstiprināts DU Senāta sēdē 17.12.2018., protokols Nr. 15), </w:t>
            </w:r>
          </w:p>
          <w:p w14:paraId="58E61799" w14:textId="77777777" w:rsidR="008E3109" w:rsidRPr="008E3109" w:rsidRDefault="008E3109" w:rsidP="008E3109">
            <w:r w:rsidRPr="008E3109">
              <w:t>vadoties pēc šādiem kritērijiem: iegūto zināšanu apjoms un kvalitāte, iegūtās prasmes un kompetence atbilstoši plānotajiem studiju rezultātiem.</w:t>
            </w:r>
          </w:p>
          <w:p w14:paraId="0E2431B6" w14:textId="77777777" w:rsidR="008E3109" w:rsidRPr="008E3109" w:rsidRDefault="008E3109" w:rsidP="008E3109">
            <w:r w:rsidRPr="008E3109">
              <w:t xml:space="preserve">Atzīme tiek aprēķināta kā vidējā svērtā atzīme par </w:t>
            </w:r>
            <w:proofErr w:type="spellStart"/>
            <w:r w:rsidRPr="008E3109">
              <w:t>starppārbaudījumu</w:t>
            </w:r>
            <w:proofErr w:type="spellEnd"/>
            <w:r w:rsidRPr="008E3109">
              <w:t xml:space="preserve"> rezultātiem.</w:t>
            </w:r>
          </w:p>
          <w:p w14:paraId="1D93C087" w14:textId="77777777" w:rsidR="008E3109" w:rsidRPr="008E3109" w:rsidRDefault="008E3109" w:rsidP="008E3109">
            <w:r w:rsidRPr="008E3109">
              <w:lastRenderedPageBreak/>
              <w:t xml:space="preserve">Gala vērtējums  var tikt saņemts, ja ir izpildīti visi </w:t>
            </w:r>
            <w:proofErr w:type="spellStart"/>
            <w:r w:rsidRPr="008E3109">
              <w:t>starppārbaudījumi</w:t>
            </w:r>
            <w:proofErr w:type="spellEnd"/>
            <w:r w:rsidRPr="008E3109">
              <w:t xml:space="preserve"> un studējošais ir piedalījies ne mazāk kā 70% nodarbībās.</w:t>
            </w:r>
          </w:p>
          <w:p w14:paraId="484DB15E" w14:textId="77777777" w:rsidR="008E3109" w:rsidRPr="008E3109" w:rsidRDefault="008E3109" w:rsidP="008E3109"/>
          <w:p w14:paraId="679A3112" w14:textId="77777777" w:rsidR="008E3109" w:rsidRPr="008E3109" w:rsidRDefault="008E3109" w:rsidP="008E3109">
            <w:r w:rsidRPr="008E3109">
              <w:t xml:space="preserve">STARPPĀRBAUDĪJUMI: </w:t>
            </w:r>
          </w:p>
          <w:p w14:paraId="21597C26" w14:textId="77777777" w:rsidR="008E3109" w:rsidRPr="008E3109" w:rsidRDefault="008E3109" w:rsidP="008E3109">
            <w:r w:rsidRPr="008E3109">
              <w:t xml:space="preserve">1. </w:t>
            </w:r>
            <w:proofErr w:type="spellStart"/>
            <w:r w:rsidRPr="008E3109">
              <w:t>starppārbaudījums</w:t>
            </w:r>
            <w:proofErr w:type="spellEnd"/>
            <w:r w:rsidRPr="008E3109">
              <w:t xml:space="preserve"> – 25 %. </w:t>
            </w:r>
          </w:p>
          <w:p w14:paraId="00FC73E8" w14:textId="77777777" w:rsidR="008E3109" w:rsidRPr="008E3109" w:rsidRDefault="008E3109" w:rsidP="008E3109">
            <w:r w:rsidRPr="008E3109">
              <w:t xml:space="preserve">2. </w:t>
            </w:r>
            <w:proofErr w:type="spellStart"/>
            <w:r w:rsidRPr="008E3109">
              <w:t>starppārbaudījums</w:t>
            </w:r>
            <w:proofErr w:type="spellEnd"/>
            <w:r w:rsidRPr="008E3109">
              <w:t xml:space="preserve"> – 25 %.</w:t>
            </w:r>
          </w:p>
          <w:p w14:paraId="6FF7444D" w14:textId="77777777" w:rsidR="008E3109" w:rsidRPr="008E3109" w:rsidRDefault="008E3109" w:rsidP="008E3109">
            <w:r w:rsidRPr="008E3109">
              <w:t xml:space="preserve">3. </w:t>
            </w:r>
            <w:proofErr w:type="spellStart"/>
            <w:r w:rsidRPr="008E3109">
              <w:t>starppārbaudījums</w:t>
            </w:r>
            <w:proofErr w:type="spellEnd"/>
            <w:r w:rsidRPr="008E3109">
              <w:t xml:space="preserve"> - 25 %.</w:t>
            </w:r>
          </w:p>
          <w:p w14:paraId="7C042093" w14:textId="77777777" w:rsidR="008E3109" w:rsidRPr="008E3109" w:rsidRDefault="008E3109" w:rsidP="008E3109">
            <w:r w:rsidRPr="008E3109">
              <w:t xml:space="preserve">4. </w:t>
            </w:r>
            <w:proofErr w:type="spellStart"/>
            <w:r w:rsidRPr="008E3109">
              <w:t>starppārbaudījums</w:t>
            </w:r>
            <w:proofErr w:type="spellEnd"/>
            <w:r w:rsidRPr="008E3109">
              <w:t xml:space="preserve"> - 25 %.</w:t>
            </w:r>
          </w:p>
          <w:p w14:paraId="4562B4A4" w14:textId="77777777" w:rsidR="008E3109" w:rsidRPr="008E3109" w:rsidRDefault="008E3109" w:rsidP="008E3109">
            <w:proofErr w:type="spellStart"/>
            <w:r w:rsidRPr="008E3109">
              <w:t>Starppārbaudījumu</w:t>
            </w:r>
            <w:proofErr w:type="spellEnd"/>
            <w:r w:rsidRPr="008E3109">
              <w:t xml:space="preserve"> uzdevumi un vērtēšanas kritēriji - studiju vidē </w:t>
            </w:r>
            <w:proofErr w:type="spellStart"/>
            <w:r w:rsidRPr="008E3109">
              <w:t>Moodle</w:t>
            </w:r>
            <w:proofErr w:type="spellEnd"/>
            <w:r w:rsidRPr="008E3109">
              <w:t>.</w:t>
            </w:r>
          </w:p>
          <w:p w14:paraId="02A8EA9E" w14:textId="77777777" w:rsidR="008E3109" w:rsidRDefault="008E3109" w:rsidP="003F3E33"/>
          <w:p w14:paraId="4529D901" w14:textId="4A8C47BD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6E1AA5" w:rsidRPr="003F3E33" w:rsidRDefault="006E1AA5" w:rsidP="003F3E33">
                  <w:r w:rsidRPr="003F3E33"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30A131A9" w14:textId="1F521FBD" w:rsidR="006E1AA5" w:rsidRPr="003F3E33" w:rsidRDefault="009D3556" w:rsidP="006E1AA5">
                  <w:r>
                    <w:t>9.</w:t>
                  </w:r>
                </w:p>
              </w:tc>
            </w:tr>
            <w:tr w:rsidR="006E1AA5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60328689" w:rsidR="006E1AA5" w:rsidRPr="003F3E33" w:rsidRDefault="006E1AA5" w:rsidP="00916D56">
                  <w:r w:rsidRPr="003F3E33">
                    <w:t xml:space="preserve">1. </w:t>
                  </w:r>
                  <w:proofErr w:type="spellStart"/>
                  <w:r w:rsidR="008E3109">
                    <w:t>starppārbaudījums</w:t>
                  </w:r>
                  <w:proofErr w:type="spellEnd"/>
                  <w:r w:rsidR="008E3109">
                    <w:t>.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4039A5BA" w:rsidR="006E1AA5" w:rsidRPr="003F3E33" w:rsidRDefault="008E3109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739C225D" w:rsidR="006E1AA5" w:rsidRPr="003F3E33" w:rsidRDefault="008E3109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CBCA7DA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26F9D9A" w:rsidR="006E1AA5" w:rsidRPr="003F3E33" w:rsidRDefault="006E1AA5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7EFDDE5B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77777777" w:rsidR="006E1AA5" w:rsidRPr="003F3E33" w:rsidRDefault="006E1AA5" w:rsidP="003F3E33"/>
              </w:tc>
            </w:tr>
            <w:tr w:rsidR="006E1AA5" w:rsidRPr="003F3E33" w14:paraId="6641E555" w14:textId="6F87ADDC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017DDAEF" w:rsidR="006E1AA5" w:rsidRPr="003F3E33" w:rsidRDefault="006E1AA5" w:rsidP="00916D56">
                  <w:r w:rsidRPr="003F3E33">
                    <w:t xml:space="preserve">2. </w:t>
                  </w:r>
                  <w:proofErr w:type="spellStart"/>
                  <w:r w:rsidR="008E3109">
                    <w:t>starppārbaudījums</w:t>
                  </w:r>
                  <w:proofErr w:type="spellEnd"/>
                  <w:r w:rsidR="008E3109">
                    <w:t>.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6E1AA5" w:rsidRPr="003F3E33" w:rsidRDefault="006E1AA5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0B1A4EC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77777777" w:rsidR="006E1AA5" w:rsidRPr="003F3E33" w:rsidRDefault="006E1AA5" w:rsidP="006E1AA5"/>
              </w:tc>
            </w:tr>
            <w:tr w:rsidR="006E1AA5" w:rsidRPr="003F3E33" w14:paraId="00EF2DBF" w14:textId="4B88F9A3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305FB7FF" w:rsidR="006E1AA5" w:rsidRPr="003F3E33" w:rsidRDefault="006E1AA5" w:rsidP="00916D56">
                  <w:r w:rsidRPr="003F3E33">
                    <w:t xml:space="preserve">3. </w:t>
                  </w:r>
                  <w:proofErr w:type="spellStart"/>
                  <w:r w:rsidR="008E3109">
                    <w:t>starppārbaudījums</w:t>
                  </w:r>
                  <w:proofErr w:type="spellEnd"/>
                  <w:r w:rsidR="008E3109">
                    <w:t>.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0DDBAC7" w14:textId="77777777" w:rsidR="006E1AA5" w:rsidRPr="003F3E33" w:rsidRDefault="006E1AA5" w:rsidP="006E1AA5"/>
              </w:tc>
            </w:tr>
            <w:tr w:rsidR="008E3109" w:rsidRPr="003F3E33" w14:paraId="29271D84" w14:textId="77777777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5C2B471" w14:textId="2681E4F5" w:rsidR="008E3109" w:rsidRPr="003F3E33" w:rsidRDefault="008E3109" w:rsidP="00916D56">
                  <w:r>
                    <w:t xml:space="preserve">4. </w:t>
                  </w:r>
                  <w:proofErr w:type="spellStart"/>
                  <w:r>
                    <w:t>starppārbaudījums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9913368" w14:textId="77777777" w:rsidR="008E3109" w:rsidRPr="003F3E33" w:rsidRDefault="008E3109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26E0D40" w14:textId="77777777" w:rsidR="008E3109" w:rsidRPr="003F3E33" w:rsidRDefault="008E3109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2FF1C61" w14:textId="77777777" w:rsidR="008E3109" w:rsidRPr="003F3E33" w:rsidRDefault="008E3109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FF07DB1" w14:textId="77777777" w:rsidR="008E3109" w:rsidRPr="003F3E33" w:rsidRDefault="008E3109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812E1F1" w14:textId="6B8BC3D3" w:rsidR="008E3109" w:rsidRPr="003F3E33" w:rsidRDefault="008E310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772B0F1" w14:textId="77777777" w:rsidR="008E3109" w:rsidRPr="003F3E33" w:rsidRDefault="008E3109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5FAF7F3" w14:textId="77777777" w:rsidR="008E3109" w:rsidRPr="003F3E33" w:rsidRDefault="008E3109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806FC6A" w14:textId="3D69037B" w:rsidR="008E3109" w:rsidRPr="003F3E33" w:rsidRDefault="008E3109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3F0E783A" w14:textId="74CA5246" w:rsidR="008E3109" w:rsidRPr="003F3E33" w:rsidRDefault="008E3109" w:rsidP="006E1AA5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8E310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8E3109">
        <w:tc>
          <w:tcPr>
            <w:tcW w:w="9039" w:type="dxa"/>
            <w:gridSpan w:val="2"/>
          </w:tcPr>
          <w:p w14:paraId="304FE473" w14:textId="3867A000" w:rsidR="008E3109" w:rsidRPr="008E3109" w:rsidRDefault="00F24CB8" w:rsidP="008E3109">
            <w:permStart w:id="370084287" w:edGrp="everyone"/>
            <w:r>
              <w:t xml:space="preserve"> </w:t>
            </w:r>
            <w:r w:rsidR="008E3109">
              <w:t xml:space="preserve">1. </w:t>
            </w:r>
            <w:r w:rsidR="008E3109" w:rsidRPr="008E3109">
              <w:t xml:space="preserve">Valodas kursu organizēšanas juridiskie, psiholoģiskie un publicitātes aspekti. Projektu pieteikumu izstrāde un iepirkuma dokumentācijas sagatavošana valodas kursu organizēšanai. </w:t>
            </w:r>
          </w:p>
          <w:p w14:paraId="721E857D" w14:textId="77777777" w:rsidR="008E3109" w:rsidRPr="008E3109" w:rsidRDefault="008E3109" w:rsidP="008E3109">
            <w:r w:rsidRPr="008E3109">
              <w:t>2. Valodas kursu satura, mācību līdzekļu izmantojuma un mācību metodisko materiālu izstrādes principi efektīvām un tehnoloģijām bagātinātām valodas kursu nodarbībām.</w:t>
            </w:r>
          </w:p>
          <w:p w14:paraId="17F41322" w14:textId="23995448" w:rsidR="008E3109" w:rsidRPr="008E3109" w:rsidRDefault="008E3109" w:rsidP="008E3109">
            <w:proofErr w:type="spellStart"/>
            <w:r>
              <w:t>Starppārbaudījums</w:t>
            </w:r>
            <w:proofErr w:type="spellEnd"/>
            <w:r>
              <w:t>.</w:t>
            </w:r>
          </w:p>
          <w:p w14:paraId="098EC99C" w14:textId="5A8361E6" w:rsidR="008E3109" w:rsidRDefault="008E3109" w:rsidP="008E3109">
            <w:r w:rsidRPr="008E3109">
              <w:t xml:space="preserve">3. Daudzveidīgas valodas pasniegšanas metodes un izglītojamo darba organizēšanas formas klātienes, attālinātai un </w:t>
            </w:r>
            <w:proofErr w:type="spellStart"/>
            <w:r w:rsidRPr="008E3109">
              <w:t>hibrīdformāta</w:t>
            </w:r>
            <w:proofErr w:type="spellEnd"/>
            <w:r w:rsidRPr="008E3109">
              <w:t xml:space="preserve"> izglītībai. </w:t>
            </w:r>
          </w:p>
          <w:p w14:paraId="7D4F8D7E" w14:textId="12125E65" w:rsidR="008E3109" w:rsidRPr="008E3109" w:rsidRDefault="008E3109" w:rsidP="008E3109">
            <w:proofErr w:type="spellStart"/>
            <w:r>
              <w:t>Starppārbaudījums</w:t>
            </w:r>
            <w:proofErr w:type="spellEnd"/>
            <w:r>
              <w:t>.</w:t>
            </w:r>
          </w:p>
          <w:p w14:paraId="45D9195F" w14:textId="77777777" w:rsidR="008E3109" w:rsidRPr="008E3109" w:rsidRDefault="008E3109" w:rsidP="008E3109">
            <w:r w:rsidRPr="008E3109">
              <w:t>4. Valodas kursu organizēšanai nepieciešamo mācību metodiskos materiālu apzināšana un izmantošana.</w:t>
            </w:r>
          </w:p>
          <w:p w14:paraId="34AF3817" w14:textId="6494EAC8" w:rsidR="008E3109" w:rsidRPr="008E3109" w:rsidRDefault="008E3109" w:rsidP="008E3109">
            <w:r w:rsidRPr="008E3109">
              <w:t xml:space="preserve">5. Mācību līdzekļu un digitālo resursu piemērošana atbilstoši kursu mērķauditorijas vecumposmiem un zināšanu līmeņiem. </w:t>
            </w:r>
            <w:r w:rsidR="004034DB">
              <w:t>Digitālo resursu izmantojums valodas apguves procesā.</w:t>
            </w:r>
          </w:p>
          <w:p w14:paraId="41079762" w14:textId="10D02E8F" w:rsidR="008E3109" w:rsidRPr="008E3109" w:rsidRDefault="008E3109" w:rsidP="008E3109">
            <w:proofErr w:type="spellStart"/>
            <w:r>
              <w:t>Starppārbaudījums</w:t>
            </w:r>
            <w:proofErr w:type="spellEnd"/>
            <w:r>
              <w:t>.</w:t>
            </w:r>
          </w:p>
          <w:p w14:paraId="5B4759F3" w14:textId="27C75EDA" w:rsidR="008E3109" w:rsidRPr="008E3109" w:rsidRDefault="008E3109" w:rsidP="008E3109">
            <w:r w:rsidRPr="008E3109">
              <w:t xml:space="preserve">6. Spēj noteikt izglītojamo zināšanu līmeni, izstrādāt zināšanu novērtēšanas testus, piemērot to vērtēšanas kritērijus. </w:t>
            </w:r>
          </w:p>
          <w:p w14:paraId="5B52A6D4" w14:textId="635601DE" w:rsidR="008E3109" w:rsidRDefault="008E3109" w:rsidP="008E3109">
            <w:r w:rsidRPr="008E3109">
              <w:t xml:space="preserve">7. Spēj piedalīties valodas kursu programmas izstrādes, licencēšanas un akreditācijas procedūrās formālās un neformālās mācību iestādēs. </w:t>
            </w:r>
          </w:p>
          <w:p w14:paraId="75928D05" w14:textId="039AAF97" w:rsidR="008E3109" w:rsidRPr="008E3109" w:rsidRDefault="008E3109" w:rsidP="008E3109">
            <w:proofErr w:type="spellStart"/>
            <w:r>
              <w:t>Starppārbaudījums</w:t>
            </w:r>
            <w:proofErr w:type="spellEnd"/>
            <w:r>
              <w:t>.</w:t>
            </w:r>
          </w:p>
          <w:p w14:paraId="56440ACE" w14:textId="0CD6EDE8" w:rsidR="003F3E33" w:rsidRPr="003F3E33" w:rsidRDefault="008E3109" w:rsidP="008E3109">
            <w:pPr>
              <w:rPr>
                <w:lang w:val="en-US" w:eastAsia="ru-RU"/>
              </w:rPr>
            </w:pPr>
            <w:r w:rsidRPr="008E3109">
              <w:t xml:space="preserve">8. Dažāda apjoma valodas kursu apguves programmas </w:t>
            </w:r>
            <w:proofErr w:type="spellStart"/>
            <w:r w:rsidRPr="008E3109">
              <w:t>izvērtējums</w:t>
            </w:r>
            <w:proofErr w:type="spellEnd"/>
            <w:r w:rsidRPr="008E3109">
              <w:t xml:space="preserve"> ar mērķi noteikt un pārņemt pozitīvu pieredzi. Simetriskas valodas prasmju apguves </w:t>
            </w:r>
            <w:proofErr w:type="spellStart"/>
            <w:r w:rsidRPr="008E3109">
              <w:t>proncipi</w:t>
            </w:r>
            <w:proofErr w:type="spellEnd"/>
            <w:r w:rsidRPr="008E3109">
              <w:t xml:space="preserve"> ar daudzveidīgiem mācību līdzekļiem. Valodas kursu ieviesēja darba efektivitātes novērtējuma deskriptori. </w:t>
            </w:r>
            <w:proofErr w:type="spellStart"/>
            <w:r w:rsidRPr="008E3109">
              <w:t>Pašvadītas</w:t>
            </w:r>
            <w:proofErr w:type="spellEnd"/>
            <w:r w:rsidRPr="008E3109">
              <w:t xml:space="preserve"> tālākizglītības organizēšana.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8E310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8E3109">
        <w:tc>
          <w:tcPr>
            <w:tcW w:w="9039" w:type="dxa"/>
            <w:gridSpan w:val="2"/>
          </w:tcPr>
          <w:p w14:paraId="2B9581C8" w14:textId="03CCEBA0" w:rsidR="00ED5B09" w:rsidRDefault="004034DB" w:rsidP="00ED5B09">
            <w:permStart w:id="580019727" w:edGrp="everyone"/>
            <w:r w:rsidRPr="004034DB">
              <w:t>Profesionālās izglītības un pieaugušo neformālās izglītības programmu izstrādes un noformēšanas kārtība</w:t>
            </w:r>
            <w:r>
              <w:t>.</w:t>
            </w:r>
          </w:p>
          <w:p w14:paraId="56802643" w14:textId="77777777" w:rsidR="004034DB" w:rsidRDefault="00000000" w:rsidP="004034DB">
            <w:hyperlink r:id="rId8" w:history="1">
              <w:r w:rsidR="004034DB" w:rsidRPr="009F23D1">
                <w:rPr>
                  <w:rStyle w:val="Hyperlink"/>
                </w:rPr>
                <w:t>https://www.visc.gov.lv/lv/media/2188/download</w:t>
              </w:r>
            </w:hyperlink>
          </w:p>
          <w:p w14:paraId="07132CAF" w14:textId="1D6ABA04" w:rsidR="004034DB" w:rsidRDefault="004034DB" w:rsidP="004034DB">
            <w:r w:rsidRPr="004034DB">
              <w:t>Pieaugušo izglītības īstenotājiem</w:t>
            </w:r>
            <w:r>
              <w:t>.</w:t>
            </w:r>
          </w:p>
          <w:p w14:paraId="226EED18" w14:textId="5B9CF4FC" w:rsidR="004034DB" w:rsidRDefault="00000000" w:rsidP="004034DB">
            <w:hyperlink r:id="rId9" w:history="1">
              <w:r w:rsidR="004034DB" w:rsidRPr="009F23D1">
                <w:rPr>
                  <w:rStyle w:val="Hyperlink"/>
                </w:rPr>
                <w:t>https://www.izm.gov.lv/lv/pieauguso-izglitibas-istenotajiem</w:t>
              </w:r>
            </w:hyperlink>
          </w:p>
          <w:p w14:paraId="1A00FCF5" w14:textId="78E2E24E" w:rsidR="004034DB" w:rsidRDefault="004034DB" w:rsidP="004034DB">
            <w:proofErr w:type="spellStart"/>
            <w:r w:rsidRPr="004034DB">
              <w:t>Adult</w:t>
            </w:r>
            <w:proofErr w:type="spellEnd"/>
            <w:r w:rsidRPr="004034DB">
              <w:t xml:space="preserve"> </w:t>
            </w:r>
            <w:proofErr w:type="spellStart"/>
            <w:r w:rsidRPr="004034DB">
              <w:t>English</w:t>
            </w:r>
            <w:proofErr w:type="spellEnd"/>
            <w:r w:rsidRPr="004034DB">
              <w:t xml:space="preserve"> </w:t>
            </w:r>
            <w:proofErr w:type="spellStart"/>
            <w:r w:rsidRPr="004034DB">
              <w:t>Language</w:t>
            </w:r>
            <w:proofErr w:type="spellEnd"/>
            <w:r w:rsidRPr="004034DB">
              <w:t xml:space="preserve"> </w:t>
            </w:r>
            <w:proofErr w:type="spellStart"/>
            <w:r w:rsidRPr="004034DB">
              <w:t>Teaching</w:t>
            </w:r>
            <w:proofErr w:type="spellEnd"/>
            <w:r w:rsidRPr="004034DB">
              <w:t xml:space="preserve">: </w:t>
            </w:r>
            <w:proofErr w:type="spellStart"/>
            <w:r w:rsidRPr="004034DB">
              <w:t>Transformation</w:t>
            </w:r>
            <w:proofErr w:type="spellEnd"/>
            <w:r w:rsidRPr="004034DB">
              <w:t xml:space="preserve"> </w:t>
            </w:r>
            <w:proofErr w:type="spellStart"/>
            <w:r w:rsidRPr="004034DB">
              <w:t>through</w:t>
            </w:r>
            <w:proofErr w:type="spellEnd"/>
            <w:r w:rsidRPr="004034DB">
              <w:t xml:space="preserve"> </w:t>
            </w:r>
            <w:proofErr w:type="spellStart"/>
            <w:r w:rsidRPr="004034DB">
              <w:t>Lifelong</w:t>
            </w:r>
            <w:proofErr w:type="spellEnd"/>
            <w:r w:rsidRPr="004034DB">
              <w:t xml:space="preserve"> </w:t>
            </w:r>
            <w:proofErr w:type="spellStart"/>
            <w:r w:rsidRPr="004034DB">
              <w:t>Learning</w:t>
            </w:r>
            <w:proofErr w:type="spellEnd"/>
            <w:r w:rsidR="002C6ECF">
              <w:t xml:space="preserve">. [Eds. </w:t>
            </w:r>
            <w:proofErr w:type="spellStart"/>
            <w:r w:rsidRPr="004034DB">
              <w:t>Valentina</w:t>
            </w:r>
            <w:proofErr w:type="spellEnd"/>
            <w:r w:rsidRPr="004034DB">
              <w:t xml:space="preserve"> </w:t>
            </w:r>
            <w:proofErr w:type="spellStart"/>
            <w:r w:rsidRPr="004034DB">
              <w:t>Kononova</w:t>
            </w:r>
            <w:proofErr w:type="spellEnd"/>
            <w:r w:rsidRPr="004034DB">
              <w:t xml:space="preserve">, </w:t>
            </w:r>
            <w:proofErr w:type="spellStart"/>
            <w:r w:rsidRPr="004034DB">
              <w:t>Natasha</w:t>
            </w:r>
            <w:proofErr w:type="spellEnd"/>
            <w:r w:rsidRPr="004034DB">
              <w:t xml:space="preserve"> </w:t>
            </w:r>
            <w:proofErr w:type="spellStart"/>
            <w:r w:rsidRPr="004034DB">
              <w:t>Kersh</w:t>
            </w:r>
            <w:proofErr w:type="spellEnd"/>
            <w:r w:rsidRPr="004034DB">
              <w:t xml:space="preserve">, </w:t>
            </w:r>
            <w:proofErr w:type="spellStart"/>
            <w:r w:rsidRPr="004034DB">
              <w:t>Tatiana</w:t>
            </w:r>
            <w:proofErr w:type="spellEnd"/>
            <w:r w:rsidRPr="004034DB">
              <w:t xml:space="preserve"> </w:t>
            </w:r>
            <w:proofErr w:type="spellStart"/>
            <w:r w:rsidRPr="004034DB">
              <w:t>Dobrydina</w:t>
            </w:r>
            <w:proofErr w:type="spellEnd"/>
            <w:r w:rsidR="002C6ECF">
              <w:t xml:space="preserve">]. </w:t>
            </w:r>
            <w:proofErr w:type="spellStart"/>
            <w:r w:rsidR="002C6ECF">
              <w:t>Springer</w:t>
            </w:r>
            <w:proofErr w:type="spellEnd"/>
            <w:r w:rsidR="002C6ECF">
              <w:t>, 2022.</w:t>
            </w:r>
          </w:p>
          <w:p w14:paraId="1F7701DB" w14:textId="77777777" w:rsidR="002C6ECF" w:rsidRDefault="002C6ECF" w:rsidP="002C6ECF">
            <w:proofErr w:type="spellStart"/>
            <w:r>
              <w:t>Kovačevic</w:t>
            </w:r>
            <w:proofErr w:type="spellEnd"/>
            <w:r>
              <w:t xml:space="preserve">, Ervin. </w:t>
            </w:r>
            <w:proofErr w:type="spellStart"/>
            <w:r>
              <w:t>Teaching</w:t>
            </w:r>
            <w:proofErr w:type="spellEnd"/>
            <w:r>
              <w:t xml:space="preserve"> </w:t>
            </w:r>
            <w:proofErr w:type="spellStart"/>
            <w:r>
              <w:t>Adult</w:t>
            </w:r>
            <w:proofErr w:type="spellEnd"/>
            <w:r>
              <w:t xml:space="preserve">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 </w:t>
            </w:r>
            <w:proofErr w:type="spellStart"/>
            <w:r>
              <w:t>learners</w:t>
            </w:r>
            <w:proofErr w:type="spellEnd"/>
            <w:r>
              <w:t xml:space="preserve">: A </w:t>
            </w:r>
            <w:proofErr w:type="spellStart"/>
            <w:r>
              <w:t>Practical</w:t>
            </w:r>
            <w:proofErr w:type="spellEnd"/>
            <w:r>
              <w:t xml:space="preserve"> </w:t>
            </w:r>
            <w:proofErr w:type="spellStart"/>
            <w:r>
              <w:t>Introduction</w:t>
            </w:r>
            <w:proofErr w:type="spellEnd"/>
            <w:r>
              <w:t xml:space="preserve">. </w:t>
            </w:r>
            <w:proofErr w:type="spellStart"/>
            <w:r>
              <w:t>Cambridge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Press</w:t>
            </w:r>
            <w:proofErr w:type="spellEnd"/>
            <w:r>
              <w:t xml:space="preserve">, 2019. </w:t>
            </w:r>
          </w:p>
          <w:p w14:paraId="7A6BCB14" w14:textId="77777777" w:rsidR="00EC72B1" w:rsidRDefault="002C6ECF" w:rsidP="00EC72B1">
            <w:proofErr w:type="spellStart"/>
            <w:r>
              <w:t>Brockett</w:t>
            </w:r>
            <w:proofErr w:type="spellEnd"/>
            <w:r>
              <w:t xml:space="preserve">, Ralf G. </w:t>
            </w:r>
            <w:proofErr w:type="spellStart"/>
            <w:r w:rsidRPr="002C6ECF">
              <w:t>Teaching</w:t>
            </w:r>
            <w:proofErr w:type="spellEnd"/>
            <w:r w:rsidRPr="002C6ECF">
              <w:t xml:space="preserve"> </w:t>
            </w:r>
            <w:proofErr w:type="spellStart"/>
            <w:r w:rsidRPr="002C6ECF">
              <w:t>Adults</w:t>
            </w:r>
            <w:proofErr w:type="spellEnd"/>
            <w:r w:rsidRPr="002C6ECF">
              <w:t xml:space="preserve">: A </w:t>
            </w:r>
            <w:proofErr w:type="spellStart"/>
            <w:r w:rsidRPr="002C6ECF">
              <w:t>Practical</w:t>
            </w:r>
            <w:proofErr w:type="spellEnd"/>
            <w:r w:rsidRPr="002C6ECF">
              <w:t xml:space="preserve"> </w:t>
            </w:r>
            <w:proofErr w:type="spellStart"/>
            <w:r w:rsidRPr="002C6ECF">
              <w:t>Guide</w:t>
            </w:r>
            <w:proofErr w:type="spellEnd"/>
            <w:r w:rsidRPr="002C6ECF">
              <w:t xml:space="preserve"> </w:t>
            </w:r>
            <w:proofErr w:type="spellStart"/>
            <w:r w:rsidRPr="002C6ECF">
              <w:t>for</w:t>
            </w:r>
            <w:proofErr w:type="spellEnd"/>
            <w:r w:rsidRPr="002C6ECF">
              <w:t xml:space="preserve"> </w:t>
            </w:r>
            <w:proofErr w:type="spellStart"/>
            <w:r w:rsidRPr="002C6ECF">
              <w:t>New</w:t>
            </w:r>
            <w:proofErr w:type="spellEnd"/>
            <w:r w:rsidRPr="002C6ECF">
              <w:t xml:space="preserve"> </w:t>
            </w:r>
            <w:proofErr w:type="spellStart"/>
            <w:r w:rsidRPr="002C6ECF">
              <w:t>Teachers</w:t>
            </w:r>
            <w:proofErr w:type="spellEnd"/>
            <w:r>
              <w:t xml:space="preserve">. A </w:t>
            </w:r>
            <w:proofErr w:type="spellStart"/>
            <w:r>
              <w:t>Practical</w:t>
            </w:r>
            <w:proofErr w:type="spellEnd"/>
            <w:r>
              <w:t xml:space="preserve"> </w:t>
            </w:r>
            <w:proofErr w:type="spellStart"/>
            <w:r>
              <w:t>Guide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>
              <w:t>teachers</w:t>
            </w:r>
            <w:proofErr w:type="spellEnd"/>
            <w:r>
              <w:t>. 2015.</w:t>
            </w:r>
          </w:p>
          <w:p w14:paraId="30F1C268" w14:textId="45E60B6F" w:rsidR="002C6ECF" w:rsidRDefault="00EC72B1" w:rsidP="004034DB">
            <w:proofErr w:type="spellStart"/>
            <w:r>
              <w:t>Elliot</w:t>
            </w:r>
            <w:proofErr w:type="spellEnd"/>
            <w:r w:rsidRPr="00EC72B1">
              <w:t xml:space="preserve">, </w:t>
            </w:r>
            <w:proofErr w:type="spellStart"/>
            <w:r w:rsidRPr="00EC72B1">
              <w:rPr>
                <w:lang w:eastAsia="lv-LV"/>
              </w:rPr>
              <w:t>Jacky</w:t>
            </w:r>
            <w:proofErr w:type="spellEnd"/>
            <w:r w:rsidRPr="00EC72B1">
              <w:t>. E-</w:t>
            </w:r>
            <w:proofErr w:type="spellStart"/>
            <w:r w:rsidRPr="00EC72B1">
              <w:t>learning</w:t>
            </w:r>
            <w:proofErr w:type="spellEnd"/>
            <w:r w:rsidRPr="00EC72B1">
              <w:t xml:space="preserve"> </w:t>
            </w:r>
            <w:proofErr w:type="spellStart"/>
            <w:r w:rsidRPr="00EC72B1">
              <w:t>and</w:t>
            </w:r>
            <w:proofErr w:type="spellEnd"/>
            <w:r w:rsidRPr="00EC72B1">
              <w:t xml:space="preserve"> </w:t>
            </w:r>
            <w:proofErr w:type="spellStart"/>
            <w:r w:rsidRPr="00EC72B1">
              <w:t>Modern</w:t>
            </w:r>
            <w:proofErr w:type="spellEnd"/>
            <w:r w:rsidRPr="00EC72B1">
              <w:t xml:space="preserve"> </w:t>
            </w:r>
            <w:proofErr w:type="spellStart"/>
            <w:r w:rsidRPr="00EC72B1">
              <w:t>Foreign</w:t>
            </w:r>
            <w:proofErr w:type="spellEnd"/>
            <w:r w:rsidRPr="00EC72B1">
              <w:t xml:space="preserve"> </w:t>
            </w:r>
            <w:proofErr w:type="spellStart"/>
            <w:r w:rsidRPr="00EC72B1">
              <w:t>Language</w:t>
            </w:r>
            <w:proofErr w:type="spellEnd"/>
            <w:r w:rsidRPr="00EC72B1">
              <w:t xml:space="preserve"> </w:t>
            </w:r>
            <w:proofErr w:type="spellStart"/>
            <w:r w:rsidRPr="00EC72B1">
              <w:t>Teaching</w:t>
            </w:r>
            <w:proofErr w:type="spellEnd"/>
            <w:r w:rsidRPr="00EC72B1">
              <w:t xml:space="preserve">. </w:t>
            </w:r>
            <w:r w:rsidRPr="00EC72B1">
              <w:rPr>
                <w:lang w:eastAsia="lv-LV"/>
              </w:rPr>
              <w:t xml:space="preserve">National </w:t>
            </w:r>
            <w:proofErr w:type="spellStart"/>
            <w:r w:rsidRPr="00EC72B1">
              <w:rPr>
                <w:lang w:eastAsia="lv-LV"/>
              </w:rPr>
              <w:t>Institute</w:t>
            </w:r>
            <w:proofErr w:type="spellEnd"/>
            <w:r w:rsidRPr="00EC72B1">
              <w:rPr>
                <w:lang w:eastAsia="lv-LV"/>
              </w:rPr>
              <w:t xml:space="preserve"> </w:t>
            </w:r>
            <w:proofErr w:type="spellStart"/>
            <w:r w:rsidRPr="00EC72B1">
              <w:rPr>
                <w:lang w:eastAsia="lv-LV"/>
              </w:rPr>
              <w:t>of</w:t>
            </w:r>
            <w:proofErr w:type="spellEnd"/>
            <w:r w:rsidRPr="00EC72B1">
              <w:rPr>
                <w:lang w:eastAsia="lv-LV"/>
              </w:rPr>
              <w:t xml:space="preserve"> </w:t>
            </w:r>
            <w:proofErr w:type="spellStart"/>
            <w:r w:rsidRPr="00EC72B1">
              <w:rPr>
                <w:lang w:eastAsia="lv-LV"/>
              </w:rPr>
              <w:t>Adult</w:t>
            </w:r>
            <w:proofErr w:type="spellEnd"/>
            <w:r w:rsidRPr="00EC72B1">
              <w:rPr>
                <w:lang w:eastAsia="lv-LV"/>
              </w:rPr>
              <w:t xml:space="preserve"> </w:t>
            </w:r>
            <w:proofErr w:type="spellStart"/>
            <w:r w:rsidRPr="00EC72B1">
              <w:rPr>
                <w:lang w:eastAsia="lv-LV"/>
              </w:rPr>
              <w:t>Continuing</w:t>
            </w:r>
            <w:proofErr w:type="spellEnd"/>
            <w:r w:rsidRPr="00EC72B1">
              <w:rPr>
                <w:lang w:eastAsia="lv-LV"/>
              </w:rPr>
              <w:t xml:space="preserve"> </w:t>
            </w:r>
            <w:proofErr w:type="spellStart"/>
            <w:r w:rsidRPr="00EC72B1">
              <w:rPr>
                <w:lang w:eastAsia="lv-LV"/>
              </w:rPr>
              <w:t>Education</w:t>
            </w:r>
            <w:proofErr w:type="spellEnd"/>
            <w:r w:rsidRPr="00EC72B1">
              <w:rPr>
                <w:lang w:eastAsia="lv-LV"/>
              </w:rPr>
              <w:t>, 2006</w:t>
            </w:r>
            <w:r>
              <w:t>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8E310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8E3109">
        <w:tc>
          <w:tcPr>
            <w:tcW w:w="9039" w:type="dxa"/>
            <w:gridSpan w:val="2"/>
          </w:tcPr>
          <w:p w14:paraId="59A0D195" w14:textId="77777777" w:rsidR="00C47297" w:rsidRPr="00C47297" w:rsidRDefault="00C47297" w:rsidP="00C47297">
            <w:permStart w:id="1596548908" w:edGrp="everyone"/>
            <w:r w:rsidRPr="00C47297">
              <w:t xml:space="preserve">Māci un mācies latviešu valodu. </w:t>
            </w:r>
          </w:p>
          <w:p w14:paraId="099525C3" w14:textId="3936E005" w:rsidR="00C47297" w:rsidRPr="00C47297" w:rsidRDefault="00000000" w:rsidP="00C47297">
            <w:hyperlink r:id="rId10" w:history="1">
              <w:r w:rsidR="00EC72B1" w:rsidRPr="009F23D1">
                <w:rPr>
                  <w:rStyle w:val="Hyperlink"/>
                </w:rPr>
                <w:t>https://maciunmacies.valoda.lv/</w:t>
              </w:r>
            </w:hyperlink>
          </w:p>
          <w:p w14:paraId="39D65B25" w14:textId="77777777" w:rsidR="00C47297" w:rsidRPr="00C47297" w:rsidRDefault="00C47297" w:rsidP="00C47297">
            <w:r w:rsidRPr="00C47297">
              <w:t>Digitālās humanitārās zinātnes Latvijā.</w:t>
            </w:r>
          </w:p>
          <w:p w14:paraId="6F7361D8" w14:textId="77777777" w:rsidR="00C47297" w:rsidRPr="00C47297" w:rsidRDefault="00000000" w:rsidP="00C47297">
            <w:hyperlink r:id="rId11" w:history="1">
              <w:r w:rsidR="00C47297" w:rsidRPr="00C47297">
                <w:rPr>
                  <w:rStyle w:val="Hyperlink"/>
                </w:rPr>
                <w:t>http://www.digitalhumanities.lv/</w:t>
              </w:r>
            </w:hyperlink>
          </w:p>
          <w:p w14:paraId="52226813" w14:textId="716A5874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8E310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8E3109">
        <w:tc>
          <w:tcPr>
            <w:tcW w:w="9039" w:type="dxa"/>
            <w:gridSpan w:val="2"/>
          </w:tcPr>
          <w:p w14:paraId="2F1F9FE9" w14:textId="1C2548E7" w:rsidR="00525213" w:rsidRPr="0093308E" w:rsidRDefault="00C47297" w:rsidP="007534EA">
            <w:permStart w:id="2104519286" w:edGrp="everyone"/>
            <w:r>
              <w:t>-</w:t>
            </w:r>
            <w:permEnd w:id="2104519286"/>
          </w:p>
        </w:tc>
      </w:tr>
      <w:tr w:rsidR="00E13AEA" w:rsidRPr="0093308E" w14:paraId="4F0C7012" w14:textId="77777777" w:rsidTr="008E310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8E3109">
        <w:tc>
          <w:tcPr>
            <w:tcW w:w="9039" w:type="dxa"/>
            <w:gridSpan w:val="2"/>
          </w:tcPr>
          <w:p w14:paraId="2B344333" w14:textId="2505179B" w:rsidR="00525213" w:rsidRPr="0093308E" w:rsidRDefault="00827C96" w:rsidP="007534EA">
            <w:permStart w:id="1906538136" w:edGrp="everyone"/>
            <w:r>
              <w:t xml:space="preserve"> </w:t>
            </w:r>
            <w:r w:rsidR="00C47297">
              <w:t>Kurss tiks docēts angļu un latviešu 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2"/>
      <w:footerReference w:type="default" r:id="rId13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5E7DA" w14:textId="77777777" w:rsidR="00B1063D" w:rsidRDefault="00B1063D" w:rsidP="007534EA">
      <w:r>
        <w:separator/>
      </w:r>
    </w:p>
  </w:endnote>
  <w:endnote w:type="continuationSeparator" w:id="0">
    <w:p w14:paraId="7A6512EC" w14:textId="77777777" w:rsidR="00B1063D" w:rsidRDefault="00B1063D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D90D92F" w:rsidR="008E3109" w:rsidRDefault="008E3109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72B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912BA9" w14:textId="77777777" w:rsidR="008E3109" w:rsidRDefault="008E3109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5C123" w14:textId="77777777" w:rsidR="00B1063D" w:rsidRDefault="00B1063D" w:rsidP="007534EA">
      <w:r>
        <w:separator/>
      </w:r>
    </w:p>
  </w:footnote>
  <w:footnote w:type="continuationSeparator" w:id="0">
    <w:p w14:paraId="2E296163" w14:textId="77777777" w:rsidR="00B1063D" w:rsidRDefault="00B1063D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8E3109" w:rsidRDefault="008E3109" w:rsidP="007534EA">
    <w:pPr>
      <w:pStyle w:val="Header"/>
    </w:pPr>
  </w:p>
  <w:p w14:paraId="6F3FA99C" w14:textId="77777777" w:rsidR="008E3109" w:rsidRPr="007B1FB4" w:rsidRDefault="008E3109" w:rsidP="007534EA">
    <w:pPr>
      <w:pStyle w:val="Header"/>
    </w:pPr>
  </w:p>
  <w:p w14:paraId="785AC92B" w14:textId="77777777" w:rsidR="008E3109" w:rsidRPr="00D66CC2" w:rsidRDefault="008E3109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4244416">
    <w:abstractNumId w:val="2"/>
  </w:num>
  <w:num w:numId="2" w16cid:durableId="1332030101">
    <w:abstractNumId w:val="4"/>
  </w:num>
  <w:num w:numId="3" w16cid:durableId="1135023172">
    <w:abstractNumId w:val="0"/>
  </w:num>
  <w:num w:numId="4" w16cid:durableId="1286811156">
    <w:abstractNumId w:val="3"/>
  </w:num>
  <w:num w:numId="5" w16cid:durableId="604263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73ADA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3429B"/>
    <w:rsid w:val="00240D9B"/>
    <w:rsid w:val="00257890"/>
    <w:rsid w:val="002831C0"/>
    <w:rsid w:val="002C1B85"/>
    <w:rsid w:val="002C1EA4"/>
    <w:rsid w:val="002C6ECF"/>
    <w:rsid w:val="002D26FA"/>
    <w:rsid w:val="002E1D5A"/>
    <w:rsid w:val="002E5F8E"/>
    <w:rsid w:val="00300185"/>
    <w:rsid w:val="00303975"/>
    <w:rsid w:val="003039B9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C55FE"/>
    <w:rsid w:val="003E4234"/>
    <w:rsid w:val="003E71D7"/>
    <w:rsid w:val="003F3E33"/>
    <w:rsid w:val="003F4CAE"/>
    <w:rsid w:val="004034DB"/>
    <w:rsid w:val="00406A60"/>
    <w:rsid w:val="0041505D"/>
    <w:rsid w:val="0041790E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4E6CD8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8E3109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8D"/>
    <w:rsid w:val="009A7DE8"/>
    <w:rsid w:val="009B0DA7"/>
    <w:rsid w:val="009B6AF5"/>
    <w:rsid w:val="009D350C"/>
    <w:rsid w:val="009D3556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AF4EAC"/>
    <w:rsid w:val="00B1063D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47297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C72B1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3584E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sc.gov.lv/lv/media/2188/download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igitalhumanities.lv/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maciunmacies.valoda.lv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zm.gov.lv/lv/pieauguso-izglitibas-istenotajiem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155A7"/>
    <w:rsid w:val="008440A1"/>
    <w:rsid w:val="00866491"/>
    <w:rsid w:val="008C0028"/>
    <w:rsid w:val="008D4407"/>
    <w:rsid w:val="00934B58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D835B-7280-4046-B12B-54B04AAFF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5158</Words>
  <Characters>2941</Characters>
  <Application>Microsoft Office Word</Application>
  <DocSecurity>8</DocSecurity>
  <Lines>24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2</cp:revision>
  <cp:lastPrinted>2018-11-16T11:31:00Z</cp:lastPrinted>
  <dcterms:created xsi:type="dcterms:W3CDTF">2022-07-13T11:45:00Z</dcterms:created>
  <dcterms:modified xsi:type="dcterms:W3CDTF">2022-07-13T11:45:00Z</dcterms:modified>
</cp:coreProperties>
</file>