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DD309" w14:textId="77777777" w:rsidR="00D66CC2" w:rsidRPr="00E13AEA" w:rsidRDefault="00D66CC2" w:rsidP="00D66CC2">
      <w:pPr>
        <w:pStyle w:val="Header"/>
        <w:spacing w:after="60"/>
        <w:jc w:val="center"/>
        <w:rPr>
          <w:rFonts w:ascii="Times New Roman" w:hAnsi="Times New Roman" w:cs="Times New Roman"/>
          <w:b/>
          <w:sz w:val="28"/>
        </w:rPr>
      </w:pPr>
      <w:r w:rsidRPr="00E13AEA">
        <w:rPr>
          <w:rFonts w:ascii="Times New Roman" w:hAnsi="Times New Roman" w:cs="Times New Roman"/>
          <w:b/>
          <w:sz w:val="28"/>
        </w:rPr>
        <w:t>DAUGAVPILS UNIVERSITĀTES</w:t>
      </w:r>
    </w:p>
    <w:p w14:paraId="7A95ECC3" w14:textId="77777777" w:rsidR="00982C4A" w:rsidRPr="00E13AEA" w:rsidRDefault="00982C4A" w:rsidP="00982C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de-DE"/>
        </w:rPr>
      </w:pPr>
      <w:r w:rsidRPr="00E13AEA">
        <w:rPr>
          <w:rFonts w:ascii="Times New Roman" w:hAnsi="Times New Roman" w:cs="Times New Roman"/>
          <w:b/>
          <w:sz w:val="28"/>
          <w:szCs w:val="24"/>
        </w:rPr>
        <w:t>STUDIJU KURSA APRAKSTS</w:t>
      </w:r>
    </w:p>
    <w:p w14:paraId="64A8F5A4" w14:textId="77777777" w:rsidR="00982C4A" w:rsidRPr="00E13AEA" w:rsidRDefault="00982C4A" w:rsidP="00982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E13AEA" w14:paraId="51A48854" w14:textId="77777777" w:rsidTr="00525213">
        <w:tc>
          <w:tcPr>
            <w:tcW w:w="4219" w:type="dxa"/>
          </w:tcPr>
          <w:p w14:paraId="40E477B5" w14:textId="77777777" w:rsidR="001E37E7" w:rsidRPr="00E13AEA" w:rsidRDefault="001E37E7" w:rsidP="00EA1A34">
            <w:pPr>
              <w:pStyle w:val="Nosaukumi"/>
            </w:pPr>
            <w:r w:rsidRPr="00E13AEA">
              <w:br w:type="page"/>
            </w:r>
            <w:r w:rsidRPr="00E13AEA">
              <w:br w:type="page"/>
            </w:r>
            <w:r w:rsidRPr="00E13AEA">
              <w:br w:type="page"/>
            </w:r>
            <w:r w:rsidRPr="00E13AEA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17D14082" w14:textId="77777777" w:rsidR="001E37E7" w:rsidRPr="00E13AEA" w:rsidRDefault="000A79F5" w:rsidP="00E13AEA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596393621" w:edGrp="everyone"/>
            <w:r>
              <w:t xml:space="preserve">Latviešu un vācu </w:t>
            </w:r>
            <w:r w:rsidR="00DF743A">
              <w:t>literārie sakari</w:t>
            </w:r>
            <w:permEnd w:id="596393621"/>
          </w:p>
        </w:tc>
      </w:tr>
      <w:tr w:rsidR="00E13AEA" w:rsidRPr="00E13AEA" w14:paraId="7B2F2A75" w14:textId="77777777" w:rsidTr="00525213">
        <w:tc>
          <w:tcPr>
            <w:tcW w:w="4219" w:type="dxa"/>
          </w:tcPr>
          <w:p w14:paraId="300ED4D6" w14:textId="77777777" w:rsidR="001E37E7" w:rsidRPr="00E13AEA" w:rsidRDefault="001E37E7" w:rsidP="00EA1A34">
            <w:pPr>
              <w:pStyle w:val="Nosaukumi"/>
            </w:pPr>
            <w:r w:rsidRPr="00E13AEA">
              <w:t>Studiju kursa kods (DUIS)</w:t>
            </w:r>
          </w:p>
        </w:tc>
        <w:tc>
          <w:tcPr>
            <w:tcW w:w="4820" w:type="dxa"/>
            <w:vAlign w:val="center"/>
          </w:tcPr>
          <w:p w14:paraId="4407D2CF" w14:textId="77777777" w:rsidR="001E37E7" w:rsidRPr="00E13AEA" w:rsidRDefault="001E37E7" w:rsidP="00612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1066096837" w:edGrp="everyone"/>
            <w:permEnd w:id="1066096837"/>
          </w:p>
        </w:tc>
      </w:tr>
      <w:tr w:rsidR="00E13AEA" w:rsidRPr="00E13AEA" w14:paraId="2013AC85" w14:textId="77777777" w:rsidTr="00525213">
        <w:tc>
          <w:tcPr>
            <w:tcW w:w="4219" w:type="dxa"/>
          </w:tcPr>
          <w:p w14:paraId="5B7CD3D9" w14:textId="77777777" w:rsidR="001E37E7" w:rsidRPr="00E13AEA" w:rsidRDefault="001E37E7" w:rsidP="00EA1A34">
            <w:pPr>
              <w:pStyle w:val="Nosaukumi"/>
            </w:pPr>
            <w:r w:rsidRPr="00E13AEA">
              <w:t>Zinātnes nozare</w:t>
            </w:r>
          </w:p>
        </w:tc>
        <w:sdt>
          <w:sdtPr>
            <w:rPr>
              <w:rFonts w:ascii="Times New Roman" w:hAnsi="Times New Roman" w:cs="Times New Roman"/>
              <w:b/>
              <w:bCs/>
              <w:iCs/>
              <w:sz w:val="24"/>
              <w:szCs w:val="24"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771117932" w:edGrp="everyone" w:displacedByCustomXml="prev"/>
            <w:tc>
              <w:tcPr>
                <w:tcW w:w="4820" w:type="dxa"/>
              </w:tcPr>
              <w:p w14:paraId="5ED803B9" w14:textId="77777777" w:rsidR="001E37E7" w:rsidRPr="00E13AEA" w:rsidRDefault="00DD5B3C" w:rsidP="001E37E7">
                <w:pPr>
                  <w:autoSpaceDE w:val="0"/>
                  <w:autoSpaceDN w:val="0"/>
                  <w:adjustRightInd w:val="0"/>
                  <w:rPr>
                    <w:rFonts w:ascii="Times New Roman" w:hAnsi="Times New Roman" w:cs="Times New Roman"/>
                    <w:b/>
                    <w:bCs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iCs/>
                    <w:sz w:val="24"/>
                    <w:szCs w:val="24"/>
                  </w:rPr>
                  <w:t>Literatūrzinātne</w:t>
                </w:r>
              </w:p>
            </w:tc>
            <w:permEnd w:id="771117932" w:displacedByCustomXml="next"/>
          </w:sdtContent>
        </w:sdt>
      </w:tr>
      <w:tr w:rsidR="00E13AEA" w:rsidRPr="00E13AEA" w14:paraId="78234486" w14:textId="77777777" w:rsidTr="00525213">
        <w:tc>
          <w:tcPr>
            <w:tcW w:w="4219" w:type="dxa"/>
          </w:tcPr>
          <w:p w14:paraId="2DCE3BC4" w14:textId="77777777" w:rsidR="001E37E7" w:rsidRPr="00E13AEA" w:rsidRDefault="001E37E7" w:rsidP="00EA1A34">
            <w:pPr>
              <w:pStyle w:val="Nosaukumi"/>
            </w:pPr>
            <w:r w:rsidRPr="00E13AEA">
              <w:t>Kursa līmenis</w:t>
            </w:r>
          </w:p>
        </w:tc>
        <w:tc>
          <w:tcPr>
            <w:tcW w:w="4820" w:type="dxa"/>
          </w:tcPr>
          <w:p w14:paraId="5BD792B0" w14:textId="77777777" w:rsidR="001E37E7" w:rsidRPr="00E13AEA" w:rsidRDefault="000A79F5" w:rsidP="00612759">
            <w:pPr>
              <w:ind w:left="-15"/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1849848758" w:edGrp="everyone"/>
            <w:r>
              <w:t>7</w:t>
            </w:r>
            <w:permEnd w:id="1849848758"/>
          </w:p>
        </w:tc>
      </w:tr>
      <w:tr w:rsidR="00E13AEA" w:rsidRPr="00E13AEA" w14:paraId="0DD12898" w14:textId="77777777" w:rsidTr="00525213">
        <w:tc>
          <w:tcPr>
            <w:tcW w:w="4219" w:type="dxa"/>
          </w:tcPr>
          <w:p w14:paraId="7C08B9AB" w14:textId="77777777"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Kredītpunkti</w:t>
            </w:r>
          </w:p>
        </w:tc>
        <w:tc>
          <w:tcPr>
            <w:tcW w:w="4820" w:type="dxa"/>
            <w:vAlign w:val="center"/>
          </w:tcPr>
          <w:p w14:paraId="75C7D206" w14:textId="77777777" w:rsidR="001E37E7" w:rsidRPr="00E13AEA" w:rsidRDefault="00BB4394" w:rsidP="00612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1914254261" w:edGrp="everyone"/>
            <w:r>
              <w:t>2</w:t>
            </w:r>
            <w:permEnd w:id="1914254261"/>
          </w:p>
        </w:tc>
      </w:tr>
      <w:tr w:rsidR="00E13AEA" w:rsidRPr="00E13AEA" w14:paraId="191B9252" w14:textId="77777777" w:rsidTr="00525213">
        <w:tc>
          <w:tcPr>
            <w:tcW w:w="4219" w:type="dxa"/>
          </w:tcPr>
          <w:p w14:paraId="2C0EFECD" w14:textId="77777777"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ECTS kredītpunkti</w:t>
            </w:r>
          </w:p>
        </w:tc>
        <w:tc>
          <w:tcPr>
            <w:tcW w:w="4820" w:type="dxa"/>
          </w:tcPr>
          <w:p w14:paraId="5651BF0F" w14:textId="77777777" w:rsidR="001E37E7" w:rsidRPr="00E13AEA" w:rsidRDefault="00BB4394" w:rsidP="006127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permStart w:id="530514497" w:edGrp="everyone"/>
            <w:r>
              <w:t>3</w:t>
            </w:r>
            <w:permEnd w:id="530514497"/>
          </w:p>
        </w:tc>
      </w:tr>
      <w:tr w:rsidR="00E13AEA" w:rsidRPr="00E13AEA" w14:paraId="7F7294A8" w14:textId="77777777" w:rsidTr="00525213">
        <w:tc>
          <w:tcPr>
            <w:tcW w:w="4219" w:type="dxa"/>
          </w:tcPr>
          <w:p w14:paraId="51C90E88" w14:textId="77777777" w:rsidR="00391B74" w:rsidRPr="00E13AEA" w:rsidRDefault="00391B74" w:rsidP="00EA1A34">
            <w:pPr>
              <w:pStyle w:val="Nosaukumi"/>
            </w:pPr>
            <w:r w:rsidRPr="00E13AEA">
              <w:t>Kopējais kontaktstundu skaits</w:t>
            </w:r>
          </w:p>
        </w:tc>
        <w:tc>
          <w:tcPr>
            <w:tcW w:w="4820" w:type="dxa"/>
            <w:vAlign w:val="center"/>
          </w:tcPr>
          <w:p w14:paraId="293F60D5" w14:textId="77777777" w:rsidR="00391B74" w:rsidRPr="00E13AEA" w:rsidRDefault="00BB4394" w:rsidP="00612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1090280959" w:edGrp="everyone"/>
            <w:r>
              <w:t>32</w:t>
            </w:r>
            <w:permEnd w:id="1090280959"/>
          </w:p>
        </w:tc>
      </w:tr>
      <w:tr w:rsidR="00E13AEA" w:rsidRPr="00E13AEA" w14:paraId="58C7D8C1" w14:textId="77777777" w:rsidTr="00525213">
        <w:tc>
          <w:tcPr>
            <w:tcW w:w="4219" w:type="dxa"/>
          </w:tcPr>
          <w:p w14:paraId="69BDE398" w14:textId="77777777" w:rsidR="00391B74" w:rsidRPr="00E13AEA" w:rsidRDefault="00391B74" w:rsidP="00EA1A34">
            <w:pPr>
              <w:pStyle w:val="Nosaukumi2"/>
            </w:pPr>
            <w:r w:rsidRPr="00E13AEA">
              <w:t>Lekciju stundu skaits</w:t>
            </w:r>
          </w:p>
        </w:tc>
        <w:tc>
          <w:tcPr>
            <w:tcW w:w="4820" w:type="dxa"/>
          </w:tcPr>
          <w:p w14:paraId="34D13415" w14:textId="77777777" w:rsidR="00391B74" w:rsidRPr="00E13AEA" w:rsidRDefault="00BB4394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1802064693" w:edGrp="everyone"/>
            <w:r>
              <w:t>16</w:t>
            </w:r>
            <w:permEnd w:id="1802064693"/>
          </w:p>
        </w:tc>
      </w:tr>
      <w:tr w:rsidR="00E13AEA" w:rsidRPr="00E13AEA" w14:paraId="00119FF4" w14:textId="77777777" w:rsidTr="00525213">
        <w:tc>
          <w:tcPr>
            <w:tcW w:w="4219" w:type="dxa"/>
          </w:tcPr>
          <w:p w14:paraId="05D336C3" w14:textId="77777777" w:rsidR="00632863" w:rsidRPr="00E13AEA" w:rsidRDefault="00632863" w:rsidP="00EA1A34">
            <w:pPr>
              <w:pStyle w:val="Nosaukumi2"/>
            </w:pPr>
            <w:r w:rsidRPr="00E13AEA">
              <w:t>Semināru stundu skaits</w:t>
            </w:r>
          </w:p>
        </w:tc>
        <w:tc>
          <w:tcPr>
            <w:tcW w:w="4820" w:type="dxa"/>
          </w:tcPr>
          <w:p w14:paraId="12E897BB" w14:textId="77777777" w:rsidR="00632863" w:rsidRPr="00E13AEA" w:rsidRDefault="00BB4394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1604938564" w:edGrp="everyone"/>
            <w:r>
              <w:t>16</w:t>
            </w:r>
            <w:permEnd w:id="1604938564"/>
          </w:p>
        </w:tc>
      </w:tr>
      <w:tr w:rsidR="00E13AEA" w:rsidRPr="00E13AEA" w14:paraId="4CEA7683" w14:textId="77777777" w:rsidTr="00525213">
        <w:tc>
          <w:tcPr>
            <w:tcW w:w="4219" w:type="dxa"/>
          </w:tcPr>
          <w:p w14:paraId="3F31FDE7" w14:textId="77777777" w:rsidR="00632863" w:rsidRPr="00E13AEA" w:rsidRDefault="00632863" w:rsidP="00EA1A34">
            <w:pPr>
              <w:pStyle w:val="Nosaukumi2"/>
            </w:pPr>
            <w:r w:rsidRPr="00E13AEA">
              <w:t>Praktisko darbu stundu skaits</w:t>
            </w:r>
          </w:p>
        </w:tc>
        <w:tc>
          <w:tcPr>
            <w:tcW w:w="4820" w:type="dxa"/>
          </w:tcPr>
          <w:p w14:paraId="7BE64B7A" w14:textId="77777777" w:rsidR="00632863" w:rsidRPr="00E13AEA" w:rsidRDefault="00632863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439430967" w:edGrp="everyone"/>
            <w:permEnd w:id="439430967"/>
          </w:p>
        </w:tc>
      </w:tr>
      <w:tr w:rsidR="00E13AEA" w:rsidRPr="00E13AEA" w14:paraId="1F697331" w14:textId="77777777" w:rsidTr="00525213">
        <w:tc>
          <w:tcPr>
            <w:tcW w:w="4219" w:type="dxa"/>
          </w:tcPr>
          <w:p w14:paraId="59D16EB5" w14:textId="77777777" w:rsidR="00632863" w:rsidRPr="00E13AEA" w:rsidRDefault="00632863" w:rsidP="00EA1A34">
            <w:pPr>
              <w:pStyle w:val="Nosaukumi2"/>
            </w:pPr>
            <w:r w:rsidRPr="00E13AEA">
              <w:t>Laboratorijas darbu stundu skaits</w:t>
            </w:r>
          </w:p>
        </w:tc>
        <w:tc>
          <w:tcPr>
            <w:tcW w:w="4820" w:type="dxa"/>
          </w:tcPr>
          <w:p w14:paraId="5290FDE7" w14:textId="77777777" w:rsidR="00632863" w:rsidRPr="00E13AEA" w:rsidRDefault="00632863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1575096292" w:edGrp="everyone"/>
            <w:permEnd w:id="1575096292"/>
          </w:p>
        </w:tc>
      </w:tr>
      <w:tr w:rsidR="00E13AEA" w:rsidRPr="00E13AEA" w14:paraId="4A0EC145" w14:textId="77777777" w:rsidTr="00525213">
        <w:tc>
          <w:tcPr>
            <w:tcW w:w="4219" w:type="dxa"/>
          </w:tcPr>
          <w:p w14:paraId="2B74E456" w14:textId="77777777" w:rsidR="00A8127C" w:rsidRPr="00E13AEA" w:rsidRDefault="00A8127C" w:rsidP="00EA1A34">
            <w:pPr>
              <w:pStyle w:val="Nosaukumi2"/>
              <w:rPr>
                <w:lang w:eastAsia="lv-LV"/>
              </w:rPr>
            </w:pPr>
            <w:r w:rsidRPr="00E13AEA">
              <w:rPr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vAlign w:val="center"/>
          </w:tcPr>
          <w:p w14:paraId="3E68804C" w14:textId="77777777" w:rsidR="00A8127C" w:rsidRPr="00E13AEA" w:rsidRDefault="00BB4394" w:rsidP="00A812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417954063" w:edGrp="everyone"/>
            <w:r>
              <w:t>48</w:t>
            </w:r>
            <w:permEnd w:id="417954063"/>
          </w:p>
        </w:tc>
      </w:tr>
      <w:tr w:rsidR="00E13AEA" w:rsidRPr="00E13AEA" w14:paraId="6D194B97" w14:textId="77777777" w:rsidTr="0073251C">
        <w:tc>
          <w:tcPr>
            <w:tcW w:w="9039" w:type="dxa"/>
            <w:gridSpan w:val="2"/>
          </w:tcPr>
          <w:p w14:paraId="33194FDB" w14:textId="77777777" w:rsidR="00525213" w:rsidRPr="00E13AEA" w:rsidRDefault="00525213" w:rsidP="00A8127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lv-LV"/>
              </w:rPr>
            </w:pPr>
          </w:p>
        </w:tc>
      </w:tr>
      <w:tr w:rsidR="00E13AEA" w:rsidRPr="00E13AEA" w14:paraId="0681267B" w14:textId="77777777" w:rsidTr="00C33379">
        <w:tc>
          <w:tcPr>
            <w:tcW w:w="9039" w:type="dxa"/>
            <w:gridSpan w:val="2"/>
          </w:tcPr>
          <w:p w14:paraId="7E75C12F" w14:textId="77777777" w:rsidR="00BB3CCC" w:rsidRPr="00E13AEA" w:rsidRDefault="00BB3CCC" w:rsidP="00EA1A34">
            <w:pPr>
              <w:pStyle w:val="Nosaukumi"/>
            </w:pPr>
            <w:r w:rsidRPr="00E13AEA">
              <w:t>Kursa izstrādātājs (-i)</w:t>
            </w:r>
          </w:p>
        </w:tc>
      </w:tr>
      <w:tr w:rsidR="00E13AEA" w:rsidRPr="00E13AEA" w14:paraId="655B8A1D" w14:textId="77777777" w:rsidTr="00C33379">
        <w:tc>
          <w:tcPr>
            <w:tcW w:w="9039" w:type="dxa"/>
            <w:gridSpan w:val="2"/>
          </w:tcPr>
          <w:p w14:paraId="23AE00A5" w14:textId="77777777" w:rsidR="00BB3CCC" w:rsidRPr="00E13AEA" w:rsidRDefault="00BB4394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ermStart w:id="866804453" w:edGrp="everyone"/>
            <w:r w:rsidRPr="004A0A77">
              <w:t xml:space="preserve">Dr. philol. </w:t>
            </w:r>
            <w:proofErr w:type="spellStart"/>
            <w:r w:rsidRPr="00BB4394">
              <w:t>vad.pētn</w:t>
            </w:r>
            <w:proofErr w:type="spellEnd"/>
            <w:r w:rsidRPr="00BB4394">
              <w:t>. Alīna Romanovska</w:t>
            </w:r>
            <w:permEnd w:id="866804453"/>
          </w:p>
        </w:tc>
      </w:tr>
      <w:tr w:rsidR="00E13AEA" w:rsidRPr="00E13AEA" w14:paraId="1F92E103" w14:textId="77777777" w:rsidTr="00C33379">
        <w:tc>
          <w:tcPr>
            <w:tcW w:w="9039" w:type="dxa"/>
            <w:gridSpan w:val="2"/>
          </w:tcPr>
          <w:p w14:paraId="03CE6204" w14:textId="77777777" w:rsidR="00BB3CCC" w:rsidRPr="00E13AEA" w:rsidRDefault="00BB3CCC" w:rsidP="00EA1A34">
            <w:pPr>
              <w:pStyle w:val="Nosaukumi"/>
            </w:pPr>
            <w:r w:rsidRPr="00E13AEA">
              <w:t>Priekšzināšanas</w:t>
            </w:r>
          </w:p>
        </w:tc>
      </w:tr>
      <w:tr w:rsidR="00E13AEA" w:rsidRPr="00E13AEA" w14:paraId="7E80E660" w14:textId="77777777" w:rsidTr="00C33379">
        <w:tc>
          <w:tcPr>
            <w:tcW w:w="9039" w:type="dxa"/>
            <w:gridSpan w:val="2"/>
          </w:tcPr>
          <w:p w14:paraId="60CEF459" w14:textId="77777777" w:rsidR="00BB3CCC" w:rsidRPr="00E13AEA" w:rsidRDefault="000A79F5" w:rsidP="00BB3C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ermStart w:id="911032048" w:edGrp="everyone"/>
            <w:r>
              <w:t>Nav</w:t>
            </w:r>
            <w:permEnd w:id="911032048"/>
          </w:p>
        </w:tc>
      </w:tr>
      <w:tr w:rsidR="00E13AEA" w:rsidRPr="00E13AEA" w14:paraId="1B4A22EE" w14:textId="77777777" w:rsidTr="00C33379">
        <w:tc>
          <w:tcPr>
            <w:tcW w:w="9039" w:type="dxa"/>
            <w:gridSpan w:val="2"/>
          </w:tcPr>
          <w:p w14:paraId="3212EE3B" w14:textId="77777777" w:rsidR="00BB3CCC" w:rsidRPr="00E13AEA" w:rsidRDefault="00BB3CCC" w:rsidP="00EA1A34">
            <w:pPr>
              <w:pStyle w:val="Nosaukumi"/>
            </w:pPr>
            <w:r w:rsidRPr="00E13AEA">
              <w:t xml:space="preserve">Studiju kursa anotācija </w:t>
            </w:r>
          </w:p>
        </w:tc>
      </w:tr>
      <w:tr w:rsidR="00E13AEA" w:rsidRPr="00E13AEA" w14:paraId="5096D29B" w14:textId="77777777" w:rsidTr="00C33379">
        <w:tc>
          <w:tcPr>
            <w:tcW w:w="9039" w:type="dxa"/>
            <w:gridSpan w:val="2"/>
          </w:tcPr>
          <w:p w14:paraId="062AC19B" w14:textId="77777777" w:rsidR="00DD5B3C" w:rsidRPr="00DD5B3C" w:rsidRDefault="00DD5B3C" w:rsidP="00DD5B3C">
            <w:permStart w:id="912092808" w:edGrp="everyone"/>
            <w:r>
              <w:t>K</w:t>
            </w:r>
            <w:r w:rsidRPr="00DD5B3C">
              <w:t xml:space="preserve">ursa mērķis: veidot </w:t>
            </w:r>
            <w:r w:rsidR="00FE58F4">
              <w:t xml:space="preserve"> zināšanās balstītu izpratni par </w:t>
            </w:r>
            <w:r w:rsidRPr="00DD5B3C">
              <w:t>latviešu</w:t>
            </w:r>
            <w:r w:rsidR="007E3D58">
              <w:t xml:space="preserve"> - vācu liter</w:t>
            </w:r>
            <w:r w:rsidR="000A79F5">
              <w:t xml:space="preserve">ārajiem </w:t>
            </w:r>
            <w:r w:rsidR="007E3D58">
              <w:t>sakariem</w:t>
            </w:r>
            <w:r w:rsidR="000A79F5">
              <w:t xml:space="preserve"> kultūras un vēstures procesu kontekstā</w:t>
            </w:r>
            <w:r w:rsidR="00254D51">
              <w:t>.</w:t>
            </w:r>
          </w:p>
          <w:p w14:paraId="3152132D" w14:textId="77777777" w:rsidR="00DD5B3C" w:rsidRPr="00DD5B3C" w:rsidRDefault="00DD5B3C" w:rsidP="00DD5B3C">
            <w:r w:rsidRPr="004A0A77">
              <w:t>Studiju kursa uzdevumi:</w:t>
            </w:r>
          </w:p>
          <w:p w14:paraId="34B68435" w14:textId="77777777" w:rsidR="00DD5B3C" w:rsidRPr="00DD5B3C" w:rsidRDefault="00DD5B3C" w:rsidP="00DD5B3C">
            <w:r>
              <w:t xml:space="preserve">- </w:t>
            </w:r>
            <w:r w:rsidRPr="00DD5B3C">
              <w:t xml:space="preserve">sniegt zināšanas un veidot izpratni par </w:t>
            </w:r>
            <w:r w:rsidR="007E3D58">
              <w:t xml:space="preserve">latviešu </w:t>
            </w:r>
            <w:r w:rsidR="000A79F5">
              <w:t xml:space="preserve">-vācu </w:t>
            </w:r>
            <w:r w:rsidR="007E3D58">
              <w:t xml:space="preserve">kultūras sakariem gadsimtu gaitā </w:t>
            </w:r>
            <w:r w:rsidRPr="00DD5B3C">
              <w:t>politiskās situācijas un kultūras norišu kontekstā;</w:t>
            </w:r>
          </w:p>
          <w:p w14:paraId="58FABD71" w14:textId="77777777" w:rsidR="00DD5B3C" w:rsidRPr="00DD5B3C" w:rsidRDefault="00DD5B3C" w:rsidP="00DD5B3C">
            <w:r>
              <w:t>-</w:t>
            </w:r>
            <w:r w:rsidRPr="00DD5B3C">
              <w:t xml:space="preserve"> sniegt zināšanas un veidot izpratni par nozīmīgākaj</w:t>
            </w:r>
            <w:r w:rsidR="007E3D58">
              <w:t>ām vācu kultūras personālijām, fenomeniem un procesiem personālijām, kas ietekmēja latviešu literatūras attīstību</w:t>
            </w:r>
            <w:r w:rsidRPr="00DD5B3C">
              <w:t xml:space="preserve">; </w:t>
            </w:r>
          </w:p>
          <w:p w14:paraId="2642903D" w14:textId="77777777" w:rsidR="00DD5B3C" w:rsidRPr="00DD5B3C" w:rsidRDefault="00DD5B3C" w:rsidP="00DD5B3C">
            <w:r>
              <w:t xml:space="preserve">- </w:t>
            </w:r>
            <w:r w:rsidRPr="00DD5B3C">
              <w:t>pilnveidot literāra teksta analīzes prasmi</w:t>
            </w:r>
            <w:r w:rsidR="007E3D58">
              <w:t xml:space="preserve"> salīdzinošā aspektā</w:t>
            </w:r>
            <w:r w:rsidRPr="00DD5B3C">
              <w:t>;</w:t>
            </w:r>
          </w:p>
          <w:p w14:paraId="62A4351F" w14:textId="77777777" w:rsidR="00BB3CCC" w:rsidRPr="00E13AEA" w:rsidRDefault="00DD5B3C" w:rsidP="00BB3C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t xml:space="preserve">- </w:t>
            </w:r>
            <w:r w:rsidRPr="00DD5B3C">
              <w:t xml:space="preserve">pilnveidot studējošo instrumentālo, </w:t>
            </w:r>
            <w:proofErr w:type="spellStart"/>
            <w:r w:rsidRPr="00DD5B3C">
              <w:t>interpersonālo</w:t>
            </w:r>
            <w:proofErr w:type="spellEnd"/>
            <w:r w:rsidRPr="00DD5B3C">
              <w:t xml:space="preserve"> un sistēmisko kompetenci, patstāvīgi lietojot zināšanas praksē, diskutējot grupā, izvērtējot, salīdzinot un radoši izmantojot apgūtās analītiskās teksta interpretēšanas prasmes, patstāvīgi veicot pētniecisku darbību.</w:t>
            </w:r>
            <w:permEnd w:id="912092808"/>
          </w:p>
        </w:tc>
      </w:tr>
      <w:tr w:rsidR="00E13AEA" w:rsidRPr="00E13AEA" w14:paraId="235ABE49" w14:textId="77777777" w:rsidTr="00C33379">
        <w:tc>
          <w:tcPr>
            <w:tcW w:w="9039" w:type="dxa"/>
            <w:gridSpan w:val="2"/>
          </w:tcPr>
          <w:p w14:paraId="451A772C" w14:textId="77777777" w:rsidR="00BB3CCC" w:rsidRPr="00E13AEA" w:rsidRDefault="00525213" w:rsidP="00EA1A34">
            <w:pPr>
              <w:pStyle w:val="Nosaukumi"/>
            </w:pPr>
            <w:r w:rsidRPr="00E13AEA">
              <w:t>Studiju kursa kalendārais plāns</w:t>
            </w:r>
          </w:p>
        </w:tc>
      </w:tr>
      <w:tr w:rsidR="00E13AEA" w:rsidRPr="00E13AEA" w14:paraId="16F031B6" w14:textId="77777777" w:rsidTr="00C33379">
        <w:tc>
          <w:tcPr>
            <w:tcW w:w="9039" w:type="dxa"/>
            <w:gridSpan w:val="2"/>
          </w:tcPr>
          <w:p w14:paraId="6B42AE30" w14:textId="77777777" w:rsidR="003C61E2" w:rsidRPr="003C61E2" w:rsidRDefault="003C61E2" w:rsidP="003C61E2">
            <w:permStart w:id="1179143217" w:edGrp="everyone"/>
            <w:r w:rsidRPr="003C61E2">
              <w:t xml:space="preserve">Vācu-latviešu kultūras sakari: ietekmes, aizguvumi, paralēles, </w:t>
            </w:r>
            <w:proofErr w:type="spellStart"/>
            <w:r w:rsidRPr="003C61E2">
              <w:t>kultūrtēli</w:t>
            </w:r>
            <w:proofErr w:type="spellEnd"/>
            <w:r w:rsidRPr="003C61E2">
              <w:t xml:space="preserve">. </w:t>
            </w:r>
            <w:proofErr w:type="spellStart"/>
            <w:r w:rsidRPr="003C61E2">
              <w:t>Postkoloniālisma</w:t>
            </w:r>
            <w:proofErr w:type="spellEnd"/>
            <w:r w:rsidRPr="003C61E2">
              <w:t xml:space="preserve"> dimensija vācu un latviešu kultūra sakaru studijās. Identitātes aspekti vācu-latviešu kultūru sakaros. L 2</w:t>
            </w:r>
          </w:p>
          <w:p w14:paraId="78216610" w14:textId="77777777" w:rsidR="003C61E2" w:rsidRPr="003C61E2" w:rsidRDefault="003C61E2" w:rsidP="003C61E2">
            <w:r w:rsidRPr="003C61E2">
              <w:t xml:space="preserve">Austrumi kā vācu ekspansijas vektors. Vācu – baltiešu un vācu-latviešu kontaktu iesākums. Reliģiskie, ekonomikas, kultūras, vēstures kontakti 14.–17. </w:t>
            </w:r>
            <w:proofErr w:type="spellStart"/>
            <w:r w:rsidRPr="003C61E2">
              <w:t>gs</w:t>
            </w:r>
            <w:proofErr w:type="spellEnd"/>
            <w:r w:rsidRPr="003C61E2">
              <w:t xml:space="preserve"> starp vācu kultūru un Baltiju. Vācbaltieši un latviešu pasaule: 18.</w:t>
            </w:r>
            <w:r w:rsidR="00B96888">
              <w:t>-19.</w:t>
            </w:r>
            <w:r w:rsidRPr="003C61E2">
              <w:t xml:space="preserve"> gs. Vācu kultūras loma latviešu kultūras veidošanas procesā. Vācu mācītāju veidoto rokasgrāmatu un </w:t>
            </w:r>
            <w:proofErr w:type="spellStart"/>
            <w:r w:rsidRPr="003C61E2">
              <w:t>dziesmugrāmatu</w:t>
            </w:r>
            <w:proofErr w:type="spellEnd"/>
            <w:r w:rsidRPr="003C61E2">
              <w:t xml:space="preserve"> loma latviešu kultūrvides veidošanā, to īpatnības. Vācu daiļliteratūras lokalizējumi latviešu valodā. Vācu dzejas ietekme uz latviešu dzejas tradīciju.</w:t>
            </w:r>
            <w:r w:rsidR="00B96888" w:rsidRPr="00B96888">
              <w:t xml:space="preserve"> </w:t>
            </w:r>
            <w:proofErr w:type="spellStart"/>
            <w:r w:rsidR="00B96888" w:rsidRPr="00B96888">
              <w:t>Hernhūtisms</w:t>
            </w:r>
            <w:proofErr w:type="spellEnd"/>
            <w:r w:rsidR="00B96888" w:rsidRPr="00B96888">
              <w:t xml:space="preserve"> un tā atspoguļojums latviešu literatūrā. L </w:t>
            </w:r>
            <w:r w:rsidR="00B96888">
              <w:t xml:space="preserve">4, </w:t>
            </w:r>
            <w:r w:rsidRPr="003C61E2">
              <w:t>S 2</w:t>
            </w:r>
          </w:p>
          <w:p w14:paraId="3455731E" w14:textId="77777777" w:rsidR="003C61E2" w:rsidRPr="003C61E2" w:rsidRDefault="003C61E2" w:rsidP="003C61E2">
            <w:pPr>
              <w:pStyle w:val="ListParagraph"/>
            </w:pPr>
          </w:p>
          <w:p w14:paraId="4D2E10C0" w14:textId="77777777" w:rsidR="003C61E2" w:rsidRPr="003C61E2" w:rsidRDefault="003C61E2" w:rsidP="003C61E2">
            <w:r w:rsidRPr="003C61E2">
              <w:t xml:space="preserve">1. </w:t>
            </w:r>
            <w:proofErr w:type="spellStart"/>
            <w:r w:rsidRPr="003C61E2">
              <w:t>starppārbaudījums</w:t>
            </w:r>
            <w:proofErr w:type="spellEnd"/>
          </w:p>
          <w:p w14:paraId="7B458132" w14:textId="77777777" w:rsidR="003C61E2" w:rsidRPr="003C61E2" w:rsidRDefault="003C61E2" w:rsidP="003C61E2"/>
          <w:p w14:paraId="347A4723" w14:textId="77777777" w:rsidR="003C61E2" w:rsidRPr="003C61E2" w:rsidRDefault="003C61E2" w:rsidP="003C61E2">
            <w:r w:rsidRPr="003C61E2">
              <w:t>Vācu kultūras un Vācijas tēls  periodikā. Vācu valodas nozīme latviešu kultūrā</w:t>
            </w:r>
            <w:r w:rsidR="00B96888">
              <w:t xml:space="preserve">. </w:t>
            </w:r>
            <w:r w:rsidRPr="003C61E2">
              <w:t>Vācbaltieši, to kultūra un literatūra, ietekme uz latviešu kultūru un literatūru</w:t>
            </w:r>
            <w:r w:rsidR="00B96888">
              <w:t>.</w:t>
            </w:r>
            <w:r w:rsidRPr="003C61E2">
              <w:t xml:space="preserve"> Vācbaltiešu nacionālisma uzplaukums 19.–20.gs. mijā. Vācbaltiešu literatūras uzplaukums 19.gs. beigās. Rusifikācijas politikas loma vācu kultūras attīstībā Latvijā. Reģionu vācieši. L </w:t>
            </w:r>
            <w:r w:rsidR="00B96888">
              <w:t>4,</w:t>
            </w:r>
            <w:r w:rsidR="00B96888" w:rsidRPr="003C61E2">
              <w:t xml:space="preserve"> </w:t>
            </w:r>
            <w:r w:rsidR="00B96888" w:rsidRPr="00B96888">
              <w:t xml:space="preserve">S </w:t>
            </w:r>
            <w:r w:rsidR="00B96888">
              <w:t>4</w:t>
            </w:r>
          </w:p>
          <w:p w14:paraId="5207D9D0" w14:textId="77777777" w:rsidR="003C61E2" w:rsidRPr="003C61E2" w:rsidRDefault="003C61E2" w:rsidP="003C61E2"/>
          <w:p w14:paraId="123BE113" w14:textId="77777777" w:rsidR="003C61E2" w:rsidRPr="003C61E2" w:rsidRDefault="003C61E2" w:rsidP="003C61E2">
            <w:r w:rsidRPr="003C61E2">
              <w:lastRenderedPageBreak/>
              <w:t xml:space="preserve">2. </w:t>
            </w:r>
            <w:proofErr w:type="spellStart"/>
            <w:r w:rsidRPr="003C61E2">
              <w:t>starppārbaudījums</w:t>
            </w:r>
            <w:proofErr w:type="spellEnd"/>
          </w:p>
          <w:p w14:paraId="1E364795" w14:textId="77777777" w:rsidR="003C61E2" w:rsidRPr="003C61E2" w:rsidRDefault="003C61E2" w:rsidP="003C61E2"/>
          <w:p w14:paraId="2364E304" w14:textId="77777777" w:rsidR="003C61E2" w:rsidRPr="003C61E2" w:rsidRDefault="003C61E2" w:rsidP="003C61E2">
            <w:r w:rsidRPr="003C61E2">
              <w:t>18. gs. vācu literatūra Latvijā. Pirmie tulkojumi un lokalizējumi (</w:t>
            </w:r>
            <w:proofErr w:type="spellStart"/>
            <w:r w:rsidRPr="003C61E2">
              <w:t>A.Līventāls</w:t>
            </w:r>
            <w:proofErr w:type="spellEnd"/>
            <w:r w:rsidRPr="003C61E2">
              <w:t xml:space="preserve">, </w:t>
            </w:r>
            <w:proofErr w:type="spellStart"/>
            <w:r w:rsidRPr="003C61E2">
              <w:t>A.Leitāns</w:t>
            </w:r>
            <w:proofErr w:type="spellEnd"/>
            <w:r w:rsidRPr="003C61E2">
              <w:t xml:space="preserve"> u.c.). Pirmie izdevumi. </w:t>
            </w:r>
            <w:proofErr w:type="spellStart"/>
            <w:r w:rsidRPr="003C61E2">
              <w:t>G.Hauptmaņa</w:t>
            </w:r>
            <w:proofErr w:type="spellEnd"/>
            <w:r w:rsidRPr="003C61E2">
              <w:t xml:space="preserve">, </w:t>
            </w:r>
            <w:proofErr w:type="spellStart"/>
            <w:r w:rsidRPr="003C61E2">
              <w:t>H.Zūdermaņa</w:t>
            </w:r>
            <w:proofErr w:type="spellEnd"/>
            <w:r w:rsidRPr="003C61E2">
              <w:t xml:space="preserve"> darbu tulkojumi. Vācu romantisms un latviešu literatūra. </w:t>
            </w:r>
            <w:r w:rsidR="00B96888">
              <w:t>L 2</w:t>
            </w:r>
            <w:r w:rsidR="00D259D1">
              <w:t>, S 2</w:t>
            </w:r>
          </w:p>
          <w:p w14:paraId="7065D9A8" w14:textId="77777777" w:rsidR="003C61E2" w:rsidRPr="003C61E2" w:rsidRDefault="003C61E2" w:rsidP="003C61E2">
            <w:r w:rsidRPr="003C61E2">
              <w:t xml:space="preserve">Vācu filozofija un psiholoģija latviešu kultūras pasaulē: </w:t>
            </w:r>
            <w:proofErr w:type="spellStart"/>
            <w:r w:rsidRPr="003C61E2">
              <w:t>Kants</w:t>
            </w:r>
            <w:proofErr w:type="spellEnd"/>
            <w:r w:rsidRPr="003C61E2">
              <w:t xml:space="preserve">, </w:t>
            </w:r>
            <w:proofErr w:type="spellStart"/>
            <w:r w:rsidRPr="003C61E2">
              <w:t>Hēgelis</w:t>
            </w:r>
            <w:proofErr w:type="spellEnd"/>
            <w:r w:rsidRPr="003C61E2">
              <w:t xml:space="preserve">, Nīče, Freids, Jungs, </w:t>
            </w:r>
            <w:proofErr w:type="spellStart"/>
            <w:r w:rsidRPr="003C61E2">
              <w:t>Assmane</w:t>
            </w:r>
            <w:proofErr w:type="spellEnd"/>
            <w:r w:rsidR="0016262A">
              <w:t xml:space="preserve"> </w:t>
            </w:r>
            <w:r w:rsidRPr="003C61E2">
              <w:t xml:space="preserve">- tulkojumi latviešu valodā. Vācu mūzika un mūziķi latviešu kultūrā. Vāgnera ietekme. </w:t>
            </w:r>
            <w:r w:rsidR="00D259D1">
              <w:t>S</w:t>
            </w:r>
            <w:r w:rsidR="00B96888" w:rsidRPr="00B96888">
              <w:t xml:space="preserve"> 2</w:t>
            </w:r>
          </w:p>
          <w:p w14:paraId="0E5BEDA2" w14:textId="77777777" w:rsidR="003C61E2" w:rsidRPr="003C61E2" w:rsidRDefault="003C61E2" w:rsidP="003C61E2">
            <w:pPr>
              <w:pStyle w:val="ListParagraph"/>
            </w:pPr>
          </w:p>
          <w:p w14:paraId="77B80D08" w14:textId="77777777" w:rsidR="003C61E2" w:rsidRPr="003C61E2" w:rsidRDefault="003C61E2" w:rsidP="003C61E2">
            <w:r w:rsidRPr="003C61E2">
              <w:t xml:space="preserve">3. </w:t>
            </w:r>
            <w:proofErr w:type="spellStart"/>
            <w:r w:rsidRPr="003C61E2">
              <w:t>starppārbaudījums</w:t>
            </w:r>
            <w:proofErr w:type="spellEnd"/>
          </w:p>
          <w:p w14:paraId="6AD8DA0C" w14:textId="77777777" w:rsidR="003C61E2" w:rsidRPr="003C61E2" w:rsidRDefault="003C61E2" w:rsidP="003C61E2">
            <w:pPr>
              <w:pStyle w:val="ListParagraph"/>
            </w:pPr>
          </w:p>
          <w:p w14:paraId="1C31FF2A" w14:textId="77777777" w:rsidR="00B96888" w:rsidRPr="003C61E2" w:rsidRDefault="003C61E2" w:rsidP="00B96888">
            <w:r w:rsidRPr="003C61E2">
              <w:t xml:space="preserve">Šillera un Gētes darbu tulkojumi, ietekme uz latviešu literatūras attīstību. 20.gs. vācu literatūra. </w:t>
            </w:r>
            <w:proofErr w:type="spellStart"/>
            <w:r w:rsidRPr="003C61E2">
              <w:t>T.Manns</w:t>
            </w:r>
            <w:proofErr w:type="spellEnd"/>
            <w:r w:rsidRPr="003C61E2">
              <w:t xml:space="preserve"> latviešu </w:t>
            </w:r>
            <w:proofErr w:type="spellStart"/>
            <w:r w:rsidRPr="003C61E2">
              <w:t>recepcijā</w:t>
            </w:r>
            <w:proofErr w:type="spellEnd"/>
            <w:r w:rsidRPr="003C61E2">
              <w:t xml:space="preserve">. </w:t>
            </w:r>
            <w:proofErr w:type="spellStart"/>
            <w:r w:rsidRPr="003C61E2">
              <w:t>Pēckara</w:t>
            </w:r>
            <w:proofErr w:type="spellEnd"/>
            <w:r w:rsidRPr="003C61E2">
              <w:t xml:space="preserve"> perioda literatūra Padomju Savienībā. </w:t>
            </w:r>
            <w:proofErr w:type="spellStart"/>
            <w:r w:rsidRPr="003C61E2">
              <w:t>H.Bella</w:t>
            </w:r>
            <w:proofErr w:type="spellEnd"/>
            <w:r w:rsidRPr="003C61E2">
              <w:t xml:space="preserve"> fenomens. </w:t>
            </w:r>
          </w:p>
          <w:p w14:paraId="4516AB06" w14:textId="77777777" w:rsidR="00B96888" w:rsidRDefault="003C61E2" w:rsidP="003C61E2">
            <w:r w:rsidRPr="003C61E2">
              <w:t xml:space="preserve">F. Kafkas, G. Grasa, H. Heses darbu tulkojumi un </w:t>
            </w:r>
            <w:proofErr w:type="spellStart"/>
            <w:r w:rsidRPr="003C61E2">
              <w:t>recepcija</w:t>
            </w:r>
            <w:proofErr w:type="spellEnd"/>
            <w:r w:rsidRPr="003C61E2">
              <w:t xml:space="preserve"> Latvijā. Vācu tulkotā literatūra bērniem un jauniešiem: </w:t>
            </w:r>
            <w:proofErr w:type="spellStart"/>
            <w:r w:rsidRPr="003C61E2">
              <w:t>Ende</w:t>
            </w:r>
            <w:proofErr w:type="spellEnd"/>
            <w:r w:rsidRPr="003C61E2">
              <w:t>, Blobela u.c</w:t>
            </w:r>
            <w:r w:rsidR="00B96888">
              <w:t xml:space="preserve">. </w:t>
            </w:r>
            <w:r w:rsidR="0016262A">
              <w:t>L 2, S 4</w:t>
            </w:r>
          </w:p>
          <w:p w14:paraId="11ABEAEF" w14:textId="77777777" w:rsidR="003C61E2" w:rsidRPr="003C61E2" w:rsidRDefault="00B96888" w:rsidP="003C61E2">
            <w:r>
              <w:t xml:space="preserve">Tulkotāji no vācu valodas </w:t>
            </w:r>
            <w:r w:rsidR="003C61E2" w:rsidRPr="003C61E2">
              <w:t>20. gs. otrajā pusē - 21. gs. Vācu tulkotās literatūras izdevējdarbība mūsdienu Latvijā</w:t>
            </w:r>
            <w:r>
              <w:t>, galvenie tulkotāji.</w:t>
            </w:r>
            <w:r w:rsidR="003C61E2" w:rsidRPr="003C61E2">
              <w:t xml:space="preserve"> Gētes Institūta nozīme. S 2</w:t>
            </w:r>
          </w:p>
          <w:p w14:paraId="0B609FEE" w14:textId="77777777" w:rsidR="003C61E2" w:rsidRPr="003C61E2" w:rsidRDefault="003C61E2" w:rsidP="003C61E2">
            <w:r w:rsidRPr="003C61E2">
              <w:t xml:space="preserve">Latviešu literatūras tulkojumi vācu valodā, to </w:t>
            </w:r>
            <w:proofErr w:type="spellStart"/>
            <w:r w:rsidRPr="003C61E2">
              <w:t>recepcija</w:t>
            </w:r>
            <w:proofErr w:type="spellEnd"/>
            <w:r w:rsidRPr="003C61E2">
              <w:t>. L 2</w:t>
            </w:r>
          </w:p>
          <w:p w14:paraId="14E41D6B" w14:textId="77777777" w:rsidR="00F940D9" w:rsidRPr="00F940D9" w:rsidRDefault="00D0735A" w:rsidP="0073342A">
            <w:r w:rsidRPr="00D0735A">
              <w:br/>
            </w:r>
            <w:r w:rsidR="00F940D9" w:rsidRPr="00695640">
              <w:t>Patstāvīgais darbs:</w:t>
            </w:r>
          </w:p>
          <w:p w14:paraId="0E494EF1" w14:textId="77777777" w:rsidR="00F940D9" w:rsidRPr="00F940D9" w:rsidRDefault="00F940D9" w:rsidP="00F940D9">
            <w:r w:rsidRPr="00695640">
              <w:t xml:space="preserve">daiļdarbu </w:t>
            </w:r>
            <w:r w:rsidRPr="00F940D9">
              <w:t xml:space="preserve">lasīšana un analīze – </w:t>
            </w:r>
            <w:r w:rsidR="004906FF">
              <w:t>2</w:t>
            </w:r>
            <w:r w:rsidRPr="00F940D9">
              <w:t>0 st.,</w:t>
            </w:r>
          </w:p>
          <w:p w14:paraId="2D662874" w14:textId="77777777" w:rsidR="00F940D9" w:rsidRPr="00F940D9" w:rsidRDefault="00F940D9" w:rsidP="00F940D9">
            <w:r w:rsidRPr="00695640">
              <w:t xml:space="preserve">zinātniskās literatūras studēšana – </w:t>
            </w:r>
            <w:r w:rsidR="004906FF">
              <w:t>1</w:t>
            </w:r>
            <w:r w:rsidRPr="00695640">
              <w:t>0 st.,</w:t>
            </w:r>
          </w:p>
          <w:p w14:paraId="432AA6C2" w14:textId="77777777" w:rsidR="00F940D9" w:rsidRPr="00F940D9" w:rsidRDefault="00F940D9" w:rsidP="00F940D9">
            <w:r w:rsidRPr="00695640">
              <w:t xml:space="preserve">prezentāciju sagatavošana – </w:t>
            </w:r>
            <w:r w:rsidR="004906FF">
              <w:t>8</w:t>
            </w:r>
            <w:r w:rsidRPr="00695640">
              <w:t xml:space="preserve"> st.,</w:t>
            </w:r>
          </w:p>
          <w:p w14:paraId="564C384B" w14:textId="77777777" w:rsidR="00F940D9" w:rsidRPr="00F940D9" w:rsidRDefault="00F940D9" w:rsidP="00F940D9">
            <w:r w:rsidRPr="00695640">
              <w:t xml:space="preserve">referātu sagatavošana dažādas sarežģītības līmeņos – </w:t>
            </w:r>
            <w:r w:rsidR="004906FF">
              <w:t>10</w:t>
            </w:r>
            <w:r w:rsidRPr="00695640">
              <w:t xml:space="preserve"> st.</w:t>
            </w:r>
          </w:p>
          <w:p w14:paraId="45186A97" w14:textId="77777777" w:rsidR="00F940D9" w:rsidRPr="00F940D9" w:rsidRDefault="00F940D9" w:rsidP="00F940D9">
            <w:r>
              <w:t>g</w:t>
            </w:r>
            <w:r w:rsidRPr="00F940D9">
              <w:t>ala pārbaudījums – eksāmens.</w:t>
            </w:r>
          </w:p>
          <w:permEnd w:id="1179143217"/>
          <w:p w14:paraId="54BDF86C" w14:textId="77777777" w:rsidR="00525213" w:rsidRPr="00E13AEA" w:rsidRDefault="00525213" w:rsidP="00BB3C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13AEA" w:rsidRPr="00E13AEA" w14:paraId="4E065F85" w14:textId="77777777" w:rsidTr="00C33379">
        <w:tc>
          <w:tcPr>
            <w:tcW w:w="9039" w:type="dxa"/>
            <w:gridSpan w:val="2"/>
          </w:tcPr>
          <w:p w14:paraId="17AFCADE" w14:textId="77777777" w:rsidR="00525213" w:rsidRPr="00E13AEA" w:rsidRDefault="00525213" w:rsidP="00EA1A34">
            <w:pPr>
              <w:pStyle w:val="Nosaukumi"/>
            </w:pPr>
            <w:r w:rsidRPr="00E13AEA">
              <w:lastRenderedPageBreak/>
              <w:t>Studiju rezultāti</w:t>
            </w:r>
          </w:p>
        </w:tc>
      </w:tr>
      <w:tr w:rsidR="00E13AEA" w:rsidRPr="00E13AEA" w14:paraId="58B5DCF9" w14:textId="77777777" w:rsidTr="00C33379">
        <w:tc>
          <w:tcPr>
            <w:tcW w:w="9039" w:type="dxa"/>
            <w:gridSpan w:val="2"/>
          </w:tcPr>
          <w:tbl>
            <w:tblPr>
              <w:tblW w:w="0" w:type="auto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04"/>
            </w:tblGrid>
            <w:tr w:rsidR="00217E8A" w14:paraId="2B08B821" w14:textId="77777777" w:rsidTr="00217E8A"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8B45FC" w14:textId="77777777" w:rsidR="00217E8A" w:rsidRPr="00F940D9" w:rsidRDefault="00217E8A" w:rsidP="00F940D9">
                  <w:pPr>
                    <w:pStyle w:val="NoSpacing"/>
                  </w:pPr>
                  <w:permStart w:id="51347137" w:edGrp="everyone"/>
                  <w:r w:rsidRPr="00181D7E">
                    <w:t xml:space="preserve">Zināšanas </w:t>
                  </w:r>
                </w:p>
              </w:tc>
            </w:tr>
            <w:tr w:rsidR="00217E8A" w14:paraId="13035565" w14:textId="77777777" w:rsidTr="00217E8A">
              <w:trPr>
                <w:trHeight w:val="654"/>
              </w:trPr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8C8CD4" w14:textId="77777777" w:rsidR="00217E8A" w:rsidRPr="00F940D9" w:rsidRDefault="00217E8A" w:rsidP="00F940D9">
                  <w:pPr>
                    <w:pStyle w:val="NoSpacing"/>
                  </w:pPr>
                  <w:r w:rsidRPr="00181D7E">
                    <w:t xml:space="preserve">1. Pārzina un izskaidro </w:t>
                  </w:r>
                  <w:r w:rsidR="00191A6D">
                    <w:t>vācu-latviešu literatūras sakaru</w:t>
                  </w:r>
                  <w:r w:rsidR="003E7C04">
                    <w:t xml:space="preserve"> likumsakarības.</w:t>
                  </w:r>
                </w:p>
              </w:tc>
            </w:tr>
            <w:tr w:rsidR="00217E8A" w14:paraId="6421E07D" w14:textId="77777777" w:rsidTr="00217E8A">
              <w:trPr>
                <w:trHeight w:val="611"/>
              </w:trPr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FB5E6" w14:textId="77777777" w:rsidR="00217E8A" w:rsidRPr="00F940D9" w:rsidRDefault="00217E8A" w:rsidP="00F940D9">
                  <w:pPr>
                    <w:pStyle w:val="NoSpacing"/>
                  </w:pPr>
                  <w:r w:rsidRPr="00181D7E">
                    <w:t xml:space="preserve">2. </w:t>
                  </w:r>
                  <w:r w:rsidR="003E7C04">
                    <w:t xml:space="preserve">Analizē </w:t>
                  </w:r>
                  <w:r w:rsidR="003E7C04" w:rsidRPr="003E7C04">
                    <w:t xml:space="preserve">konkrētu literāro darbu </w:t>
                  </w:r>
                  <w:r w:rsidR="003E7C04">
                    <w:t>paralēles, ietekmes un aizguvumus</w:t>
                  </w:r>
                  <w:r w:rsidR="008178E2" w:rsidRPr="00181D7E">
                    <w:t>.</w:t>
                  </w:r>
                </w:p>
              </w:tc>
            </w:tr>
            <w:tr w:rsidR="00217E8A" w:rsidRPr="00181D7E" w14:paraId="6B552AFE" w14:textId="77777777" w:rsidTr="00217E8A"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AE1480" w14:textId="77777777" w:rsidR="00217E8A" w:rsidRPr="00F940D9" w:rsidRDefault="00217E8A" w:rsidP="00F940D9">
                  <w:pPr>
                    <w:pStyle w:val="NoSpacing"/>
                  </w:pPr>
                  <w:r w:rsidRPr="00181D7E">
                    <w:t>3.</w:t>
                  </w:r>
                  <w:r w:rsidR="00A658F5">
                    <w:t xml:space="preserve"> Izprot literāro darbu īpatnības dažādu kultūras tipu kontekstā.</w:t>
                  </w:r>
                </w:p>
              </w:tc>
            </w:tr>
            <w:tr w:rsidR="00217E8A" w14:paraId="0CACBDD8" w14:textId="77777777" w:rsidTr="00217E8A"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5F50D5" w14:textId="77777777" w:rsidR="00217E8A" w:rsidRPr="00F940D9" w:rsidRDefault="00217E8A" w:rsidP="00F940D9">
                  <w:pPr>
                    <w:pStyle w:val="NoSpacing"/>
                  </w:pPr>
                  <w:r w:rsidRPr="00181D7E">
                    <w:t>Prasmes</w:t>
                  </w:r>
                </w:p>
              </w:tc>
            </w:tr>
            <w:tr w:rsidR="00217E8A" w14:paraId="29E93FF5" w14:textId="77777777" w:rsidTr="00217E8A"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BBF5D" w14:textId="77777777" w:rsidR="00217E8A" w:rsidRPr="00181D7E" w:rsidRDefault="00217E8A" w:rsidP="00A658F5">
                  <w:pPr>
                    <w:pStyle w:val="NoSpacing"/>
                  </w:pPr>
                  <w:r w:rsidRPr="00181D7E">
                    <w:t xml:space="preserve">4. Analītiski </w:t>
                  </w:r>
                  <w:r w:rsidRPr="00F940D9">
                    <w:t>izvērtē literāros tekstus</w:t>
                  </w:r>
                  <w:r w:rsidR="00A658F5">
                    <w:t>, izprotot to iekļaušanos kopējā kultūras paradigmā.</w:t>
                  </w:r>
                </w:p>
              </w:tc>
            </w:tr>
            <w:tr w:rsidR="00217E8A" w14:paraId="6D60EF1D" w14:textId="77777777" w:rsidTr="00217E8A"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47666E" w14:textId="77777777" w:rsidR="00217E8A" w:rsidRPr="00F940D9" w:rsidRDefault="00217E8A" w:rsidP="00F940D9">
                  <w:pPr>
                    <w:pStyle w:val="NoSpacing"/>
                  </w:pPr>
                  <w:r w:rsidRPr="00181D7E">
                    <w:t>5. Demonstrē prasmi strādāt ar teorētisko literatūru, li</w:t>
                  </w:r>
                  <w:r w:rsidRPr="00F940D9">
                    <w:t xml:space="preserve">teratūrvēsturiskiem pētījumiem un </w:t>
                  </w:r>
                  <w:proofErr w:type="spellStart"/>
                  <w:r w:rsidRPr="00F940D9">
                    <w:t>literatūrkritiskiem</w:t>
                  </w:r>
                  <w:proofErr w:type="spellEnd"/>
                  <w:r w:rsidRPr="00F940D9">
                    <w:t xml:space="preserve"> tekstiem, atlasot, sistematizējot un komentējot svarīgākās atziņas.</w:t>
                  </w:r>
                </w:p>
                <w:p w14:paraId="72316E4A" w14:textId="77777777" w:rsidR="00217E8A" w:rsidRPr="00181D7E" w:rsidRDefault="00217E8A" w:rsidP="00F940D9">
                  <w:pPr>
                    <w:pStyle w:val="NoSpacing"/>
                  </w:pPr>
                </w:p>
              </w:tc>
            </w:tr>
            <w:tr w:rsidR="00217E8A" w:rsidRPr="00181D7E" w14:paraId="6379A5AF" w14:textId="77777777" w:rsidTr="00217E8A"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20A78" w14:textId="77777777" w:rsidR="00217E8A" w:rsidRPr="00F940D9" w:rsidRDefault="00217E8A" w:rsidP="00F940D9">
                  <w:pPr>
                    <w:pStyle w:val="NoSpacing"/>
                  </w:pPr>
                  <w:r w:rsidRPr="00181D7E">
                    <w:t>6. Prezentē patstāvīgi veikta pētnieciskā darba rezultātus, izmantojot modernās tehnoloģijas.</w:t>
                  </w:r>
                </w:p>
                <w:p w14:paraId="41187CD4" w14:textId="77777777" w:rsidR="00217E8A" w:rsidRPr="00181D7E" w:rsidRDefault="00217E8A" w:rsidP="00F940D9">
                  <w:pPr>
                    <w:pStyle w:val="NoSpacing"/>
                  </w:pPr>
                </w:p>
              </w:tc>
            </w:tr>
            <w:tr w:rsidR="00217E8A" w14:paraId="4AE9D75E" w14:textId="77777777" w:rsidTr="00217E8A"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D60E27" w14:textId="77777777" w:rsidR="00217E8A" w:rsidRPr="00F940D9" w:rsidRDefault="00217E8A" w:rsidP="00F940D9">
                  <w:pPr>
                    <w:pStyle w:val="NoSpacing"/>
                  </w:pPr>
                  <w:r w:rsidRPr="00181D7E">
                    <w:t>Kompetence</w:t>
                  </w:r>
                </w:p>
              </w:tc>
            </w:tr>
            <w:tr w:rsidR="00217E8A" w:rsidRPr="00181D7E" w14:paraId="51ECDC08" w14:textId="77777777" w:rsidTr="00217E8A">
              <w:trPr>
                <w:trHeight w:val="954"/>
              </w:trPr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F80BE4" w14:textId="77777777" w:rsidR="00217E8A" w:rsidRPr="00F940D9" w:rsidRDefault="00C6150D" w:rsidP="00F940D9">
                  <w:r>
                    <w:t>7</w:t>
                  </w:r>
                  <w:r w:rsidR="00217E8A" w:rsidRPr="00181D7E">
                    <w:t xml:space="preserve">. Patstāvīgi padziļina savu profesionālo kompetenci, </w:t>
                  </w:r>
                  <w:r w:rsidR="00217E8A" w:rsidRPr="00F940D9">
                    <w:t>izzinot aktuāl</w:t>
                  </w:r>
                  <w:r w:rsidR="008178E2">
                    <w:t xml:space="preserve">as </w:t>
                  </w:r>
                  <w:r w:rsidR="003E7C04" w:rsidRPr="003E7C04">
                    <w:t>vācu un latviešu</w:t>
                  </w:r>
                  <w:r w:rsidR="003E7C04">
                    <w:t xml:space="preserve"> literatūras un kultūras sakaru </w:t>
                  </w:r>
                  <w:r w:rsidR="00217E8A" w:rsidRPr="00F940D9">
                    <w:t>tendences</w:t>
                  </w:r>
                  <w:r w:rsidR="003E7C04">
                    <w:t xml:space="preserve">. </w:t>
                  </w:r>
                </w:p>
              </w:tc>
            </w:tr>
            <w:permEnd w:id="51347137"/>
          </w:tbl>
          <w:p w14:paraId="06C1ED36" w14:textId="77777777" w:rsidR="00525213" w:rsidRPr="00E13AEA" w:rsidRDefault="00525213" w:rsidP="00525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13AEA" w:rsidRPr="00E13AEA" w14:paraId="7FD1101A" w14:textId="77777777" w:rsidTr="00C33379">
        <w:tc>
          <w:tcPr>
            <w:tcW w:w="9039" w:type="dxa"/>
            <w:gridSpan w:val="2"/>
          </w:tcPr>
          <w:p w14:paraId="53EB2AAD" w14:textId="77777777" w:rsidR="00525213" w:rsidRPr="00E13AEA" w:rsidRDefault="00525213" w:rsidP="00EA1A34">
            <w:pPr>
              <w:pStyle w:val="Nosaukumi"/>
            </w:pPr>
            <w:r w:rsidRPr="00E13AEA">
              <w:t>Prasības kredītpunktu iegūšanai</w:t>
            </w:r>
          </w:p>
        </w:tc>
      </w:tr>
      <w:tr w:rsidR="00E13AEA" w:rsidRPr="00E13AEA" w14:paraId="66F32B87" w14:textId="77777777" w:rsidTr="00C33379">
        <w:tc>
          <w:tcPr>
            <w:tcW w:w="9039" w:type="dxa"/>
            <w:gridSpan w:val="2"/>
          </w:tcPr>
          <w:p w14:paraId="1263ACCF" w14:textId="77777777" w:rsidR="00F940D9" w:rsidRPr="00F940D9" w:rsidRDefault="000341D6" w:rsidP="00F940D9">
            <w:permStart w:id="1711146573" w:edGrp="everyone"/>
            <w:r>
              <w:t>O</w:t>
            </w:r>
            <w:r w:rsidR="00F940D9" w:rsidRPr="00F940D9">
              <w:t xml:space="preserve">bligāts semināru apmeklējums + </w:t>
            </w:r>
            <w:r w:rsidR="005A4102">
              <w:t>3</w:t>
            </w:r>
            <w:r w:rsidR="00F940D9" w:rsidRPr="00F940D9">
              <w:t xml:space="preserve"> </w:t>
            </w:r>
            <w:proofErr w:type="spellStart"/>
            <w:r w:rsidR="00F940D9" w:rsidRPr="00F940D9">
              <w:t>starppārbaudījumi</w:t>
            </w:r>
            <w:proofErr w:type="spellEnd"/>
            <w:r w:rsidR="00F940D9" w:rsidRPr="00F940D9">
              <w:t xml:space="preserve">. </w:t>
            </w:r>
          </w:p>
          <w:p w14:paraId="14E94251" w14:textId="77777777" w:rsidR="00F940D9" w:rsidRPr="00F940D9" w:rsidRDefault="00F940D9" w:rsidP="00F940D9">
            <w:r>
              <w:t>Gala pārbaudījums</w:t>
            </w:r>
            <w:r w:rsidRPr="00F940D9">
              <w:t xml:space="preserve"> – </w:t>
            </w:r>
            <w:r w:rsidR="005A4102">
              <w:t>diferencētā ieskaite</w:t>
            </w:r>
            <w:r w:rsidRPr="00F940D9">
              <w:t>.</w:t>
            </w:r>
          </w:p>
          <w:p w14:paraId="53A1CAFB" w14:textId="77777777" w:rsidR="00F940D9" w:rsidRPr="00937248" w:rsidRDefault="00F940D9" w:rsidP="00F940D9"/>
          <w:p w14:paraId="00F4E9D0" w14:textId="77777777" w:rsidR="00F940D9" w:rsidRPr="00F940D9" w:rsidRDefault="00F940D9" w:rsidP="00F940D9">
            <w:r w:rsidRPr="00937248">
              <w:t xml:space="preserve">Atzīme tiek aprēķināta kā vidējā svērtā atzīme par: </w:t>
            </w:r>
          </w:p>
          <w:p w14:paraId="4EBA6FE2" w14:textId="77777777" w:rsidR="00F940D9" w:rsidRPr="00F940D9" w:rsidRDefault="00F940D9" w:rsidP="00F940D9">
            <w:r w:rsidRPr="00937248">
              <w:lastRenderedPageBreak/>
              <w:t>regulāru nodarbību apmeklējumu un aktīvu darbu semināros (pozitīvs vērtējums par semināra jautājumiem);</w:t>
            </w:r>
          </w:p>
          <w:p w14:paraId="61630818" w14:textId="77777777" w:rsidR="00F940D9" w:rsidRPr="00F940D9" w:rsidRDefault="00F940D9" w:rsidP="00F940D9">
            <w:r w:rsidRPr="00937248">
              <w:t>patstāvīgo darbu izpildi (</w:t>
            </w:r>
            <w:proofErr w:type="spellStart"/>
            <w:r w:rsidRPr="00937248">
              <w:t>starppārbaudījumu</w:t>
            </w:r>
            <w:proofErr w:type="spellEnd"/>
            <w:r w:rsidRPr="00937248">
              <w:t xml:space="preserve"> rezultāti);</w:t>
            </w:r>
          </w:p>
          <w:p w14:paraId="2F3A619A" w14:textId="77777777" w:rsidR="00F940D9" w:rsidRPr="00F940D9" w:rsidRDefault="00F940D9" w:rsidP="00F940D9">
            <w:r w:rsidRPr="00937248">
              <w:t>gala pārbaudījumu.</w:t>
            </w:r>
          </w:p>
          <w:p w14:paraId="6DBF2576" w14:textId="77777777" w:rsidR="00F940D9" w:rsidRPr="00F940D9" w:rsidRDefault="00F940D9" w:rsidP="00F940D9">
            <w:r w:rsidRPr="00937248">
              <w:t xml:space="preserve">Studiju kursa apguve tā noslēgumā tiek vērtēta 10 </w:t>
            </w:r>
            <w:proofErr w:type="spellStart"/>
            <w:r w:rsidRPr="00937248">
              <w:t>ballu</w:t>
            </w:r>
            <w:proofErr w:type="spellEnd"/>
            <w:r w:rsidRPr="00937248">
              <w:t xml:space="preserve"> skalā saskaņā</w:t>
            </w:r>
            <w:r w:rsidRPr="00F940D9">
              <w:t xml:space="preserve"> ar Latvijas Republikas Ministru kabineta noteikumiem Nr. 141, Nr. 512, Nr. 240, ievērojot šādus kritērijus: iegūto zināšanu apjoms un kvalitāte; iegūtās prasmes; iegūtā kompetence atbilstoši plānotajiem studiju rezultātiem.</w:t>
            </w:r>
          </w:p>
          <w:permEnd w:id="1711146573"/>
          <w:p w14:paraId="590D1BDF" w14:textId="77777777" w:rsidR="00525213" w:rsidRPr="00E13AEA" w:rsidRDefault="00525213" w:rsidP="0052521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13AEA" w:rsidRPr="00E13AEA" w14:paraId="0FF7CE7C" w14:textId="77777777" w:rsidTr="00C33379">
        <w:tc>
          <w:tcPr>
            <w:tcW w:w="9039" w:type="dxa"/>
            <w:gridSpan w:val="2"/>
          </w:tcPr>
          <w:tbl>
            <w:tblPr>
              <w:tblW w:w="65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00"/>
              <w:gridCol w:w="554"/>
              <w:gridCol w:w="424"/>
              <w:gridCol w:w="422"/>
              <w:gridCol w:w="557"/>
              <w:gridCol w:w="557"/>
              <w:gridCol w:w="557"/>
              <w:gridCol w:w="557"/>
              <w:gridCol w:w="422"/>
              <w:gridCol w:w="426"/>
            </w:tblGrid>
            <w:tr w:rsidR="00F940D9" w:rsidRPr="00937248" w14:paraId="674FEEEE" w14:textId="77777777" w:rsidTr="00A45A5C">
              <w:trPr>
                <w:jc w:val="center"/>
              </w:trPr>
              <w:tc>
                <w:tcPr>
                  <w:tcW w:w="2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D9BB01" w14:textId="77777777" w:rsidR="00F940D9" w:rsidRPr="00F940D9" w:rsidRDefault="00F940D9" w:rsidP="00F940D9">
                  <w:permStart w:id="214634369" w:edGrp="everyone"/>
                  <w:r w:rsidRPr="00937248">
                    <w:lastRenderedPageBreak/>
                    <w:t>Pārbaudījumu veidi</w:t>
                  </w:r>
                </w:p>
              </w:tc>
              <w:tc>
                <w:tcPr>
                  <w:tcW w:w="447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E7CA7D" w14:textId="77777777" w:rsidR="00F940D9" w:rsidRPr="00F940D9" w:rsidRDefault="00F940D9" w:rsidP="00F940D9">
                  <w:r w:rsidRPr="00937248">
                    <w:t>Studiju rezultāti</w:t>
                  </w:r>
                </w:p>
              </w:tc>
            </w:tr>
            <w:tr w:rsidR="00F940D9" w:rsidRPr="00937248" w14:paraId="60BBA69E" w14:textId="77777777" w:rsidTr="00C6150D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8E1248" w14:textId="77777777" w:rsidR="00F940D9" w:rsidRPr="00937248" w:rsidRDefault="00F940D9" w:rsidP="00F940D9"/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600442" w14:textId="77777777" w:rsidR="00F940D9" w:rsidRPr="00F940D9" w:rsidRDefault="00F940D9" w:rsidP="00F940D9">
                  <w:r w:rsidRPr="00937248">
                    <w:t>1.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904958" w14:textId="77777777" w:rsidR="00F940D9" w:rsidRPr="00F940D9" w:rsidRDefault="00F940D9" w:rsidP="00F940D9">
                  <w:r w:rsidRPr="00937248">
                    <w:t>2.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5A9374" w14:textId="77777777" w:rsidR="00F940D9" w:rsidRPr="00F940D9" w:rsidRDefault="00F940D9" w:rsidP="00F940D9">
                  <w:r w:rsidRPr="00937248">
                    <w:t>3.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D7A4DB" w14:textId="77777777" w:rsidR="00F940D9" w:rsidRPr="00F940D9" w:rsidRDefault="00F940D9" w:rsidP="00F940D9">
                  <w:r w:rsidRPr="00937248">
                    <w:t>4.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DC259F" w14:textId="77777777" w:rsidR="00F940D9" w:rsidRPr="00F940D9" w:rsidRDefault="00F940D9" w:rsidP="00F940D9">
                  <w:r w:rsidRPr="00937248">
                    <w:t>5.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9C2A37" w14:textId="77777777" w:rsidR="00F940D9" w:rsidRPr="00F940D9" w:rsidRDefault="00F940D9" w:rsidP="00F940D9">
                  <w:r w:rsidRPr="00937248">
                    <w:t>6.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0C5792" w14:textId="77777777" w:rsidR="00F940D9" w:rsidRPr="00F940D9" w:rsidRDefault="00F940D9" w:rsidP="00F940D9">
                  <w:r w:rsidRPr="00937248">
                    <w:t>7.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862D8" w14:textId="77777777" w:rsidR="00F940D9" w:rsidRPr="00F940D9" w:rsidRDefault="00F940D9" w:rsidP="00F940D9"/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44B409" w14:textId="77777777" w:rsidR="00F940D9" w:rsidRPr="00F940D9" w:rsidRDefault="00F940D9" w:rsidP="00F940D9"/>
              </w:tc>
            </w:tr>
            <w:tr w:rsidR="00F940D9" w:rsidRPr="00937248" w14:paraId="3914CA51" w14:textId="77777777" w:rsidTr="00C6150D">
              <w:trPr>
                <w:jc w:val="center"/>
              </w:trPr>
              <w:tc>
                <w:tcPr>
                  <w:tcW w:w="2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F3E413" w14:textId="77777777" w:rsidR="00F940D9" w:rsidRPr="00F940D9" w:rsidRDefault="00F940D9" w:rsidP="00F940D9">
                  <w:r w:rsidRPr="00937248">
                    <w:t>1.starppārbaudījums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817D3A" w14:textId="77777777" w:rsidR="00F940D9" w:rsidRPr="00937248" w:rsidRDefault="005A4102" w:rsidP="00F940D9">
                  <w:pPr>
                    <w:rPr>
                      <w:highlight w:val="yellow"/>
                    </w:rPr>
                  </w:pPr>
                  <w:r>
                    <w:rPr>
                      <w:highlight w:val="yellow"/>
                    </w:rPr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ADE91E" w14:textId="77777777" w:rsidR="00F940D9" w:rsidRPr="00937248" w:rsidRDefault="005A4102" w:rsidP="00F940D9">
                  <w:pPr>
                    <w:rPr>
                      <w:highlight w:val="yellow"/>
                    </w:rPr>
                  </w:pPr>
                  <w:r>
                    <w:rPr>
                      <w:highlight w:val="yellow"/>
                    </w:rPr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D515F2" w14:textId="77777777" w:rsidR="00F940D9" w:rsidRPr="00F940D9" w:rsidRDefault="00F940D9" w:rsidP="00F940D9">
                  <w:r w:rsidRPr="00937248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B78390" w14:textId="77777777" w:rsidR="00F940D9" w:rsidRPr="00F940D9" w:rsidRDefault="00F940D9" w:rsidP="00F940D9">
                  <w:r w:rsidRPr="00937248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3EE9F4" w14:textId="77777777" w:rsidR="00F940D9" w:rsidRPr="00F940D9" w:rsidRDefault="00F940D9" w:rsidP="00F940D9">
                  <w:r w:rsidRPr="00937248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A21549" w14:textId="77777777" w:rsidR="00F940D9" w:rsidRPr="00F940D9" w:rsidRDefault="00F940D9" w:rsidP="00F940D9">
                  <w:r w:rsidRPr="00937248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17795F" w14:textId="77777777" w:rsidR="00F940D9" w:rsidRPr="00937248" w:rsidRDefault="00C6150D" w:rsidP="00F940D9">
                  <w:r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9801E8" w14:textId="77777777" w:rsidR="00F940D9" w:rsidRPr="00F940D9" w:rsidRDefault="00F940D9" w:rsidP="00F940D9"/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8E1DA9" w14:textId="77777777" w:rsidR="00F940D9" w:rsidRPr="00F940D9" w:rsidRDefault="00F940D9" w:rsidP="00F940D9"/>
              </w:tc>
            </w:tr>
            <w:tr w:rsidR="00F940D9" w:rsidRPr="00937248" w14:paraId="2B3523A7" w14:textId="77777777" w:rsidTr="00C6150D">
              <w:trPr>
                <w:jc w:val="center"/>
              </w:trPr>
              <w:tc>
                <w:tcPr>
                  <w:tcW w:w="2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A24AE2" w14:textId="77777777" w:rsidR="00F940D9" w:rsidRPr="00F940D9" w:rsidRDefault="00F940D9" w:rsidP="00F940D9">
                  <w:r w:rsidRPr="00937248">
                    <w:t>2.starppārbaudījums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1FA88E" w14:textId="77777777" w:rsidR="00F940D9" w:rsidRPr="00937248" w:rsidRDefault="00F940D9" w:rsidP="00F940D9"/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920B28" w14:textId="77777777" w:rsidR="00F940D9" w:rsidRPr="00937248" w:rsidRDefault="00F940D9" w:rsidP="00F940D9"/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C2C085" w14:textId="77777777" w:rsidR="00F940D9" w:rsidRPr="00F940D9" w:rsidRDefault="00F940D9" w:rsidP="00F940D9">
                  <w:r w:rsidRPr="00937248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6070A1" w14:textId="77777777" w:rsidR="00F940D9" w:rsidRPr="00F940D9" w:rsidRDefault="00F940D9" w:rsidP="00F940D9">
                  <w:r w:rsidRPr="00937248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CDA0D0" w14:textId="77777777" w:rsidR="00F940D9" w:rsidRPr="00937248" w:rsidRDefault="00F940D9" w:rsidP="00F940D9"/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9F1A9D" w14:textId="77777777" w:rsidR="00F940D9" w:rsidRPr="00F940D9" w:rsidRDefault="00F940D9" w:rsidP="00F940D9">
                  <w:r w:rsidRPr="00937248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CCC4B6" w14:textId="77777777" w:rsidR="00F940D9" w:rsidRPr="00F940D9" w:rsidRDefault="00F940D9" w:rsidP="00F940D9">
                  <w:r w:rsidRPr="0093724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A3657D" w14:textId="77777777" w:rsidR="00F940D9" w:rsidRPr="00F940D9" w:rsidRDefault="00F940D9" w:rsidP="00F940D9"/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79516A" w14:textId="77777777" w:rsidR="00F940D9" w:rsidRPr="00F940D9" w:rsidRDefault="00F940D9" w:rsidP="00F940D9"/>
              </w:tc>
            </w:tr>
            <w:tr w:rsidR="00F940D9" w:rsidRPr="00937248" w14:paraId="6FB7BA89" w14:textId="77777777" w:rsidTr="00FC1487">
              <w:trPr>
                <w:jc w:val="center"/>
              </w:trPr>
              <w:tc>
                <w:tcPr>
                  <w:tcW w:w="2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A596D5" w14:textId="77777777" w:rsidR="00F940D9" w:rsidRPr="00F940D9" w:rsidRDefault="005A4102" w:rsidP="00F940D9">
                  <w:r>
                    <w:t>3</w:t>
                  </w:r>
                  <w:r w:rsidRPr="00937248">
                    <w:t>.starppārbaudījums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984910" w14:textId="77777777" w:rsidR="00F940D9" w:rsidRPr="00F940D9" w:rsidRDefault="00F940D9" w:rsidP="00F940D9"/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37C2ED" w14:textId="77777777" w:rsidR="00F940D9" w:rsidRPr="00F940D9" w:rsidRDefault="00F940D9" w:rsidP="00F940D9"/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3DEF52" w14:textId="77777777" w:rsidR="00F940D9" w:rsidRPr="00937248" w:rsidRDefault="00F940D9" w:rsidP="00F940D9"/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12BB96" w14:textId="77777777" w:rsidR="00F940D9" w:rsidRPr="00F940D9" w:rsidRDefault="005A4102" w:rsidP="00F940D9">
                  <w:r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B33612" w14:textId="77777777" w:rsidR="00F940D9" w:rsidRPr="00937248" w:rsidRDefault="005A4102" w:rsidP="00F940D9">
                  <w:r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2E3371" w14:textId="77777777" w:rsidR="00F940D9" w:rsidRPr="00F940D9" w:rsidRDefault="005A4102" w:rsidP="00F940D9">
                  <w:r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786D42" w14:textId="77777777" w:rsidR="00F940D9" w:rsidRPr="00F940D9" w:rsidRDefault="00F940D9" w:rsidP="00F940D9"/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47CCF" w14:textId="77777777" w:rsidR="00F940D9" w:rsidRPr="00F940D9" w:rsidRDefault="00F940D9" w:rsidP="00F940D9"/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4C007" w14:textId="77777777" w:rsidR="00F940D9" w:rsidRPr="00937248" w:rsidRDefault="00F940D9" w:rsidP="00F940D9"/>
              </w:tc>
            </w:tr>
            <w:permEnd w:id="214634369"/>
          </w:tbl>
          <w:p w14:paraId="767C0C7B" w14:textId="77777777" w:rsidR="00EA1A34" w:rsidRPr="00E13AEA" w:rsidRDefault="00EA1A34" w:rsidP="0052521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13AEA" w:rsidRPr="00E13AEA" w14:paraId="4BC02ABA" w14:textId="77777777" w:rsidTr="00C33379">
        <w:tc>
          <w:tcPr>
            <w:tcW w:w="9039" w:type="dxa"/>
            <w:gridSpan w:val="2"/>
          </w:tcPr>
          <w:p w14:paraId="30B93201" w14:textId="77777777" w:rsidR="00525213" w:rsidRPr="00E13AEA" w:rsidRDefault="00525213" w:rsidP="00EA1A34">
            <w:pPr>
              <w:pStyle w:val="Nosaukumi"/>
            </w:pPr>
            <w:r w:rsidRPr="00E13AEA">
              <w:t>Kursa saturs</w:t>
            </w:r>
            <w:r w:rsidRPr="00E13AEA">
              <w:rPr>
                <w:shd w:val="clear" w:color="auto" w:fill="F1F1F1"/>
              </w:rPr>
              <w:t xml:space="preserve">  </w:t>
            </w:r>
          </w:p>
        </w:tc>
      </w:tr>
      <w:tr w:rsidR="00E13AEA" w:rsidRPr="00E13AEA" w14:paraId="15EC56FD" w14:textId="77777777" w:rsidTr="00C33379">
        <w:tc>
          <w:tcPr>
            <w:tcW w:w="9039" w:type="dxa"/>
            <w:gridSpan w:val="2"/>
          </w:tcPr>
          <w:p w14:paraId="2633FDA9" w14:textId="77777777" w:rsidR="00B71CD7" w:rsidRDefault="00F940D9" w:rsidP="00B71CD7">
            <w:permStart w:id="1987210373" w:edGrp="everyone"/>
            <w:r>
              <w:t xml:space="preserve">1. </w:t>
            </w:r>
            <w:r w:rsidR="00B71CD7" w:rsidRPr="00B71CD7">
              <w:t xml:space="preserve">Vācu-latviešu kultūras sakari: ietekmes, aizguvumi, paralēles, </w:t>
            </w:r>
            <w:proofErr w:type="spellStart"/>
            <w:r w:rsidR="00B71CD7" w:rsidRPr="00B71CD7">
              <w:t>kultūrtēli</w:t>
            </w:r>
            <w:proofErr w:type="spellEnd"/>
            <w:r w:rsidR="00B71CD7" w:rsidRPr="00B71CD7">
              <w:t xml:space="preserve">. </w:t>
            </w:r>
            <w:proofErr w:type="spellStart"/>
            <w:r w:rsidR="00B71CD7" w:rsidRPr="00B71CD7">
              <w:t>Postkoloniālisma</w:t>
            </w:r>
            <w:proofErr w:type="spellEnd"/>
            <w:r w:rsidR="00B71CD7" w:rsidRPr="00B71CD7">
              <w:t xml:space="preserve"> </w:t>
            </w:r>
            <w:r w:rsidR="00B71CD7">
              <w:t>dimensija</w:t>
            </w:r>
            <w:r w:rsidR="00B71CD7" w:rsidRPr="00B71CD7">
              <w:t xml:space="preserve"> vācu un latviešu kultūra sakaru studijās. </w:t>
            </w:r>
            <w:r w:rsidR="00B71CD7">
              <w:t xml:space="preserve">Identitātes aspekti vācu-latviešu kultūru sakaros. </w:t>
            </w:r>
            <w:r w:rsidR="00B71CD7" w:rsidRPr="00B71CD7">
              <w:t>L 2</w:t>
            </w:r>
          </w:p>
          <w:p w14:paraId="3396F8F0" w14:textId="77777777" w:rsidR="00B71CD7" w:rsidRPr="00B71CD7" w:rsidRDefault="00B71CD7" w:rsidP="00B71CD7"/>
          <w:p w14:paraId="41D8E009" w14:textId="77777777" w:rsidR="00B71CD7" w:rsidRDefault="00B71CD7" w:rsidP="00B71CD7">
            <w:r>
              <w:t xml:space="preserve">2. </w:t>
            </w:r>
            <w:r w:rsidRPr="00B71CD7">
              <w:t xml:space="preserve">Austrumi kā vācu ekspansijas vektors. Vācu kustības uz austrumiem iemesli. Vācija un Polija. Vācija un Baltija. Baltija Livonijas ordeņa laikā un pēc tā. Vācu – baltiešu un vācu-latviešu kontaktu iesākums. Austrumu vektors mūsu ēras otrās tūkstošgades vācu politikā. 13. gs. vācu ekspansija. Reliģiskie, ekonomikas, kultūras, vēstures kontakti 14.–17. </w:t>
            </w:r>
            <w:proofErr w:type="spellStart"/>
            <w:r w:rsidRPr="00B71CD7">
              <w:t>gs</w:t>
            </w:r>
            <w:proofErr w:type="spellEnd"/>
            <w:r w:rsidRPr="00B71CD7">
              <w:t xml:space="preserve"> starp vācu kultūru un Baltiju. L 2</w:t>
            </w:r>
          </w:p>
          <w:p w14:paraId="381792BC" w14:textId="77777777" w:rsidR="00B71CD7" w:rsidRDefault="00B71CD7" w:rsidP="00B71CD7">
            <w:r w:rsidRPr="00B71CD7">
              <w:br/>
            </w:r>
            <w:r>
              <w:t xml:space="preserve">3. </w:t>
            </w:r>
            <w:r w:rsidRPr="00B71CD7">
              <w:t xml:space="preserve">Vācbaltieši un latviešu pasaule: 18. gs. Vācu kultūras loma latviešu kultūras veidošanas procesā. Vācu un latviešu kultūru nošķiršanas problemātika 17.–18. gadsimtā. Vācu mācītāju veidoto rokasgrāmatu un </w:t>
            </w:r>
            <w:proofErr w:type="spellStart"/>
            <w:r w:rsidRPr="00B71CD7">
              <w:t>dziesmugrāmatu</w:t>
            </w:r>
            <w:proofErr w:type="spellEnd"/>
            <w:r w:rsidRPr="00B71CD7">
              <w:t xml:space="preserve"> loma latviešu kultūrvides veidošanā, to īpatnības. Vācu daiļliteratūras lokalizējumi latviešu valodā. Vācu dzejas ietekme uz latviešu dzejas tradīciju. </w:t>
            </w:r>
            <w:r>
              <w:t>S 2</w:t>
            </w:r>
          </w:p>
          <w:p w14:paraId="7B650B7D" w14:textId="77777777" w:rsidR="00B71CD7" w:rsidRPr="00B71CD7" w:rsidRDefault="00B71CD7" w:rsidP="00B71CD7">
            <w:r w:rsidRPr="00B71CD7">
              <w:br/>
            </w:r>
            <w:r>
              <w:t xml:space="preserve">4. </w:t>
            </w:r>
            <w:r w:rsidRPr="00B71CD7">
              <w:t xml:space="preserve">Vācieši 18.–19. gs. Latvijas teritorijā. </w:t>
            </w:r>
            <w:proofErr w:type="spellStart"/>
            <w:r w:rsidRPr="00B71CD7">
              <w:t>Hernhūtisms</w:t>
            </w:r>
            <w:proofErr w:type="spellEnd"/>
            <w:r w:rsidRPr="00B71CD7">
              <w:t xml:space="preserve"> un tā atspoguļojums latviešu literatūrā. Zviedru, poļu, krievu, vācu kultūru mijiedarbība un tās nozīme latviešu kultūras un literatūras attīstībā. </w:t>
            </w:r>
            <w:r w:rsidR="003C61E2">
              <w:t>L 2</w:t>
            </w:r>
          </w:p>
          <w:p w14:paraId="6E76A867" w14:textId="77777777" w:rsidR="00B71CD7" w:rsidRPr="00B71CD7" w:rsidRDefault="00B71CD7" w:rsidP="00B71CD7">
            <w:pPr>
              <w:pStyle w:val="ListParagraph"/>
            </w:pPr>
          </w:p>
          <w:p w14:paraId="59276A22" w14:textId="77777777" w:rsidR="00B71CD7" w:rsidRDefault="00B71CD7" w:rsidP="00B71CD7">
            <w:r w:rsidRPr="00B71CD7">
              <w:t xml:space="preserve">1. </w:t>
            </w:r>
            <w:proofErr w:type="spellStart"/>
            <w:r w:rsidRPr="00B71CD7">
              <w:t>starppārbaudījums</w:t>
            </w:r>
            <w:proofErr w:type="spellEnd"/>
          </w:p>
          <w:p w14:paraId="581F77C9" w14:textId="77777777" w:rsidR="000A79F5" w:rsidRDefault="000A79F5" w:rsidP="00B71CD7"/>
          <w:p w14:paraId="4A434744" w14:textId="77777777" w:rsidR="000A79F5" w:rsidRPr="000A79F5" w:rsidRDefault="000A79F5" w:rsidP="000A79F5">
            <w:r w:rsidRPr="000A79F5">
              <w:t xml:space="preserve">Referāts par </w:t>
            </w:r>
            <w:proofErr w:type="spellStart"/>
            <w:r>
              <w:t>hernhūtisma</w:t>
            </w:r>
            <w:proofErr w:type="spellEnd"/>
            <w:r>
              <w:t xml:space="preserve"> atspoguļojumu latviešu literatūrā.</w:t>
            </w:r>
            <w:r w:rsidRPr="000A79F5">
              <w:t xml:space="preserve"> </w:t>
            </w:r>
          </w:p>
          <w:p w14:paraId="1211CF1A" w14:textId="77777777" w:rsidR="000A79F5" w:rsidRPr="00B71CD7" w:rsidRDefault="000A79F5" w:rsidP="00B71CD7"/>
          <w:p w14:paraId="5042D24A" w14:textId="77777777" w:rsidR="00B71CD7" w:rsidRPr="00B71CD7" w:rsidRDefault="00B71CD7" w:rsidP="00B71CD7">
            <w:pPr>
              <w:pStyle w:val="ListParagraph"/>
            </w:pPr>
          </w:p>
          <w:p w14:paraId="2E8A436A" w14:textId="77777777" w:rsidR="00B71CD7" w:rsidRPr="00B71CD7" w:rsidRDefault="00B71CD7" w:rsidP="00B71CD7">
            <w:r>
              <w:t xml:space="preserve">5. </w:t>
            </w:r>
            <w:r w:rsidRPr="00B71CD7">
              <w:t>Vācu kultūras un Vācijas tēls  periodikā. Vācu valodas nozīme latviešu kultūrā, vācu valoda  kā starpniekvaloda. L</w:t>
            </w:r>
            <w:r w:rsidR="003C61E2">
              <w:t xml:space="preserve"> </w:t>
            </w:r>
            <w:r w:rsidRPr="00B71CD7">
              <w:t>2</w:t>
            </w:r>
          </w:p>
          <w:p w14:paraId="09490DE1" w14:textId="77777777" w:rsidR="00B71CD7" w:rsidRDefault="00B71CD7" w:rsidP="00B71CD7">
            <w:r>
              <w:t xml:space="preserve">6. </w:t>
            </w:r>
            <w:r w:rsidRPr="00B71CD7">
              <w:t xml:space="preserve">Vācbaltieši, to kultūra un literatūra, ietekme uz latviešu kultūru un literatūru. </w:t>
            </w:r>
            <w:proofErr w:type="spellStart"/>
            <w:r w:rsidRPr="00B71CD7">
              <w:t>J.Zīversa</w:t>
            </w:r>
            <w:proofErr w:type="spellEnd"/>
            <w:r w:rsidRPr="00B71CD7">
              <w:t xml:space="preserve"> “Deutsche </w:t>
            </w:r>
            <w:proofErr w:type="spellStart"/>
            <w:r w:rsidRPr="00B71CD7">
              <w:t>Dichter</w:t>
            </w:r>
            <w:proofErr w:type="spellEnd"/>
            <w:r w:rsidRPr="00B71CD7">
              <w:t xml:space="preserve"> </w:t>
            </w:r>
            <w:proofErr w:type="spellStart"/>
            <w:r w:rsidRPr="00B71CD7">
              <w:t>in</w:t>
            </w:r>
            <w:proofErr w:type="spellEnd"/>
            <w:r w:rsidRPr="00B71CD7">
              <w:t xml:space="preserve"> </w:t>
            </w:r>
            <w:proofErr w:type="spellStart"/>
            <w:r w:rsidRPr="00B71CD7">
              <w:t>Russland</w:t>
            </w:r>
            <w:proofErr w:type="spellEnd"/>
            <w:r w:rsidRPr="00B71CD7">
              <w:t xml:space="preserve">”. (1855) </w:t>
            </w:r>
            <w:r>
              <w:t>S 2</w:t>
            </w:r>
          </w:p>
          <w:p w14:paraId="52A63872" w14:textId="77777777" w:rsidR="00B71CD7" w:rsidRPr="00B71CD7" w:rsidRDefault="00B71CD7" w:rsidP="00B71CD7">
            <w:r>
              <w:t xml:space="preserve">7. </w:t>
            </w:r>
            <w:r w:rsidRPr="00B71CD7">
              <w:t xml:space="preserve">Vācbaltiešu nacionālisma uzplaukums 19.–20.gs. mijā. </w:t>
            </w:r>
            <w:proofErr w:type="spellStart"/>
            <w:r w:rsidRPr="00B71CD7">
              <w:t>J.Gintera</w:t>
            </w:r>
            <w:proofErr w:type="spellEnd"/>
            <w:r w:rsidRPr="00B71CD7">
              <w:t xml:space="preserve"> loma vācu-latviešu kultūras satuvināšanā un kultūras mantojuma uzkrāšanā. S</w:t>
            </w:r>
            <w:r>
              <w:t xml:space="preserve"> </w:t>
            </w:r>
            <w:r w:rsidRPr="00B71CD7">
              <w:t>2</w:t>
            </w:r>
          </w:p>
          <w:p w14:paraId="4DD040BC" w14:textId="77777777" w:rsidR="00B71CD7" w:rsidRDefault="00B71CD7" w:rsidP="00B71CD7">
            <w:r>
              <w:t xml:space="preserve">8. </w:t>
            </w:r>
            <w:r w:rsidRPr="00B71CD7">
              <w:t xml:space="preserve">Vācbaltiešu literatūras uzplaukums 19.gs. beigās. Rusifikācijas politikas loma vācu kultūras attīstībā Latvijā. Vācbaltiešu literatūras apkopojumi: “Baltijas dzeju krājums”, “Baltijas dzejas”. Vācbaltiešu literatūra kā emigrācijas literatūra (1918–1939). Reģionu vācieši. </w:t>
            </w:r>
            <w:r>
              <w:t xml:space="preserve">L </w:t>
            </w:r>
            <w:r w:rsidRPr="00B71CD7">
              <w:t>2</w:t>
            </w:r>
          </w:p>
          <w:p w14:paraId="49504589" w14:textId="77777777" w:rsidR="00B71CD7" w:rsidRPr="00B71CD7" w:rsidRDefault="00B71CD7" w:rsidP="00B71CD7"/>
          <w:p w14:paraId="27887F6C" w14:textId="77777777" w:rsidR="00B71CD7" w:rsidRDefault="00B71CD7" w:rsidP="00B71CD7">
            <w:r w:rsidRPr="00B71CD7">
              <w:t xml:space="preserve">2. </w:t>
            </w:r>
            <w:proofErr w:type="spellStart"/>
            <w:r w:rsidRPr="00B71CD7">
              <w:t>starppārbaudījums</w:t>
            </w:r>
            <w:proofErr w:type="spellEnd"/>
          </w:p>
          <w:p w14:paraId="3A8D263B" w14:textId="77777777" w:rsidR="000A79F5" w:rsidRDefault="000A79F5" w:rsidP="00B71CD7"/>
          <w:p w14:paraId="540070A9" w14:textId="77777777" w:rsidR="000A79F5" w:rsidRPr="000A79F5" w:rsidRDefault="000A79F5" w:rsidP="000A79F5">
            <w:r>
              <w:t xml:space="preserve">Bibliogrāfiskais saraksts ar iekļauto teorētiskās literatūras analīzi par latviešu - vācu literārajiem sakariem. </w:t>
            </w:r>
          </w:p>
          <w:p w14:paraId="2FEEEB52" w14:textId="77777777" w:rsidR="000A79F5" w:rsidRPr="00B71CD7" w:rsidRDefault="000A79F5" w:rsidP="00B71CD7"/>
          <w:p w14:paraId="7BC68027" w14:textId="77777777" w:rsidR="00B71CD7" w:rsidRPr="00B71CD7" w:rsidRDefault="00B71CD7" w:rsidP="00B71CD7">
            <w:pPr>
              <w:pStyle w:val="ListParagraph"/>
            </w:pPr>
          </w:p>
          <w:p w14:paraId="092F506E" w14:textId="77777777" w:rsidR="00B71CD7" w:rsidRPr="00B71CD7" w:rsidRDefault="00B71CD7" w:rsidP="00B71CD7">
            <w:r>
              <w:t xml:space="preserve">9. </w:t>
            </w:r>
            <w:r w:rsidRPr="00B71CD7">
              <w:t>18. gs. vācu literatūra Latvijā. Pirmie tulkojumi un lokalizējumi (</w:t>
            </w:r>
            <w:proofErr w:type="spellStart"/>
            <w:r w:rsidRPr="00B71CD7">
              <w:t>A.Līventāls</w:t>
            </w:r>
            <w:proofErr w:type="spellEnd"/>
            <w:r w:rsidRPr="00B71CD7">
              <w:t xml:space="preserve">, </w:t>
            </w:r>
            <w:proofErr w:type="spellStart"/>
            <w:r w:rsidRPr="00B71CD7">
              <w:t>A.Leitāns</w:t>
            </w:r>
            <w:proofErr w:type="spellEnd"/>
            <w:r w:rsidRPr="00B71CD7">
              <w:t xml:space="preserve"> u.c.). Pirmie izdevumi. Ausekļa grāmatā "</w:t>
            </w:r>
            <w:proofErr w:type="spellStart"/>
            <w:r w:rsidRPr="00B71CD7">
              <w:t>Dzeijas</w:t>
            </w:r>
            <w:proofErr w:type="spellEnd"/>
            <w:r w:rsidRPr="00B71CD7">
              <w:t xml:space="preserve"> no </w:t>
            </w:r>
            <w:proofErr w:type="spellStart"/>
            <w:r w:rsidRPr="00B71CD7">
              <w:t>Ausekļa"iekļautie</w:t>
            </w:r>
            <w:proofErr w:type="spellEnd"/>
            <w:r w:rsidRPr="00B71CD7">
              <w:t xml:space="preserve"> atdzejojumi un lokalizējumi. S 2</w:t>
            </w:r>
            <w:r w:rsidRPr="00B71CD7">
              <w:br/>
            </w:r>
          </w:p>
          <w:p w14:paraId="772D53F7" w14:textId="77777777" w:rsidR="00B71CD7" w:rsidRPr="00B71CD7" w:rsidRDefault="00B71CD7" w:rsidP="00B71CD7">
            <w:r>
              <w:t xml:space="preserve">10. </w:t>
            </w:r>
            <w:proofErr w:type="spellStart"/>
            <w:r w:rsidRPr="00B71CD7">
              <w:t>G.Hauptmaņa</w:t>
            </w:r>
            <w:proofErr w:type="spellEnd"/>
            <w:r w:rsidRPr="00B71CD7">
              <w:t xml:space="preserve">, </w:t>
            </w:r>
            <w:proofErr w:type="spellStart"/>
            <w:r w:rsidRPr="00B71CD7">
              <w:t>H.Zūdermaņa</w:t>
            </w:r>
            <w:proofErr w:type="spellEnd"/>
            <w:r w:rsidRPr="00B71CD7">
              <w:t xml:space="preserve"> darbu tulkojumi. Viļa Plūdoņa atdzejojumu krājums “Modernā vācu lirika”. Vācu romantisms un latviešu literatūra. Heines, Hofmaņa u.c. romantiķu ietekme. L 2</w:t>
            </w:r>
          </w:p>
          <w:p w14:paraId="20FB19ED" w14:textId="77777777" w:rsidR="00B71CD7" w:rsidRPr="00B71CD7" w:rsidRDefault="00B71CD7" w:rsidP="00B71CD7"/>
          <w:p w14:paraId="5C1E61DA" w14:textId="77777777" w:rsidR="00B71CD7" w:rsidRPr="00B71CD7" w:rsidRDefault="00B71CD7" w:rsidP="00B71CD7">
            <w:r>
              <w:t xml:space="preserve">11. </w:t>
            </w:r>
            <w:r w:rsidRPr="00B71CD7">
              <w:t xml:space="preserve">Vācu filozofija un psiholoģija latviešu kultūras pasaulē: </w:t>
            </w:r>
            <w:proofErr w:type="spellStart"/>
            <w:r w:rsidRPr="00B71CD7">
              <w:t>Kants</w:t>
            </w:r>
            <w:proofErr w:type="spellEnd"/>
            <w:r w:rsidRPr="00B71CD7">
              <w:t xml:space="preserve">, </w:t>
            </w:r>
            <w:proofErr w:type="spellStart"/>
            <w:r w:rsidRPr="00B71CD7">
              <w:t>Hēgelis</w:t>
            </w:r>
            <w:proofErr w:type="spellEnd"/>
            <w:r w:rsidRPr="00B71CD7">
              <w:t xml:space="preserve">, Nīče, Freids, Jungs, </w:t>
            </w:r>
            <w:proofErr w:type="spellStart"/>
            <w:r w:rsidRPr="00B71CD7">
              <w:t>Assmane</w:t>
            </w:r>
            <w:proofErr w:type="spellEnd"/>
            <w:r w:rsidRPr="00B71CD7">
              <w:t>, Benjamins - tulkojumi latviešu valodā. Vācu mūzika un mūziķi latviešu kultūrā. Vāgnera ietekme. S 2</w:t>
            </w:r>
          </w:p>
          <w:p w14:paraId="149CD059" w14:textId="77777777" w:rsidR="00B71CD7" w:rsidRPr="00B71CD7" w:rsidRDefault="00B71CD7" w:rsidP="00B71CD7">
            <w:pPr>
              <w:pStyle w:val="ListParagraph"/>
            </w:pPr>
          </w:p>
          <w:p w14:paraId="5EF1AC3D" w14:textId="77777777" w:rsidR="00B71CD7" w:rsidRDefault="00B71CD7" w:rsidP="00B71CD7">
            <w:r w:rsidRPr="00B71CD7">
              <w:t xml:space="preserve">3. </w:t>
            </w:r>
            <w:proofErr w:type="spellStart"/>
            <w:r w:rsidRPr="00B71CD7">
              <w:t>starppārbaudījums</w:t>
            </w:r>
            <w:proofErr w:type="spellEnd"/>
          </w:p>
          <w:p w14:paraId="78698C0E" w14:textId="77777777" w:rsidR="000A79F5" w:rsidRDefault="000A79F5" w:rsidP="00B71CD7"/>
          <w:p w14:paraId="042EE482" w14:textId="77777777" w:rsidR="000A79F5" w:rsidRPr="000A79F5" w:rsidRDefault="000A79F5" w:rsidP="000A79F5">
            <w:r w:rsidRPr="000A79F5">
              <w:t xml:space="preserve">Referāts par </w:t>
            </w:r>
            <w:r>
              <w:t xml:space="preserve">T. Manna, H. Bella, F. </w:t>
            </w:r>
            <w:r w:rsidRPr="000A79F5">
              <w:t xml:space="preserve">Kafkas, </w:t>
            </w:r>
            <w:r>
              <w:t xml:space="preserve">G. </w:t>
            </w:r>
            <w:r w:rsidRPr="000A79F5">
              <w:t xml:space="preserve">Grasa, </w:t>
            </w:r>
            <w:r>
              <w:t xml:space="preserve">H. </w:t>
            </w:r>
            <w:r w:rsidRPr="000A79F5">
              <w:t xml:space="preserve">Heses </w:t>
            </w:r>
            <w:r>
              <w:t xml:space="preserve">vai cita </w:t>
            </w:r>
            <w:r w:rsidR="00EB3BC5">
              <w:t xml:space="preserve">vācu </w:t>
            </w:r>
            <w:r>
              <w:t xml:space="preserve">autora nozīmi </w:t>
            </w:r>
            <w:r w:rsidR="00EB3BC5">
              <w:t>latviešu literatūrā, analizējot konkrētu literāro darbu paralēles un nosakot iespējamās ietekmes</w:t>
            </w:r>
            <w:r w:rsidRPr="000A79F5">
              <w:t xml:space="preserve">. </w:t>
            </w:r>
          </w:p>
          <w:p w14:paraId="1601069A" w14:textId="77777777" w:rsidR="000A79F5" w:rsidRPr="00B71CD7" w:rsidRDefault="000A79F5" w:rsidP="00B71CD7"/>
          <w:p w14:paraId="4066FE56" w14:textId="77777777" w:rsidR="00B71CD7" w:rsidRPr="00B71CD7" w:rsidRDefault="00B71CD7" w:rsidP="00B71CD7">
            <w:pPr>
              <w:pStyle w:val="ListParagraph"/>
            </w:pPr>
          </w:p>
          <w:p w14:paraId="4A381284" w14:textId="77777777" w:rsidR="00B71CD7" w:rsidRPr="00B71CD7" w:rsidRDefault="00B96236" w:rsidP="00B71CD7">
            <w:r>
              <w:t xml:space="preserve">12. </w:t>
            </w:r>
            <w:r w:rsidR="00B71CD7" w:rsidRPr="00B71CD7">
              <w:t>Šillers 19.- 20. gs. latviešu kultūrā. Gēte 19.-20. gs. latviešu kultūrā. Šillera un Gētes darbu tulkojumi, ietekme uz latviešu literatūras attīstību. L 2</w:t>
            </w:r>
            <w:r w:rsidR="00B71CD7" w:rsidRPr="00B71CD7">
              <w:br/>
            </w:r>
          </w:p>
          <w:p w14:paraId="642B33A8" w14:textId="77777777" w:rsidR="00B96236" w:rsidRDefault="00B96236" w:rsidP="00B71CD7">
            <w:r>
              <w:t xml:space="preserve">13. </w:t>
            </w:r>
            <w:r w:rsidR="00B71CD7" w:rsidRPr="00B71CD7">
              <w:t xml:space="preserve">20.gs. vācu literatūra. </w:t>
            </w:r>
            <w:proofErr w:type="spellStart"/>
            <w:r w:rsidR="00B71CD7" w:rsidRPr="00B71CD7">
              <w:t>T.Manns</w:t>
            </w:r>
            <w:proofErr w:type="spellEnd"/>
            <w:r w:rsidR="00B71CD7" w:rsidRPr="00B71CD7">
              <w:t xml:space="preserve"> latviešu </w:t>
            </w:r>
            <w:proofErr w:type="spellStart"/>
            <w:r w:rsidR="00B71CD7" w:rsidRPr="00B71CD7">
              <w:t>recepcijā</w:t>
            </w:r>
            <w:proofErr w:type="spellEnd"/>
            <w:r w:rsidR="00B71CD7" w:rsidRPr="00B71CD7">
              <w:t xml:space="preserve">. </w:t>
            </w:r>
            <w:proofErr w:type="spellStart"/>
            <w:r w:rsidR="00B71CD7" w:rsidRPr="00B71CD7">
              <w:t>Pēckara</w:t>
            </w:r>
            <w:proofErr w:type="spellEnd"/>
            <w:r w:rsidR="00B71CD7" w:rsidRPr="00B71CD7">
              <w:t xml:space="preserve"> perioda literatūra Padomju Savienībā. </w:t>
            </w:r>
            <w:proofErr w:type="spellStart"/>
            <w:r w:rsidR="00B71CD7" w:rsidRPr="00B71CD7">
              <w:t>H.Bella</w:t>
            </w:r>
            <w:proofErr w:type="spellEnd"/>
            <w:r w:rsidR="00B71CD7" w:rsidRPr="00B71CD7">
              <w:t xml:space="preserve"> fenomens. 20.gs. Vācija un latviešu kultūras pasaule. </w:t>
            </w:r>
            <w:r>
              <w:t>S 2</w:t>
            </w:r>
          </w:p>
          <w:p w14:paraId="6869AED6" w14:textId="77777777" w:rsidR="00B96236" w:rsidRDefault="00B96236" w:rsidP="00B71CD7"/>
          <w:p w14:paraId="39653CC8" w14:textId="77777777" w:rsidR="00B96236" w:rsidRDefault="00B96236" w:rsidP="00B96236">
            <w:r>
              <w:t xml:space="preserve">14. </w:t>
            </w:r>
            <w:r w:rsidR="00404DFA">
              <w:t xml:space="preserve">F. </w:t>
            </w:r>
            <w:r w:rsidR="00B71CD7" w:rsidRPr="00B71CD7">
              <w:t xml:space="preserve">Kafkas, </w:t>
            </w:r>
            <w:r w:rsidR="00404DFA">
              <w:t xml:space="preserve">G. </w:t>
            </w:r>
            <w:r w:rsidR="00B71CD7" w:rsidRPr="00B71CD7">
              <w:t xml:space="preserve">Grasa, </w:t>
            </w:r>
            <w:r w:rsidR="00404DFA">
              <w:t xml:space="preserve">H. </w:t>
            </w:r>
            <w:r w:rsidR="00B71CD7" w:rsidRPr="00B71CD7">
              <w:t xml:space="preserve">Heses darbu tulkojumi un </w:t>
            </w:r>
            <w:proofErr w:type="spellStart"/>
            <w:r w:rsidR="00B71CD7" w:rsidRPr="00B71CD7">
              <w:t>recepcija</w:t>
            </w:r>
            <w:proofErr w:type="spellEnd"/>
            <w:r w:rsidR="00B71CD7" w:rsidRPr="00B71CD7">
              <w:t xml:space="preserve"> Latvijā. Vācu tulkotā literatūra bērniem un jauniešiem</w:t>
            </w:r>
            <w:r w:rsidR="00C01C09">
              <w:t>.</w:t>
            </w:r>
            <w:r>
              <w:t xml:space="preserve"> S 2</w:t>
            </w:r>
            <w:r w:rsidR="00B71CD7" w:rsidRPr="00B71CD7">
              <w:br/>
            </w:r>
          </w:p>
          <w:p w14:paraId="7BD993DA" w14:textId="77777777" w:rsidR="00B96236" w:rsidRDefault="00B96236" w:rsidP="00B96236">
            <w:r>
              <w:t xml:space="preserve">15. </w:t>
            </w:r>
            <w:r w:rsidR="00B71CD7" w:rsidRPr="00B71CD7">
              <w:t xml:space="preserve">Silvija Brice un citi tulkotāji 20. gs. otrajā pusē - 21. gs. Vācu tulkotās literatūras izdevējdarbība mūsdienu Latvijā. Gētes Institūta nozīme. </w:t>
            </w:r>
            <w:r>
              <w:t>S 2</w:t>
            </w:r>
          </w:p>
          <w:p w14:paraId="650A122C" w14:textId="77777777" w:rsidR="00B96236" w:rsidRDefault="00B96236" w:rsidP="00B96236"/>
          <w:p w14:paraId="4E68051D" w14:textId="77777777" w:rsidR="00B71CD7" w:rsidRDefault="00B96236" w:rsidP="00B96236">
            <w:r>
              <w:t xml:space="preserve">16. </w:t>
            </w:r>
            <w:r w:rsidR="00B71CD7" w:rsidRPr="00B71CD7">
              <w:t>Latviešu literatūras tulkojumi vācu valodā</w:t>
            </w:r>
            <w:r>
              <w:t xml:space="preserve">, to </w:t>
            </w:r>
            <w:proofErr w:type="spellStart"/>
            <w:r>
              <w:t>recepcija</w:t>
            </w:r>
            <w:proofErr w:type="spellEnd"/>
            <w:r>
              <w:t>.</w:t>
            </w:r>
            <w:r w:rsidR="00B71CD7" w:rsidRPr="00B71CD7">
              <w:t xml:space="preserve"> L 2</w:t>
            </w:r>
          </w:p>
          <w:permEnd w:id="1987210373"/>
          <w:p w14:paraId="07990F4B" w14:textId="77777777" w:rsidR="00525213" w:rsidRPr="00E13AEA" w:rsidRDefault="00525213" w:rsidP="0052521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13AEA" w:rsidRPr="00E13AEA" w14:paraId="5B531CB7" w14:textId="77777777" w:rsidTr="00C33379">
        <w:tc>
          <w:tcPr>
            <w:tcW w:w="9039" w:type="dxa"/>
            <w:gridSpan w:val="2"/>
          </w:tcPr>
          <w:p w14:paraId="26D1D7DE" w14:textId="77777777" w:rsidR="00525213" w:rsidRPr="00E13AEA" w:rsidRDefault="00525213" w:rsidP="00EA1A34">
            <w:pPr>
              <w:pStyle w:val="Nosaukumi"/>
            </w:pPr>
            <w:r w:rsidRPr="00E13AEA">
              <w:lastRenderedPageBreak/>
              <w:t>Obligāti izmantojamie informācijas avoti</w:t>
            </w:r>
          </w:p>
        </w:tc>
      </w:tr>
      <w:tr w:rsidR="00E13AEA" w:rsidRPr="00E13AEA" w14:paraId="21D35FBE" w14:textId="77777777" w:rsidTr="00C33379">
        <w:tc>
          <w:tcPr>
            <w:tcW w:w="9039" w:type="dxa"/>
            <w:gridSpan w:val="2"/>
          </w:tcPr>
          <w:p w14:paraId="1E8173BF" w14:textId="77777777" w:rsidR="00C25B36" w:rsidRPr="00C25B36" w:rsidRDefault="00C25B36" w:rsidP="00C25B36">
            <w:pPr>
              <w:pStyle w:val="ListParagraph"/>
            </w:pPr>
            <w:permStart w:id="844056845" w:edGrp="everyone"/>
            <w:r w:rsidRPr="00C25B36">
              <w:t>Apīnis A.</w:t>
            </w:r>
            <w:r w:rsidR="003C61E2">
              <w:t xml:space="preserve"> </w:t>
            </w:r>
            <w:r w:rsidRPr="00C25B36">
              <w:t>Latviešu grāmatniecība. Rīga, 1977</w:t>
            </w:r>
            <w:r w:rsidRPr="00C25B36">
              <w:br/>
              <w:t>Ideju vēsture Latvijā. Rīga. 1995</w:t>
            </w:r>
            <w:r w:rsidRPr="00C25B36">
              <w:br/>
              <w:t>Vācu literatūra un Latvija. Rīga, 2005.</w:t>
            </w:r>
          </w:p>
          <w:p w14:paraId="67422300" w14:textId="77777777" w:rsidR="00C25B36" w:rsidRDefault="00C25B36" w:rsidP="00C25B36">
            <w:pPr>
              <w:pStyle w:val="ListParagraph"/>
            </w:pPr>
            <w:r w:rsidRPr="00C25B36">
              <w:t>Berelis, G. Latviešu literatūras vēsture. No pirmajiem rakstiem līdz 1999. gadam. Rīga: Zvaigzne ABC, 1999.</w:t>
            </w:r>
          </w:p>
          <w:p w14:paraId="6F45B52D" w14:textId="77777777" w:rsidR="00C25B36" w:rsidRPr="00C25B36" w:rsidRDefault="00C25B36" w:rsidP="00C25B36">
            <w:pPr>
              <w:pStyle w:val="ListParagraph"/>
            </w:pPr>
            <w:r w:rsidRPr="00C25B36">
              <w:t xml:space="preserve">Grīnuma, G. Gēte </w:t>
            </w:r>
            <w:r w:rsidR="004C2B86">
              <w:t>u</w:t>
            </w:r>
            <w:r w:rsidRPr="00C25B36">
              <w:t>n Baltija</w:t>
            </w:r>
            <w:r>
              <w:t>.</w:t>
            </w:r>
            <w:r w:rsidRPr="00C25B36">
              <w:t> </w:t>
            </w:r>
            <w:proofErr w:type="spellStart"/>
            <w:r w:rsidRPr="00C25B36">
              <w:t>Nordik</w:t>
            </w:r>
            <w:proofErr w:type="spellEnd"/>
            <w:r w:rsidRPr="00C25B36">
              <w:t>, 2002.</w:t>
            </w:r>
            <w:r w:rsidRPr="00C25B36">
              <w:br/>
              <w:t>Jaunākā latviešu literatūra. Žanru pārskati, teorija un kritika. [Sast. Ausma Cimdiņa].Rīga: LU Akadēmiskais apgāds, 2007.</w:t>
            </w:r>
            <w:r w:rsidRPr="00C25B36">
              <w:br/>
              <w:t>Mūsdienu literatūras teorijas. [Sastādītāji Ieva E. Kalniņa un Kārlis Vērdiņš]. Rīga: LU LFMI, 2013.</w:t>
            </w:r>
            <w:r w:rsidRPr="00C25B36">
              <w:br/>
              <w:t xml:space="preserve">Briedis R. Latviešu literatūras hronika </w:t>
            </w:r>
            <w:proofErr w:type="spellStart"/>
            <w:r w:rsidRPr="00C25B36">
              <w:t>sastatījumā</w:t>
            </w:r>
            <w:proofErr w:type="spellEnd"/>
            <w:r w:rsidRPr="00C25B36">
              <w:t xml:space="preserve"> ar notikumiem pasaulē un Latvijā. 1.-2. grāmata. 1945-2005.  Rīga, Valters un </w:t>
            </w:r>
            <w:proofErr w:type="spellStart"/>
            <w:r w:rsidRPr="00C25B36">
              <w:t>Rapa</w:t>
            </w:r>
            <w:proofErr w:type="spellEnd"/>
            <w:r w:rsidRPr="00C25B36">
              <w:t>: 2006.</w:t>
            </w:r>
          </w:p>
          <w:p w14:paraId="60447B0D" w14:textId="77777777" w:rsidR="00C25B36" w:rsidRPr="00C25B36" w:rsidRDefault="00C25B36" w:rsidP="00C25B36">
            <w:pPr>
              <w:pStyle w:val="ListParagraph"/>
            </w:pPr>
            <w:r w:rsidRPr="00C25B36">
              <w:t>Feldmanis, I. Vācbaltieši Latvijā (1918-1941) : Vēstures avotu krājums.  Rīga: LU Akadēmiskais apgāds. 2016</w:t>
            </w:r>
          </w:p>
          <w:p w14:paraId="3E319DBB" w14:textId="77777777" w:rsidR="00C25B36" w:rsidRPr="00C25B36" w:rsidRDefault="00C25B36" w:rsidP="00C25B36">
            <w:pPr>
              <w:pStyle w:val="ListParagraph"/>
            </w:pPr>
            <w:r w:rsidRPr="00C25B36">
              <w:lastRenderedPageBreak/>
              <w:t xml:space="preserve">Kalnačs, B. Baltijas </w:t>
            </w:r>
            <w:proofErr w:type="spellStart"/>
            <w:r w:rsidRPr="00C25B36">
              <w:t>postkoloniālā</w:t>
            </w:r>
            <w:proofErr w:type="spellEnd"/>
            <w:r w:rsidRPr="00C25B36">
              <w:t xml:space="preserve"> drāma: </w:t>
            </w:r>
            <w:proofErr w:type="spellStart"/>
            <w:r w:rsidRPr="00C25B36">
              <w:t>modernitāte</w:t>
            </w:r>
            <w:proofErr w:type="spellEnd"/>
            <w:r w:rsidRPr="00C25B36">
              <w:t xml:space="preserve">, koloniālisms un </w:t>
            </w:r>
            <w:proofErr w:type="spellStart"/>
            <w:r w:rsidRPr="00C25B36">
              <w:t>postkoloniālisms</w:t>
            </w:r>
            <w:proofErr w:type="spellEnd"/>
            <w:r w:rsidRPr="00C25B36">
              <w:t xml:space="preserve"> latviešu, igauņu un lietuviešu dramaturģijā. Latvijas Universitātes Literatūras, Folkloras Un Mākslas Institūts, 2011.</w:t>
            </w:r>
          </w:p>
          <w:p w14:paraId="107CDA04" w14:textId="77777777" w:rsidR="00C25B36" w:rsidRPr="00C25B36" w:rsidRDefault="00C25B36" w:rsidP="00C25B36">
            <w:pPr>
              <w:pStyle w:val="ListParagraph"/>
            </w:pPr>
            <w:r w:rsidRPr="00C25B36">
              <w:t xml:space="preserve">Latvieši, vācbaltieši un Krievija: polemiska saruna. Gints </w:t>
            </w:r>
            <w:proofErr w:type="spellStart"/>
            <w:r w:rsidRPr="00C25B36">
              <w:t>Apals</w:t>
            </w:r>
            <w:proofErr w:type="spellEnd"/>
            <w:r w:rsidRPr="00C25B36">
              <w:t>, Māris Zanders. Rīga. 2020.</w:t>
            </w:r>
          </w:p>
          <w:p w14:paraId="20C47F15" w14:textId="77777777" w:rsidR="00C25B36" w:rsidRPr="00C25B36" w:rsidRDefault="00C25B36" w:rsidP="00C25B36">
            <w:pPr>
              <w:pStyle w:val="ListParagraph"/>
            </w:pPr>
            <w:r w:rsidRPr="00C25B36">
              <w:t>Latviešu literatūras vēsture. 1.-3. sējums. Rīga: Zvaigzne ABC, 2001.</w:t>
            </w:r>
          </w:p>
          <w:p w14:paraId="2D4C01E0" w14:textId="77777777" w:rsidR="00C25B36" w:rsidRPr="00C25B36" w:rsidRDefault="00C25B36" w:rsidP="00C25B36">
            <w:pPr>
              <w:pStyle w:val="ListParagraph"/>
            </w:pPr>
            <w:r w:rsidRPr="00C25B36">
              <w:t xml:space="preserve">Romanovska, A. Vācieši Latgales teritorijā 16. gs. - 20. gs. sākumā: vēsture un </w:t>
            </w:r>
            <w:proofErr w:type="spellStart"/>
            <w:r w:rsidRPr="00C25B36">
              <w:t>recepcija</w:t>
            </w:r>
            <w:proofErr w:type="spellEnd"/>
            <w:r w:rsidRPr="00C25B36">
              <w:t>: kolektīvā zinātniskā monogrāfija. Daugavpils Universitāte. 2021.</w:t>
            </w:r>
          </w:p>
          <w:p w14:paraId="57F0BF85" w14:textId="77777777" w:rsidR="00C25B36" w:rsidRPr="00BF67E9" w:rsidRDefault="00C25B36" w:rsidP="00C25B36">
            <w:pPr>
              <w:pStyle w:val="ListParagraph"/>
            </w:pPr>
            <w:proofErr w:type="spellStart"/>
            <w:r w:rsidRPr="00C25B36">
              <w:t>Zuzena-Metuzala</w:t>
            </w:r>
            <w:proofErr w:type="spellEnd"/>
            <w:r w:rsidRPr="00C25B36">
              <w:t>, E., 1985. Latviešu tautasdziesmu tulkojumi vācu valodā : [tekstā minēti arī tulkotāji]. Zari. Stokholma : [b. i.], 1985. 29.-40. lpp.</w:t>
            </w:r>
          </w:p>
          <w:permEnd w:id="844056845"/>
          <w:p w14:paraId="49F046A7" w14:textId="77777777" w:rsidR="00525213" w:rsidRPr="00E13AEA" w:rsidRDefault="00525213" w:rsidP="0052521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13AEA" w:rsidRPr="00E13AEA" w14:paraId="15F44DCD" w14:textId="77777777" w:rsidTr="00C33379">
        <w:tc>
          <w:tcPr>
            <w:tcW w:w="9039" w:type="dxa"/>
            <w:gridSpan w:val="2"/>
          </w:tcPr>
          <w:p w14:paraId="450CC527" w14:textId="77777777" w:rsidR="00525213" w:rsidRPr="00E13AEA" w:rsidRDefault="00525213" w:rsidP="00EA1A34">
            <w:pPr>
              <w:pStyle w:val="Nosaukumi"/>
            </w:pPr>
            <w:r w:rsidRPr="00E13AEA">
              <w:lastRenderedPageBreak/>
              <w:t>Papildus informācijas avoti</w:t>
            </w:r>
          </w:p>
        </w:tc>
      </w:tr>
      <w:tr w:rsidR="00E13AEA" w:rsidRPr="00E13AEA" w14:paraId="4E71CD45" w14:textId="77777777" w:rsidTr="00C33379">
        <w:tc>
          <w:tcPr>
            <w:tcW w:w="9039" w:type="dxa"/>
            <w:gridSpan w:val="2"/>
          </w:tcPr>
          <w:p w14:paraId="585962C6" w14:textId="77777777" w:rsidR="00C25B36" w:rsidRPr="00C25B36" w:rsidRDefault="00C25B36" w:rsidP="00C25B36">
            <w:pPr>
              <w:pStyle w:val="ListParagraph"/>
            </w:pPr>
            <w:permStart w:id="1477914021" w:edGrp="everyone"/>
            <w:r w:rsidRPr="00C25B36">
              <w:t xml:space="preserve">Apīnis, A., Čakars, O., </w:t>
            </w:r>
            <w:proofErr w:type="spellStart"/>
            <w:r w:rsidRPr="00C25B36">
              <w:t>Klekere</w:t>
            </w:r>
            <w:proofErr w:type="spellEnd"/>
            <w:r w:rsidRPr="00C25B36">
              <w:t xml:space="preserve">, I. Gothards Frīdrihs </w:t>
            </w:r>
            <w:proofErr w:type="spellStart"/>
            <w:r w:rsidRPr="00C25B36">
              <w:t>Stenders</w:t>
            </w:r>
            <w:proofErr w:type="spellEnd"/>
            <w:r w:rsidRPr="00C25B36">
              <w:t xml:space="preserve"> </w:t>
            </w:r>
            <w:r w:rsidR="00A200E6">
              <w:t>u</w:t>
            </w:r>
            <w:r w:rsidRPr="00C25B36">
              <w:t xml:space="preserve">n </w:t>
            </w:r>
            <w:r w:rsidR="00A200E6">
              <w:t>v</w:t>
            </w:r>
            <w:r w:rsidRPr="00C25B36">
              <w:t xml:space="preserve">iņa </w:t>
            </w:r>
            <w:r w:rsidR="00A200E6">
              <w:t>d</w:t>
            </w:r>
            <w:r w:rsidRPr="00C25B36">
              <w:t xml:space="preserve">zeja: </w:t>
            </w:r>
            <w:r w:rsidR="00A200E6">
              <w:t>g</w:t>
            </w:r>
            <w:r w:rsidRPr="00C25B36">
              <w:t xml:space="preserve">rāmatas </w:t>
            </w:r>
            <w:r w:rsidR="00A200E6">
              <w:t>k</w:t>
            </w:r>
            <w:r w:rsidRPr="00C25B36">
              <w:t>opsavilkums un tulkojumi vācu un angļu val. Rīga, 1990.</w:t>
            </w:r>
          </w:p>
          <w:p w14:paraId="782F33B2" w14:textId="77777777" w:rsidR="00C25B36" w:rsidRPr="00C25B36" w:rsidRDefault="00C25B36" w:rsidP="00C25B36">
            <w:pPr>
              <w:pStyle w:val="ListParagraph"/>
            </w:pPr>
            <w:r w:rsidRPr="00C25B36">
              <w:t xml:space="preserve">Dziesma, F., </w:t>
            </w:r>
            <w:proofErr w:type="spellStart"/>
            <w:r w:rsidRPr="00C25B36">
              <w:t>Dingelstedt</w:t>
            </w:r>
            <w:proofErr w:type="spellEnd"/>
            <w:r w:rsidRPr="00C25B36">
              <w:t xml:space="preserve">, F., Rilke, R.M. Atdzejojumi latviešu literārajā valodā un </w:t>
            </w:r>
            <w:proofErr w:type="spellStart"/>
            <w:r w:rsidRPr="00C25B36">
              <w:t>tāmnieku</w:t>
            </w:r>
            <w:proofErr w:type="spellEnd"/>
            <w:r w:rsidRPr="00C25B36">
              <w:t xml:space="preserve"> izloksnē no vācu valodas: </w:t>
            </w:r>
            <w:proofErr w:type="spellStart"/>
            <w:r w:rsidRPr="00C25B36">
              <w:t>Menlraksti</w:t>
            </w:r>
            <w:proofErr w:type="spellEnd"/>
            <w:r w:rsidRPr="00C25B36">
              <w:t>. Stokholmā. 1976.</w:t>
            </w:r>
          </w:p>
          <w:p w14:paraId="45DF37D6" w14:textId="77777777" w:rsidR="00C25B36" w:rsidRPr="00C25B36" w:rsidRDefault="00C25B36" w:rsidP="00C25B36">
            <w:pPr>
              <w:pStyle w:val="ListParagraph"/>
            </w:pPr>
            <w:proofErr w:type="spellStart"/>
            <w:r w:rsidRPr="00C25B36">
              <w:t>Ēriksens</w:t>
            </w:r>
            <w:proofErr w:type="spellEnd"/>
            <w:r w:rsidRPr="00C25B36">
              <w:t>, T</w:t>
            </w:r>
            <w:r w:rsidR="003C61E2">
              <w:t>.</w:t>
            </w:r>
            <w:r w:rsidRPr="00C25B36">
              <w:t xml:space="preserve"> H</w:t>
            </w:r>
            <w:r w:rsidR="003C61E2">
              <w:t>.</w:t>
            </w:r>
            <w:r w:rsidRPr="00C25B36">
              <w:t xml:space="preserve"> Saknes un pēdas. Identitāte mainīgā laikā. Rīga: Zvaigzne ABC, 2010.</w:t>
            </w:r>
          </w:p>
          <w:p w14:paraId="1F6DF678" w14:textId="77777777" w:rsidR="00C25B36" w:rsidRPr="00C25B36" w:rsidRDefault="00C25B36" w:rsidP="00C25B36">
            <w:pPr>
              <w:pStyle w:val="ListParagraph"/>
            </w:pPr>
            <w:r w:rsidRPr="00C25B36">
              <w:t xml:space="preserve">Hofmane, E., </w:t>
            </w:r>
            <w:proofErr w:type="spellStart"/>
            <w:r w:rsidRPr="00C25B36">
              <w:t>Deutsch→Latviski</w:t>
            </w:r>
            <w:proofErr w:type="spellEnd"/>
            <w:r w:rsidRPr="00C25B36">
              <w:t xml:space="preserve"> : [sakarā ar diskusiju Gētes institūtā Rīgā par tulkotās literatūras izdevējdarbību Latvijā projekta "Atrasts tulkojumā. Vācu valodā sarakstīto grāmatu tulkojumi latviešu valodā" ietvaros]. Konteksts Nr.1, 2020.</w:t>
            </w:r>
          </w:p>
          <w:p w14:paraId="58951862" w14:textId="77777777" w:rsidR="00C25B36" w:rsidRPr="00C25B36" w:rsidRDefault="00C25B36" w:rsidP="00C25B36">
            <w:pPr>
              <w:pStyle w:val="ListParagraph"/>
            </w:pPr>
            <w:r w:rsidRPr="00C25B36">
              <w:t xml:space="preserve">Jāzepa tēls </w:t>
            </w:r>
            <w:proofErr w:type="spellStart"/>
            <w:r w:rsidRPr="00C25B36">
              <w:t>J.Rajņa</w:t>
            </w:r>
            <w:proofErr w:type="spellEnd"/>
            <w:r w:rsidRPr="00C25B36">
              <w:t xml:space="preserve"> un </w:t>
            </w:r>
            <w:proofErr w:type="spellStart"/>
            <w:r w:rsidRPr="00C25B36">
              <w:t>T.Manna</w:t>
            </w:r>
            <w:proofErr w:type="spellEnd"/>
            <w:r w:rsidRPr="00C25B36">
              <w:t xml:space="preserve"> darbos. Daugava. 1938, 10–11.</w:t>
            </w:r>
            <w:r w:rsidRPr="00C25B36">
              <w:br/>
              <w:t>Latviešu un Rietumeiropas literatūra. Rīga, 1971.</w:t>
            </w:r>
            <w:r w:rsidRPr="00C25B36">
              <w:br/>
              <w:t>Latvijas kultūras vēsture, Rīga, 2003.</w:t>
            </w:r>
            <w:r w:rsidRPr="00C25B36">
              <w:br/>
              <w:t xml:space="preserve">Priede G. Arhitekts Vilhelms </w:t>
            </w:r>
            <w:proofErr w:type="spellStart"/>
            <w:r w:rsidRPr="00C25B36">
              <w:t>Bokslavs</w:t>
            </w:r>
            <w:proofErr w:type="spellEnd"/>
            <w:r w:rsidRPr="00C25B36">
              <w:t xml:space="preserve"> un Rīga. Rīga, 1997.</w:t>
            </w:r>
          </w:p>
          <w:p w14:paraId="6AD549AE" w14:textId="77777777" w:rsidR="00C25B36" w:rsidRPr="00C25B36" w:rsidRDefault="00C25B36" w:rsidP="00C25B36">
            <w:pPr>
              <w:pStyle w:val="ListParagraph"/>
            </w:pPr>
            <w:r w:rsidRPr="00C25B36">
              <w:t xml:space="preserve">Klein K.K. </w:t>
            </w:r>
            <w:proofErr w:type="spellStart"/>
            <w:r w:rsidRPr="00C25B36">
              <w:t>Literatūrgeschichte</w:t>
            </w:r>
            <w:proofErr w:type="spellEnd"/>
            <w:r w:rsidRPr="00C25B36">
              <w:t xml:space="preserve"> </w:t>
            </w:r>
            <w:proofErr w:type="spellStart"/>
            <w:r w:rsidRPr="00C25B36">
              <w:t>des</w:t>
            </w:r>
            <w:proofErr w:type="spellEnd"/>
            <w:r w:rsidRPr="00C25B36">
              <w:t xml:space="preserve"> </w:t>
            </w:r>
            <w:proofErr w:type="spellStart"/>
            <w:r w:rsidRPr="00C25B36">
              <w:t>Deutschtums</w:t>
            </w:r>
            <w:proofErr w:type="spellEnd"/>
            <w:r w:rsidRPr="00C25B36">
              <w:t xml:space="preserve"> </w:t>
            </w:r>
            <w:proofErr w:type="spellStart"/>
            <w:r w:rsidRPr="00C25B36">
              <w:t>im</w:t>
            </w:r>
            <w:proofErr w:type="spellEnd"/>
            <w:r w:rsidRPr="00C25B36">
              <w:t xml:space="preserve"> </w:t>
            </w:r>
            <w:proofErr w:type="spellStart"/>
            <w:r w:rsidRPr="00C25B36">
              <w:t>Ausland</w:t>
            </w:r>
            <w:proofErr w:type="spellEnd"/>
            <w:r w:rsidRPr="00C25B36">
              <w:t xml:space="preserve">, </w:t>
            </w:r>
            <w:proofErr w:type="spellStart"/>
            <w:r w:rsidRPr="00C25B36">
              <w:t>Leipzig</w:t>
            </w:r>
            <w:proofErr w:type="spellEnd"/>
            <w:r w:rsidRPr="00C25B36">
              <w:t>, 1939.</w:t>
            </w:r>
            <w:r w:rsidRPr="00C25B36">
              <w:br/>
            </w:r>
            <w:proofErr w:type="spellStart"/>
            <w:r w:rsidRPr="00C25B36">
              <w:t>Redlich</w:t>
            </w:r>
            <w:proofErr w:type="spellEnd"/>
            <w:r w:rsidRPr="00C25B36">
              <w:t xml:space="preserve"> M. </w:t>
            </w:r>
            <w:proofErr w:type="spellStart"/>
            <w:r w:rsidRPr="00C25B36">
              <w:t>Lexikon</w:t>
            </w:r>
            <w:proofErr w:type="spellEnd"/>
            <w:r w:rsidRPr="00C25B36">
              <w:t xml:space="preserve"> </w:t>
            </w:r>
            <w:proofErr w:type="spellStart"/>
            <w:r w:rsidRPr="00C25B36">
              <w:t>deutschbaltischer</w:t>
            </w:r>
            <w:proofErr w:type="spellEnd"/>
            <w:r w:rsidRPr="00C25B36">
              <w:t xml:space="preserve"> </w:t>
            </w:r>
            <w:proofErr w:type="spellStart"/>
            <w:r w:rsidRPr="00C25B36">
              <w:t>Lieteratur</w:t>
            </w:r>
            <w:proofErr w:type="spellEnd"/>
            <w:r w:rsidRPr="00C25B36">
              <w:t xml:space="preserve">. </w:t>
            </w:r>
            <w:proofErr w:type="spellStart"/>
            <w:r w:rsidRPr="00C25B36">
              <w:t>Köln</w:t>
            </w:r>
            <w:proofErr w:type="spellEnd"/>
            <w:r w:rsidRPr="00C25B36">
              <w:t>, 1989.</w:t>
            </w:r>
            <w:r w:rsidRPr="00C25B36">
              <w:br/>
            </w:r>
            <w:proofErr w:type="spellStart"/>
            <w:r w:rsidRPr="00C25B36">
              <w:t>Die</w:t>
            </w:r>
            <w:proofErr w:type="spellEnd"/>
            <w:r w:rsidRPr="00C25B36">
              <w:t xml:space="preserve"> </w:t>
            </w:r>
            <w:proofErr w:type="spellStart"/>
            <w:r w:rsidRPr="00C25B36">
              <w:t>Deitschbaltische</w:t>
            </w:r>
            <w:proofErr w:type="spellEnd"/>
            <w:r w:rsidRPr="00C25B36">
              <w:t xml:space="preserve"> </w:t>
            </w:r>
            <w:proofErr w:type="spellStart"/>
            <w:r w:rsidRPr="00C25B36">
              <w:t>Literatur</w:t>
            </w:r>
            <w:proofErr w:type="spellEnd"/>
            <w:r w:rsidRPr="00C25B36">
              <w:t xml:space="preserve"> </w:t>
            </w:r>
            <w:proofErr w:type="spellStart"/>
            <w:r w:rsidRPr="00C25B36">
              <w:t>im</w:t>
            </w:r>
            <w:proofErr w:type="spellEnd"/>
            <w:r w:rsidRPr="00C25B36">
              <w:t xml:space="preserve"> 20. </w:t>
            </w:r>
            <w:proofErr w:type="spellStart"/>
            <w:r w:rsidRPr="00C25B36">
              <w:t>Jahrhundert</w:t>
            </w:r>
            <w:proofErr w:type="spellEnd"/>
            <w:r w:rsidRPr="00C25B36">
              <w:t xml:space="preserve"> </w:t>
            </w:r>
            <w:proofErr w:type="spellStart"/>
            <w:r w:rsidRPr="00C25B36">
              <w:t>und</w:t>
            </w:r>
            <w:proofErr w:type="spellEnd"/>
            <w:r w:rsidRPr="00C25B36">
              <w:t xml:space="preserve"> </w:t>
            </w:r>
            <w:proofErr w:type="spellStart"/>
            <w:r w:rsidRPr="00C25B36">
              <w:t>Ihre</w:t>
            </w:r>
            <w:proofErr w:type="spellEnd"/>
            <w:r w:rsidRPr="00C25B36">
              <w:t xml:space="preserve"> </w:t>
            </w:r>
            <w:proofErr w:type="spellStart"/>
            <w:r w:rsidRPr="00C25B36">
              <w:t>Rolle</w:t>
            </w:r>
            <w:proofErr w:type="spellEnd"/>
            <w:r w:rsidRPr="00C25B36">
              <w:t xml:space="preserve"> </w:t>
            </w:r>
            <w:proofErr w:type="spellStart"/>
            <w:r w:rsidRPr="00C25B36">
              <w:t>im</w:t>
            </w:r>
            <w:proofErr w:type="spellEnd"/>
            <w:r w:rsidRPr="00C25B36">
              <w:t xml:space="preserve"> </w:t>
            </w:r>
            <w:proofErr w:type="spellStart"/>
            <w:r w:rsidRPr="00C25B36">
              <w:t>Letttisch-Deutschen</w:t>
            </w:r>
            <w:proofErr w:type="spellEnd"/>
            <w:r w:rsidRPr="00C25B36">
              <w:t xml:space="preserve"> Dialog. </w:t>
            </w:r>
            <w:proofErr w:type="spellStart"/>
            <w:r w:rsidRPr="00C25B36">
              <w:t>Journal</w:t>
            </w:r>
            <w:proofErr w:type="spellEnd"/>
            <w:r w:rsidRPr="00C25B36">
              <w:t xml:space="preserve"> of </w:t>
            </w:r>
            <w:proofErr w:type="spellStart"/>
            <w:r w:rsidRPr="00C25B36">
              <w:t>Baltic</w:t>
            </w:r>
            <w:proofErr w:type="spellEnd"/>
            <w:r w:rsidRPr="00C25B36">
              <w:t xml:space="preserve"> </w:t>
            </w:r>
            <w:proofErr w:type="spellStart"/>
            <w:r w:rsidRPr="00C25B36">
              <w:t>Studies</w:t>
            </w:r>
            <w:proofErr w:type="spellEnd"/>
            <w:r w:rsidRPr="00C25B36">
              <w:t>. 1998. XXIX/4. S.297. 314.</w:t>
            </w:r>
            <w:r w:rsidRPr="00C25B36">
              <w:br/>
              <w:t xml:space="preserve">Lāce R. Internacionālā un nacionālā dialektiskā saistība kā viens no latviešu tēlotājas mākslas faktoriem// Latviešu tēlotāja māksla. Rīga, 1977. 5. Lancmanis I. Latvijas kultūrainava – </w:t>
            </w:r>
            <w:proofErr w:type="spellStart"/>
            <w:r w:rsidRPr="00C25B36">
              <w:t>vācbaltiskais</w:t>
            </w:r>
            <w:proofErr w:type="spellEnd"/>
            <w:r w:rsidRPr="00C25B36">
              <w:t xml:space="preserve">, </w:t>
            </w:r>
            <w:proofErr w:type="spellStart"/>
            <w:r w:rsidRPr="00C25B36">
              <w:t>baltiskais</w:t>
            </w:r>
            <w:proofErr w:type="spellEnd"/>
            <w:r w:rsidRPr="00C25B36">
              <w:t xml:space="preserve"> un latviskais. Literatūra un Māksla. – 1994.–4.nov.</w:t>
            </w:r>
          </w:p>
          <w:p w14:paraId="13788F80" w14:textId="77777777" w:rsidR="00C25B36" w:rsidRPr="00C25B36" w:rsidRDefault="00C25B36" w:rsidP="00C25B36">
            <w:pPr>
              <w:pStyle w:val="ListParagraph"/>
            </w:pPr>
            <w:proofErr w:type="spellStart"/>
            <w:r w:rsidRPr="00C25B36">
              <w:t>Kraule</w:t>
            </w:r>
            <w:proofErr w:type="spellEnd"/>
            <w:r w:rsidRPr="00C25B36">
              <w:t>, M. Pie Dzintara jūras [notis] : dziesmas latviešu un vācu valodā., Ventspils: Ventspils vācu kultūras biedrība sadarbībā ar citām vācu biedrībām Latvijā. 2017.</w:t>
            </w:r>
          </w:p>
          <w:p w14:paraId="1325DB93" w14:textId="77777777" w:rsidR="00C25B36" w:rsidRPr="00C25B36" w:rsidRDefault="00C25B36" w:rsidP="00C25B36">
            <w:pPr>
              <w:pStyle w:val="ListParagraph"/>
            </w:pPr>
            <w:proofErr w:type="spellStart"/>
            <w:r w:rsidRPr="00C25B36">
              <w:t>Smiltena</w:t>
            </w:r>
            <w:proofErr w:type="spellEnd"/>
            <w:r w:rsidRPr="00C25B36">
              <w:t xml:space="preserve"> M. Johannes </w:t>
            </w:r>
            <w:proofErr w:type="spellStart"/>
            <w:r w:rsidRPr="00C25B36">
              <w:t>Bobrowskis</w:t>
            </w:r>
            <w:proofErr w:type="spellEnd"/>
            <w:r w:rsidRPr="00C25B36">
              <w:t xml:space="preserve"> </w:t>
            </w:r>
            <w:proofErr w:type="spellStart"/>
            <w:r w:rsidRPr="00C25B36">
              <w:t>Werke</w:t>
            </w:r>
            <w:proofErr w:type="spellEnd"/>
            <w:r w:rsidRPr="00C25B36">
              <w:t xml:space="preserve"> </w:t>
            </w:r>
            <w:proofErr w:type="spellStart"/>
            <w:r w:rsidRPr="00C25B36">
              <w:t>in</w:t>
            </w:r>
            <w:proofErr w:type="spellEnd"/>
            <w:r w:rsidRPr="00C25B36">
              <w:t xml:space="preserve"> </w:t>
            </w:r>
            <w:proofErr w:type="spellStart"/>
            <w:r w:rsidRPr="00C25B36">
              <w:t>Lettischer</w:t>
            </w:r>
            <w:proofErr w:type="spellEnd"/>
            <w:r w:rsidRPr="00C25B36">
              <w:t xml:space="preserve"> </w:t>
            </w:r>
            <w:proofErr w:type="spellStart"/>
            <w:r w:rsidRPr="00C25B36">
              <w:t>Sprache</w:t>
            </w:r>
            <w:proofErr w:type="spellEnd"/>
            <w:r w:rsidRPr="00C25B36">
              <w:t xml:space="preserve"> : [vācu Rakstnieka Johannesa </w:t>
            </w:r>
            <w:proofErr w:type="spellStart"/>
            <w:r w:rsidRPr="00C25B36">
              <w:t>Bobrovska</w:t>
            </w:r>
            <w:proofErr w:type="spellEnd"/>
            <w:r w:rsidRPr="00C25B36">
              <w:t xml:space="preserve"> </w:t>
            </w:r>
            <w:r w:rsidR="003C61E2">
              <w:t>d</w:t>
            </w:r>
            <w:r w:rsidRPr="00C25B36">
              <w:t xml:space="preserve">arbu </w:t>
            </w:r>
            <w:r w:rsidR="003C61E2">
              <w:t>t</w:t>
            </w:r>
            <w:r w:rsidRPr="00C25B36">
              <w:t xml:space="preserve">ulkojumi </w:t>
            </w:r>
            <w:r w:rsidR="003C61E2">
              <w:t>l</w:t>
            </w:r>
            <w:r w:rsidRPr="00C25B36">
              <w:t xml:space="preserve">atviešu </w:t>
            </w:r>
            <w:r w:rsidR="003C61E2">
              <w:t>v</w:t>
            </w:r>
            <w:r w:rsidRPr="00C25B36">
              <w:t xml:space="preserve">alodā </w:t>
            </w:r>
            <w:r w:rsidR="003C61E2">
              <w:t>u</w:t>
            </w:r>
            <w:r w:rsidRPr="00C25B36">
              <w:t xml:space="preserve">n </w:t>
            </w:r>
            <w:r w:rsidR="003C61E2">
              <w:t>t</w:t>
            </w:r>
            <w:r w:rsidRPr="00C25B36">
              <w:t xml:space="preserve">ulkošanas </w:t>
            </w:r>
            <w:r w:rsidR="003C61E2">
              <w:t>p</w:t>
            </w:r>
            <w:r w:rsidRPr="00C25B36">
              <w:t>roblēmas]. Literatūra un kultūra: process, mijiedarbība, problēmas. Daugavpils : Saule, 2006. 7. krāj., 137.-143.lpp.</w:t>
            </w:r>
          </w:p>
          <w:p w14:paraId="2E65411D" w14:textId="77777777" w:rsidR="00C25B36" w:rsidRPr="00C25B36" w:rsidRDefault="00C25B36" w:rsidP="00C25B36">
            <w:pPr>
              <w:pStyle w:val="ListParagraph"/>
            </w:pPr>
            <w:r w:rsidRPr="00C25B36">
              <w:t>Šuvajevs, I. Freids un Latvija. Reliģiski-filozofiski raksti (</w:t>
            </w:r>
            <w:proofErr w:type="spellStart"/>
            <w:r w:rsidRPr="00C25B36">
              <w:t>Riga</w:t>
            </w:r>
            <w:proofErr w:type="spellEnd"/>
            <w:r w:rsidRPr="00C25B36">
              <w:t>, Latvia : 1997), XI(1), 2007, 87–100.lpp.</w:t>
            </w:r>
          </w:p>
          <w:p w14:paraId="7D7FBD8A" w14:textId="77777777" w:rsidR="00C25B36" w:rsidRPr="00C25B36" w:rsidRDefault="00C25B36" w:rsidP="00C25B36">
            <w:pPr>
              <w:pStyle w:val="ListParagraph"/>
            </w:pPr>
            <w:r w:rsidRPr="00C25B36">
              <w:t>Zanders, O. Literatūras klasiķu spožums un posts : Gēte Latvijā. Izglītība un Kultūra</w:t>
            </w:r>
            <w:r>
              <w:t>.</w:t>
            </w:r>
            <w:r w:rsidRPr="00C25B36">
              <w:t xml:space="preserve"> 1999 21.okt. 14.lpp.</w:t>
            </w:r>
          </w:p>
          <w:permEnd w:id="1477914021"/>
          <w:p w14:paraId="28974654" w14:textId="77777777" w:rsidR="00525213" w:rsidRPr="00E13AEA" w:rsidRDefault="00525213" w:rsidP="0052521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13AEA" w:rsidRPr="00E13AEA" w14:paraId="74940240" w14:textId="77777777" w:rsidTr="00C33379">
        <w:tc>
          <w:tcPr>
            <w:tcW w:w="9039" w:type="dxa"/>
            <w:gridSpan w:val="2"/>
          </w:tcPr>
          <w:p w14:paraId="7EDCB837" w14:textId="77777777" w:rsidR="00525213" w:rsidRPr="00E13AEA" w:rsidRDefault="00525213" w:rsidP="00EA1A34">
            <w:pPr>
              <w:pStyle w:val="Nosaukumi"/>
            </w:pPr>
            <w:r w:rsidRPr="00E13AEA">
              <w:t>Periodika un citi informācijas avoti</w:t>
            </w:r>
          </w:p>
        </w:tc>
      </w:tr>
      <w:tr w:rsidR="00E13AEA" w:rsidRPr="00E13AEA" w14:paraId="31FCEE0B" w14:textId="77777777" w:rsidTr="00C33379">
        <w:tc>
          <w:tcPr>
            <w:tcW w:w="9039" w:type="dxa"/>
            <w:gridSpan w:val="2"/>
          </w:tcPr>
          <w:p w14:paraId="6D273D38" w14:textId="77777777" w:rsidR="00BF67E9" w:rsidRPr="00BF67E9" w:rsidRDefault="003C61E2" w:rsidP="00BF67E9">
            <w:pPr>
              <w:pStyle w:val="ListParagraph"/>
            </w:pPr>
            <w:bookmarkStart w:id="0" w:name="_Hlk108427131"/>
            <w:permStart w:id="1898194034" w:edGrp="everyone"/>
            <w:r>
              <w:t>Gētes Institūts</w:t>
            </w:r>
            <w:r w:rsidR="00C30752">
              <w:t xml:space="preserve">. </w:t>
            </w:r>
            <w:hyperlink r:id="rId7" w:history="1">
              <w:proofErr w:type="spellStart"/>
              <w:r w:rsidRPr="003C61E2">
                <w:rPr>
                  <w:rStyle w:val="Hyperlink"/>
                </w:rPr>
                <w:t>Goethe-Institut</w:t>
              </w:r>
              <w:proofErr w:type="spellEnd"/>
              <w:r w:rsidRPr="003C61E2">
                <w:rPr>
                  <w:rStyle w:val="Hyperlink"/>
                </w:rPr>
                <w:t xml:space="preserve"> Lettland</w:t>
              </w:r>
            </w:hyperlink>
          </w:p>
          <w:p w14:paraId="156483CF" w14:textId="77777777" w:rsidR="00661FD8" w:rsidRDefault="00BF67E9" w:rsidP="00BF67E9">
            <w:pPr>
              <w:pStyle w:val="ListParagraph"/>
            </w:pPr>
            <w:r w:rsidRPr="005A4102">
              <w:t>Karogs</w:t>
            </w:r>
            <w:r w:rsidRPr="00BF67E9">
              <w:t xml:space="preserve"> (žurnāls).</w:t>
            </w:r>
            <w:r w:rsidRPr="00BF67E9">
              <w:br/>
              <w:t>Latvju Teksti.</w:t>
            </w:r>
          </w:p>
          <w:p w14:paraId="4C21566B" w14:textId="77777777" w:rsidR="00BF67E9" w:rsidRPr="00BF67E9" w:rsidRDefault="00661FD8" w:rsidP="00BF67E9">
            <w:pPr>
              <w:pStyle w:val="ListParagraph"/>
            </w:pPr>
            <w:r>
              <w:t>Literatūra un Māksla.</w:t>
            </w:r>
            <w:r w:rsidR="00BF67E9" w:rsidRPr="00BF67E9">
              <w:br/>
              <w:t>Tīrraksts.</w:t>
            </w:r>
            <w:r w:rsidR="00BF67E9" w:rsidRPr="00BF67E9">
              <w:br/>
              <w:t>http://berelis.wordpress.com/</w:t>
            </w:r>
            <w:r w:rsidR="00BF67E9" w:rsidRPr="00BF67E9">
              <w:br/>
              <w:t>www.ubisunt.lv Karogs (žurnāls)</w:t>
            </w:r>
          </w:p>
          <w:p w14:paraId="35FD25E2" w14:textId="77777777" w:rsidR="00BF67E9" w:rsidRPr="00BF67E9" w:rsidRDefault="00BF67E9" w:rsidP="00BF67E9">
            <w:pPr>
              <w:pStyle w:val="ListParagraph"/>
            </w:pPr>
            <w:r w:rsidRPr="00EF400C">
              <w:t>Konteksts (laikraksts)</w:t>
            </w:r>
          </w:p>
          <w:p w14:paraId="4BA30EDD" w14:textId="77777777" w:rsidR="00BF67E9" w:rsidRPr="00BF67E9" w:rsidRDefault="00BF67E9" w:rsidP="00BF67E9">
            <w:pPr>
              <w:pStyle w:val="ListParagraph"/>
            </w:pPr>
            <w:r w:rsidRPr="00EF400C">
              <w:t xml:space="preserve">Letonica (žurnāls) </w:t>
            </w:r>
          </w:p>
          <w:p w14:paraId="497E243A" w14:textId="77777777" w:rsidR="00BF67E9" w:rsidRPr="00BF67E9" w:rsidRDefault="00BF67E9" w:rsidP="00BF67E9">
            <w:pPr>
              <w:pStyle w:val="ListParagraph"/>
            </w:pPr>
            <w:r>
              <w:t xml:space="preserve">Nacionālā enciklopēdija </w:t>
            </w:r>
            <w:hyperlink r:id="rId8" w:history="1">
              <w:r w:rsidRPr="00BF67E9">
                <w:rPr>
                  <w:rStyle w:val="Hyperlink"/>
                </w:rPr>
                <w:t>www.enciklopedija.lv</w:t>
              </w:r>
            </w:hyperlink>
          </w:p>
          <w:p w14:paraId="573F49BE" w14:textId="63150092" w:rsidR="00525213" w:rsidRPr="00E13AEA" w:rsidRDefault="00BF67E9" w:rsidP="0052521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F400C">
              <w:lastRenderedPageBreak/>
              <w:t>Treji Vārti (žurnāls)</w:t>
            </w:r>
            <w:bookmarkEnd w:id="0"/>
            <w:permEnd w:id="1898194034"/>
          </w:p>
        </w:tc>
      </w:tr>
      <w:tr w:rsidR="00E13AEA" w:rsidRPr="00E13AEA" w14:paraId="2105A208" w14:textId="77777777" w:rsidTr="00C33379">
        <w:tc>
          <w:tcPr>
            <w:tcW w:w="9039" w:type="dxa"/>
            <w:gridSpan w:val="2"/>
          </w:tcPr>
          <w:p w14:paraId="4F44E4AD" w14:textId="77777777" w:rsidR="00525213" w:rsidRPr="00E13AEA" w:rsidRDefault="00525213" w:rsidP="00EA1A34">
            <w:pPr>
              <w:pStyle w:val="Nosaukumi"/>
            </w:pPr>
            <w:r w:rsidRPr="00E13AEA">
              <w:lastRenderedPageBreak/>
              <w:t>Piezīmes</w:t>
            </w:r>
          </w:p>
        </w:tc>
      </w:tr>
      <w:tr w:rsidR="00E13AEA" w:rsidRPr="00E13AEA" w14:paraId="76B37A58" w14:textId="77777777" w:rsidTr="00C33379">
        <w:tc>
          <w:tcPr>
            <w:tcW w:w="9039" w:type="dxa"/>
            <w:gridSpan w:val="2"/>
          </w:tcPr>
          <w:p w14:paraId="7025D6EF" w14:textId="37C3CC0A" w:rsidR="00525213" w:rsidRPr="00E13AEA" w:rsidRDefault="00415418" w:rsidP="006127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ermStart w:id="203441530" w:edGrp="everyone"/>
            <w:r w:rsidRPr="00071F6E">
              <w:t>Studiju kurss adresēts akadēmiskās maģistra studiju programmas "Filoloģija  un valodu prakses"   studējošajiem. Studiju kurss tiek docēts un apgūts latviešu valodā.</w:t>
            </w:r>
            <w:permEnd w:id="203441530"/>
          </w:p>
        </w:tc>
      </w:tr>
    </w:tbl>
    <w:p w14:paraId="5E6974FB" w14:textId="77777777" w:rsidR="0059171A" w:rsidRPr="00E13AEA" w:rsidRDefault="0059171A">
      <w:pPr>
        <w:rPr>
          <w:rFonts w:ascii="Times New Roman" w:hAnsi="Times New Roman" w:cs="Times New Roman"/>
          <w:sz w:val="24"/>
          <w:szCs w:val="24"/>
        </w:rPr>
      </w:pPr>
    </w:p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C2DB2" w14:textId="77777777" w:rsidR="008C49EE" w:rsidRDefault="008C49EE" w:rsidP="00982C4A">
      <w:pPr>
        <w:spacing w:after="0" w:line="240" w:lineRule="auto"/>
      </w:pPr>
      <w:r>
        <w:separator/>
      </w:r>
    </w:p>
  </w:endnote>
  <w:endnote w:type="continuationSeparator" w:id="0">
    <w:p w14:paraId="4F8B541F" w14:textId="77777777" w:rsidR="008C49EE" w:rsidRDefault="008C49EE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444852" w14:textId="77777777" w:rsidR="00525213" w:rsidRDefault="005252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58F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7975C1C" w14:textId="77777777" w:rsidR="00525213" w:rsidRDefault="005252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24CB3" w14:textId="77777777" w:rsidR="008C49EE" w:rsidRDefault="008C49EE" w:rsidP="00982C4A">
      <w:pPr>
        <w:spacing w:after="0" w:line="240" w:lineRule="auto"/>
      </w:pPr>
      <w:r>
        <w:separator/>
      </w:r>
    </w:p>
  </w:footnote>
  <w:footnote w:type="continuationSeparator" w:id="0">
    <w:p w14:paraId="0B827999" w14:textId="77777777" w:rsidR="008C49EE" w:rsidRDefault="008C49EE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43628" w14:textId="77777777" w:rsidR="007B1FB4" w:rsidRDefault="007B1FB4" w:rsidP="004A57E0">
    <w:pPr>
      <w:pStyle w:val="Header"/>
      <w:jc w:val="center"/>
      <w:rPr>
        <w:rFonts w:ascii="Times New Roman" w:hAnsi="Times New Roman" w:cs="Times New Roman"/>
        <w:b/>
      </w:rPr>
    </w:pPr>
  </w:p>
  <w:p w14:paraId="196E782C" w14:textId="77777777" w:rsidR="007B1FB4" w:rsidRPr="007B1FB4" w:rsidRDefault="007B1FB4" w:rsidP="004A57E0">
    <w:pPr>
      <w:pStyle w:val="Header"/>
      <w:jc w:val="center"/>
      <w:rPr>
        <w:rFonts w:ascii="Times New Roman" w:hAnsi="Times New Roman" w:cs="Times New Roman"/>
        <w:b/>
        <w:sz w:val="16"/>
      </w:rPr>
    </w:pPr>
  </w:p>
  <w:p w14:paraId="3E04E915" w14:textId="77777777" w:rsidR="00982C4A" w:rsidRPr="00D66CC2" w:rsidRDefault="00982C4A" w:rsidP="00982C4A">
    <w:pPr>
      <w:pStyle w:val="Header"/>
      <w:jc w:val="right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570838">
    <w:abstractNumId w:val="0"/>
  </w:num>
  <w:num w:numId="2" w16cid:durableId="608512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aHq2NVQANDv7ZmCBALIa14ASHQh+IjJjkOIPWt25re+nW1P7ZXZASLi/U7p82ThCfSK3Cyoy4EyK588i/VjYig==" w:salt="HuapOTyzYqQJbqTj/BnUR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21165"/>
    <w:rsid w:val="000341D6"/>
    <w:rsid w:val="00040EF0"/>
    <w:rsid w:val="00041F11"/>
    <w:rsid w:val="00047EFF"/>
    <w:rsid w:val="00052546"/>
    <w:rsid w:val="00057199"/>
    <w:rsid w:val="00082FD0"/>
    <w:rsid w:val="000A79F5"/>
    <w:rsid w:val="000D275C"/>
    <w:rsid w:val="00124650"/>
    <w:rsid w:val="00141C8E"/>
    <w:rsid w:val="0016262A"/>
    <w:rsid w:val="00191A6D"/>
    <w:rsid w:val="0019467B"/>
    <w:rsid w:val="001E010A"/>
    <w:rsid w:val="001E37E7"/>
    <w:rsid w:val="00212071"/>
    <w:rsid w:val="00217E8A"/>
    <w:rsid w:val="00232205"/>
    <w:rsid w:val="00254D51"/>
    <w:rsid w:val="00257890"/>
    <w:rsid w:val="002707EF"/>
    <w:rsid w:val="00293F4B"/>
    <w:rsid w:val="002B5788"/>
    <w:rsid w:val="002D26FA"/>
    <w:rsid w:val="00337CF9"/>
    <w:rsid w:val="00391B74"/>
    <w:rsid w:val="003B3E72"/>
    <w:rsid w:val="003B7D44"/>
    <w:rsid w:val="003C0129"/>
    <w:rsid w:val="003C0611"/>
    <w:rsid w:val="003C5637"/>
    <w:rsid w:val="003C61E2"/>
    <w:rsid w:val="003E7C04"/>
    <w:rsid w:val="003F4CAE"/>
    <w:rsid w:val="003F6588"/>
    <w:rsid w:val="00404DFA"/>
    <w:rsid w:val="00415418"/>
    <w:rsid w:val="00416727"/>
    <w:rsid w:val="004537CD"/>
    <w:rsid w:val="004906FF"/>
    <w:rsid w:val="004A560D"/>
    <w:rsid w:val="004A57E0"/>
    <w:rsid w:val="004B5043"/>
    <w:rsid w:val="004C2B86"/>
    <w:rsid w:val="004C3F4D"/>
    <w:rsid w:val="004D5586"/>
    <w:rsid w:val="0051568D"/>
    <w:rsid w:val="00525213"/>
    <w:rsid w:val="00582E70"/>
    <w:rsid w:val="0059171A"/>
    <w:rsid w:val="005A4102"/>
    <w:rsid w:val="005E5E8A"/>
    <w:rsid w:val="00606976"/>
    <w:rsid w:val="00612759"/>
    <w:rsid w:val="00632863"/>
    <w:rsid w:val="00655E76"/>
    <w:rsid w:val="00661FD8"/>
    <w:rsid w:val="0072031C"/>
    <w:rsid w:val="00732EA4"/>
    <w:rsid w:val="0073342A"/>
    <w:rsid w:val="0076689C"/>
    <w:rsid w:val="0078238C"/>
    <w:rsid w:val="007838FB"/>
    <w:rsid w:val="00797FAD"/>
    <w:rsid w:val="007B17E4"/>
    <w:rsid w:val="007B1FB4"/>
    <w:rsid w:val="007D690A"/>
    <w:rsid w:val="007E1750"/>
    <w:rsid w:val="007E3D58"/>
    <w:rsid w:val="007F2A5B"/>
    <w:rsid w:val="00804AE1"/>
    <w:rsid w:val="00815FAB"/>
    <w:rsid w:val="008178E2"/>
    <w:rsid w:val="008231E1"/>
    <w:rsid w:val="00873F95"/>
    <w:rsid w:val="0087428B"/>
    <w:rsid w:val="0087564C"/>
    <w:rsid w:val="008869E1"/>
    <w:rsid w:val="008C49EE"/>
    <w:rsid w:val="00982C4A"/>
    <w:rsid w:val="009904CC"/>
    <w:rsid w:val="009B0F73"/>
    <w:rsid w:val="009B5B98"/>
    <w:rsid w:val="00A200E6"/>
    <w:rsid w:val="00A2196E"/>
    <w:rsid w:val="00A52530"/>
    <w:rsid w:val="00A549C8"/>
    <w:rsid w:val="00A6366E"/>
    <w:rsid w:val="00A658F5"/>
    <w:rsid w:val="00A65FF2"/>
    <w:rsid w:val="00A8127C"/>
    <w:rsid w:val="00AA5194"/>
    <w:rsid w:val="00B042FD"/>
    <w:rsid w:val="00B13A71"/>
    <w:rsid w:val="00B36DCD"/>
    <w:rsid w:val="00B52B1F"/>
    <w:rsid w:val="00B6744A"/>
    <w:rsid w:val="00B71CD7"/>
    <w:rsid w:val="00B96236"/>
    <w:rsid w:val="00B96888"/>
    <w:rsid w:val="00BB3CCC"/>
    <w:rsid w:val="00BB4394"/>
    <w:rsid w:val="00BC1FA7"/>
    <w:rsid w:val="00BC5298"/>
    <w:rsid w:val="00BD1F52"/>
    <w:rsid w:val="00BE2302"/>
    <w:rsid w:val="00BF67E9"/>
    <w:rsid w:val="00C01C09"/>
    <w:rsid w:val="00C25B36"/>
    <w:rsid w:val="00C30752"/>
    <w:rsid w:val="00C477F2"/>
    <w:rsid w:val="00C6150D"/>
    <w:rsid w:val="00C66BCE"/>
    <w:rsid w:val="00C7646F"/>
    <w:rsid w:val="00C76FBF"/>
    <w:rsid w:val="00C91DAC"/>
    <w:rsid w:val="00D05806"/>
    <w:rsid w:val="00D0735A"/>
    <w:rsid w:val="00D259D1"/>
    <w:rsid w:val="00D27931"/>
    <w:rsid w:val="00D30B71"/>
    <w:rsid w:val="00D63729"/>
    <w:rsid w:val="00D66CC2"/>
    <w:rsid w:val="00D67869"/>
    <w:rsid w:val="00D75976"/>
    <w:rsid w:val="00D8100F"/>
    <w:rsid w:val="00D84505"/>
    <w:rsid w:val="00D90F27"/>
    <w:rsid w:val="00D9301F"/>
    <w:rsid w:val="00DD5B3C"/>
    <w:rsid w:val="00DF743A"/>
    <w:rsid w:val="00E13AEA"/>
    <w:rsid w:val="00E24206"/>
    <w:rsid w:val="00E310C0"/>
    <w:rsid w:val="00E3236B"/>
    <w:rsid w:val="00E644A7"/>
    <w:rsid w:val="00E82F3C"/>
    <w:rsid w:val="00E93940"/>
    <w:rsid w:val="00EA1A34"/>
    <w:rsid w:val="00EB2429"/>
    <w:rsid w:val="00EB3BC5"/>
    <w:rsid w:val="00EE16F0"/>
    <w:rsid w:val="00F115CB"/>
    <w:rsid w:val="00F13A72"/>
    <w:rsid w:val="00F37DB6"/>
    <w:rsid w:val="00F45154"/>
    <w:rsid w:val="00F85634"/>
    <w:rsid w:val="00F940D9"/>
    <w:rsid w:val="00FC1487"/>
    <w:rsid w:val="00FE58F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46C3986"/>
  <w15:docId w15:val="{DC224538-D561-4EDC-9473-E5267A60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NoSpacing">
    <w:name w:val="No Spacing"/>
    <w:uiPriority w:val="1"/>
    <w:qFormat/>
    <w:rsid w:val="00F940D9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D90F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iklopedija.l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ethe.de/ins/lv/lv/index.html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1004E2"/>
    <w:rsid w:val="001C592C"/>
    <w:rsid w:val="00256193"/>
    <w:rsid w:val="00260A43"/>
    <w:rsid w:val="003761D2"/>
    <w:rsid w:val="004F1284"/>
    <w:rsid w:val="004F49AE"/>
    <w:rsid w:val="006B2211"/>
    <w:rsid w:val="0083198B"/>
    <w:rsid w:val="00833998"/>
    <w:rsid w:val="008440A1"/>
    <w:rsid w:val="00897F62"/>
    <w:rsid w:val="008E02DE"/>
    <w:rsid w:val="00963956"/>
    <w:rsid w:val="00A802D5"/>
    <w:rsid w:val="00AD54F6"/>
    <w:rsid w:val="00AE25C7"/>
    <w:rsid w:val="00B74947"/>
    <w:rsid w:val="00C958E9"/>
    <w:rsid w:val="00D0292E"/>
    <w:rsid w:val="00ED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592C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8312</Words>
  <Characters>4738</Characters>
  <Application>Microsoft Office Word</Application>
  <DocSecurity>8</DocSecurity>
  <Lines>39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24</cp:revision>
  <cp:lastPrinted>2018-11-16T11:31:00Z</cp:lastPrinted>
  <dcterms:created xsi:type="dcterms:W3CDTF">2022-07-10T16:25:00Z</dcterms:created>
  <dcterms:modified xsi:type="dcterms:W3CDTF">2022-07-11T08:15:00Z</dcterms:modified>
</cp:coreProperties>
</file>