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9E028" w14:textId="77777777" w:rsidR="00A4284E" w:rsidRDefault="004A20F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DAUGAVPILS UNIVERSITĀTES</w:t>
      </w:r>
    </w:p>
    <w:p w14:paraId="34895F09" w14:textId="77777777" w:rsidR="00A4284E" w:rsidRDefault="004A20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14:paraId="150FA387" w14:textId="77777777" w:rsidR="00A4284E" w:rsidRDefault="00A4284E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A4284E" w14:paraId="3CE7F7DD" w14:textId="77777777">
        <w:tc>
          <w:tcPr>
            <w:tcW w:w="4584" w:type="dxa"/>
          </w:tcPr>
          <w:p w14:paraId="140141EB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0F4A9FFA" w14:textId="0528FAEC" w:rsidR="00A4284E" w:rsidRDefault="004A20F4">
            <w:r>
              <w:t xml:space="preserve">  </w:t>
            </w:r>
            <w:proofErr w:type="spellStart"/>
            <w:r w:rsidRPr="001F23B8">
              <w:t>Tekstveide</w:t>
            </w:r>
            <w:proofErr w:type="spellEnd"/>
            <w:r w:rsidRPr="001F23B8">
              <w:t>, tekstu analīze un interpretācija</w:t>
            </w:r>
            <w:r>
              <w:t xml:space="preserve"> </w:t>
            </w:r>
            <w:r w:rsidR="007706E4">
              <w:t>IV</w:t>
            </w:r>
            <w:r>
              <w:t xml:space="preserve"> </w:t>
            </w:r>
          </w:p>
        </w:tc>
      </w:tr>
      <w:tr w:rsidR="00A4284E" w14:paraId="2EC46AAD" w14:textId="77777777">
        <w:tc>
          <w:tcPr>
            <w:tcW w:w="4584" w:type="dxa"/>
          </w:tcPr>
          <w:p w14:paraId="2A1C9C0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269B4C22" w14:textId="77777777" w:rsidR="00A4284E" w:rsidRDefault="004A20F4">
            <w:r>
              <w:t xml:space="preserve">     </w:t>
            </w:r>
          </w:p>
        </w:tc>
      </w:tr>
      <w:tr w:rsidR="00A4284E" w14:paraId="3230CA72" w14:textId="77777777">
        <w:tc>
          <w:tcPr>
            <w:tcW w:w="4584" w:type="dxa"/>
          </w:tcPr>
          <w:p w14:paraId="403D3CC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08514E2D" w14:textId="77777777" w:rsidR="00A4284E" w:rsidRDefault="004A20F4">
            <w:pPr>
              <w:rPr>
                <w:b/>
              </w:rPr>
            </w:pPr>
            <w:r>
              <w:t xml:space="preserve">  Valodniecība un literatūrzinātne </w:t>
            </w:r>
          </w:p>
        </w:tc>
      </w:tr>
      <w:tr w:rsidR="00A4284E" w14:paraId="7795F1D1" w14:textId="77777777">
        <w:tc>
          <w:tcPr>
            <w:tcW w:w="4584" w:type="dxa"/>
          </w:tcPr>
          <w:p w14:paraId="14D356CD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0AB5B2B8" w14:textId="77777777" w:rsidR="00A4284E" w:rsidRDefault="004A20F4">
            <w:r>
              <w:t>6</w:t>
            </w:r>
          </w:p>
        </w:tc>
      </w:tr>
      <w:tr w:rsidR="00A4284E" w14:paraId="7D6D00FF" w14:textId="77777777">
        <w:tc>
          <w:tcPr>
            <w:tcW w:w="4584" w:type="dxa"/>
          </w:tcPr>
          <w:p w14:paraId="4E6AC8E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71A90D38" w14:textId="08870F1E" w:rsidR="00A4284E" w:rsidRDefault="007706E4">
            <w:r>
              <w:t>2</w:t>
            </w:r>
          </w:p>
        </w:tc>
      </w:tr>
      <w:tr w:rsidR="00A4284E" w14:paraId="66C485BB" w14:textId="77777777">
        <w:tc>
          <w:tcPr>
            <w:tcW w:w="4584" w:type="dxa"/>
          </w:tcPr>
          <w:p w14:paraId="59CC26F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07FF4346" w14:textId="00379453" w:rsidR="00A4284E" w:rsidRDefault="007706E4">
            <w:r>
              <w:t>3</w:t>
            </w:r>
            <w:r w:rsidR="004A20F4">
              <w:t xml:space="preserve"> </w:t>
            </w:r>
          </w:p>
        </w:tc>
      </w:tr>
      <w:tr w:rsidR="00A4284E" w14:paraId="66C40D40" w14:textId="77777777">
        <w:tc>
          <w:tcPr>
            <w:tcW w:w="4584" w:type="dxa"/>
          </w:tcPr>
          <w:p w14:paraId="1C4B44B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0E978B34" w14:textId="4E7BD1DC" w:rsidR="00A4284E" w:rsidRDefault="007706E4">
            <w:r>
              <w:t>32</w:t>
            </w:r>
          </w:p>
        </w:tc>
      </w:tr>
      <w:tr w:rsidR="00A4284E" w14:paraId="6D9F096C" w14:textId="77777777">
        <w:tc>
          <w:tcPr>
            <w:tcW w:w="4584" w:type="dxa"/>
          </w:tcPr>
          <w:p w14:paraId="0A3D3568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936927F" w14:textId="77777777" w:rsidR="00A4284E" w:rsidRDefault="004A20F4">
            <w:r>
              <w:t xml:space="preserve"> </w:t>
            </w:r>
          </w:p>
        </w:tc>
      </w:tr>
      <w:tr w:rsidR="00A4284E" w14:paraId="69DB270A" w14:textId="77777777">
        <w:tc>
          <w:tcPr>
            <w:tcW w:w="4584" w:type="dxa"/>
          </w:tcPr>
          <w:p w14:paraId="093954A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7771F544" w14:textId="77777777" w:rsidR="00A4284E" w:rsidRDefault="004A20F4">
            <w:r>
              <w:t xml:space="preserve"> </w:t>
            </w:r>
          </w:p>
        </w:tc>
      </w:tr>
      <w:tr w:rsidR="00A4284E" w14:paraId="26FDDB83" w14:textId="77777777">
        <w:tc>
          <w:tcPr>
            <w:tcW w:w="4584" w:type="dxa"/>
          </w:tcPr>
          <w:p w14:paraId="177595D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1502C9A1" w14:textId="36AD128F" w:rsidR="00A4284E" w:rsidRDefault="007706E4">
            <w:r>
              <w:t>32</w:t>
            </w:r>
          </w:p>
        </w:tc>
      </w:tr>
      <w:tr w:rsidR="00A4284E" w14:paraId="425B1765" w14:textId="77777777">
        <w:tc>
          <w:tcPr>
            <w:tcW w:w="4584" w:type="dxa"/>
          </w:tcPr>
          <w:p w14:paraId="73DB090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34F55217" w14:textId="77777777" w:rsidR="00A4284E" w:rsidRDefault="004A20F4">
            <w:r>
              <w:t xml:space="preserve"> </w:t>
            </w:r>
          </w:p>
        </w:tc>
      </w:tr>
      <w:tr w:rsidR="00A4284E" w14:paraId="2346BDD3" w14:textId="77777777">
        <w:tc>
          <w:tcPr>
            <w:tcW w:w="4584" w:type="dxa"/>
          </w:tcPr>
          <w:p w14:paraId="3B9D4BC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1C708262" w14:textId="628A629A" w:rsidR="00A4284E" w:rsidRDefault="007706E4">
            <w:r>
              <w:t>48</w:t>
            </w:r>
          </w:p>
        </w:tc>
      </w:tr>
      <w:tr w:rsidR="00A4284E" w14:paraId="7E5C67CB" w14:textId="77777777">
        <w:tc>
          <w:tcPr>
            <w:tcW w:w="9577" w:type="dxa"/>
            <w:gridSpan w:val="2"/>
          </w:tcPr>
          <w:p w14:paraId="6BED016B" w14:textId="77777777" w:rsidR="00A4284E" w:rsidRDefault="00A4284E"/>
        </w:tc>
      </w:tr>
      <w:tr w:rsidR="00A4284E" w14:paraId="3342FC18" w14:textId="77777777">
        <w:tc>
          <w:tcPr>
            <w:tcW w:w="9577" w:type="dxa"/>
            <w:gridSpan w:val="2"/>
          </w:tcPr>
          <w:p w14:paraId="3A06D5C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A4284E" w14:paraId="67F210D5" w14:textId="77777777">
        <w:tc>
          <w:tcPr>
            <w:tcW w:w="9577" w:type="dxa"/>
            <w:gridSpan w:val="2"/>
          </w:tcPr>
          <w:p w14:paraId="1807ACFF" w14:textId="77777777" w:rsidR="00A4284E" w:rsidRDefault="004A20F4">
            <w:r>
              <w:t xml:space="preserve">Dr.philol. Sandra </w:t>
            </w:r>
            <w:proofErr w:type="spellStart"/>
            <w:r>
              <w:t>Meškova</w:t>
            </w:r>
            <w:proofErr w:type="spellEnd"/>
          </w:p>
          <w:p w14:paraId="1DEE2591" w14:textId="77777777" w:rsidR="00EF2B60" w:rsidRDefault="00EF2B60" w:rsidP="00EF2B60">
            <w:r>
              <w:t>Dr.philol. Evita Badina</w:t>
            </w:r>
          </w:p>
          <w:p w14:paraId="79846A61" w14:textId="77777777" w:rsidR="00A4284E" w:rsidRDefault="004A20F4">
            <w:r>
              <w:t xml:space="preserve">Dr.philol. Irina </w:t>
            </w:r>
            <w:proofErr w:type="spellStart"/>
            <w:r>
              <w:t>Presņakova</w:t>
            </w:r>
            <w:proofErr w:type="spellEnd"/>
            <w:r>
              <w:t xml:space="preserve">    </w:t>
            </w:r>
          </w:p>
        </w:tc>
      </w:tr>
      <w:tr w:rsidR="00A4284E" w14:paraId="67719D98" w14:textId="77777777">
        <w:tc>
          <w:tcPr>
            <w:tcW w:w="9577" w:type="dxa"/>
            <w:gridSpan w:val="2"/>
          </w:tcPr>
          <w:p w14:paraId="4C7CB67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A4284E" w14:paraId="7EB2FFB8" w14:textId="77777777">
        <w:tc>
          <w:tcPr>
            <w:tcW w:w="9577" w:type="dxa"/>
            <w:gridSpan w:val="2"/>
          </w:tcPr>
          <w:p w14:paraId="0CB7B54D" w14:textId="5A346D42" w:rsidR="00A4284E" w:rsidRDefault="004A20F4">
            <w:r>
              <w:t xml:space="preserve"> </w:t>
            </w:r>
            <w:r w:rsidR="00EF2B60">
              <w:t xml:space="preserve">Dr.philol. Sandra </w:t>
            </w:r>
            <w:proofErr w:type="spellStart"/>
            <w:r w:rsidR="00EF2B60">
              <w:t>Meškova</w:t>
            </w:r>
            <w:proofErr w:type="spellEnd"/>
            <w:r w:rsidR="00EF2B60">
              <w:t xml:space="preserve">, </w:t>
            </w:r>
            <w:r>
              <w:t xml:space="preserve">Dr.philol. Evita Badina, Dr.philol. Irina </w:t>
            </w:r>
            <w:proofErr w:type="spellStart"/>
            <w:r>
              <w:t>Presņakova</w:t>
            </w:r>
            <w:proofErr w:type="spellEnd"/>
            <w:r>
              <w:t xml:space="preserve">     </w:t>
            </w:r>
          </w:p>
        </w:tc>
      </w:tr>
      <w:tr w:rsidR="00A4284E" w14:paraId="5FB34462" w14:textId="77777777">
        <w:tc>
          <w:tcPr>
            <w:tcW w:w="9577" w:type="dxa"/>
            <w:gridSpan w:val="2"/>
          </w:tcPr>
          <w:p w14:paraId="3409314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A4284E" w14:paraId="43AB06C0" w14:textId="77777777">
        <w:tc>
          <w:tcPr>
            <w:tcW w:w="9577" w:type="dxa"/>
            <w:gridSpan w:val="2"/>
          </w:tcPr>
          <w:p w14:paraId="7B533F29" w14:textId="77777777" w:rsidR="00A4284E" w:rsidRDefault="004A20F4">
            <w:r>
              <w:t xml:space="preserve">        </w:t>
            </w:r>
          </w:p>
        </w:tc>
      </w:tr>
      <w:tr w:rsidR="00A4284E" w14:paraId="02CECB58" w14:textId="77777777">
        <w:tc>
          <w:tcPr>
            <w:tcW w:w="9577" w:type="dxa"/>
            <w:gridSpan w:val="2"/>
          </w:tcPr>
          <w:p w14:paraId="132EBB2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A4284E" w14:paraId="192EDAAE" w14:textId="77777777">
        <w:tc>
          <w:tcPr>
            <w:tcW w:w="9577" w:type="dxa"/>
            <w:gridSpan w:val="2"/>
          </w:tcPr>
          <w:p w14:paraId="525BB254" w14:textId="56266BCA" w:rsidR="00A4284E" w:rsidRPr="00850F05" w:rsidRDefault="004A20F4">
            <w:r>
              <w:t xml:space="preserve">Studiju kursa mērķis: veidot studējošo izpratni par teksta analīzes un interpretācijas principiem, pilnveidot kompetenci darbā ar daiļliteratūras tekstiem, pilnveidot teksta analīzei nepieciešamās lingvistiskās prasmes; </w:t>
            </w:r>
            <w:r w:rsidRPr="00850F05">
              <w:t xml:space="preserve">iepazīstināt ar jaunākajām  teorijām un metodēm </w:t>
            </w:r>
            <w:r w:rsidR="00B8730B">
              <w:t>daiļliteratūras</w:t>
            </w:r>
            <w:r w:rsidRPr="00850F05">
              <w:t xml:space="preserve"> tekstu analīzē; veidot studējošo izpratni par </w:t>
            </w:r>
            <w:r w:rsidR="00B8730B">
              <w:t xml:space="preserve">dažādām </w:t>
            </w:r>
            <w:r w:rsidRPr="00850F05">
              <w:t>literārajām formām</w:t>
            </w:r>
            <w:r w:rsidR="00BC0C02">
              <w:t>.</w:t>
            </w:r>
          </w:p>
          <w:p w14:paraId="22D525AC" w14:textId="77777777" w:rsidR="00A4284E" w:rsidRDefault="00A4284E"/>
          <w:p w14:paraId="66130A34" w14:textId="77777777" w:rsidR="00A4284E" w:rsidRDefault="004A20F4">
            <w:r>
              <w:t>Kursa uzdevumi:</w:t>
            </w:r>
          </w:p>
          <w:p w14:paraId="037B5B1D" w14:textId="149F736C" w:rsidR="00A4284E" w:rsidRDefault="004A20F4">
            <w:r>
              <w:t>1. Iepazīstināt studējošos ar teksta lingvistikas, stilistikas, diskursa analīzes jēdzieniem un principiem</w:t>
            </w:r>
            <w:r w:rsidR="00850F05">
              <w:t>, dažādiem tekstu analīzes instrumentiem.</w:t>
            </w:r>
          </w:p>
          <w:p w14:paraId="2E63226E" w14:textId="69240C84" w:rsidR="00A4284E" w:rsidRDefault="004A20F4">
            <w:r>
              <w:t xml:space="preserve">2. Veicināt studējošo vārdu krājuma attīstību angļu valodā, strādājot ar </w:t>
            </w:r>
            <w:r w:rsidR="00B8730B">
              <w:t>daiļliteratūras</w:t>
            </w:r>
            <w:r>
              <w:t xml:space="preserve"> tekstiem.</w:t>
            </w:r>
          </w:p>
          <w:p w14:paraId="2C2CA6F6" w14:textId="77777777" w:rsidR="00A4284E" w:rsidRDefault="004A20F4">
            <w:r>
              <w:t>3. Attīstīt studējošo valodas lietošanas kompetenci, tai skaitā arī lasīšanas, runāšanas un rakstīšanas prasmes.</w:t>
            </w:r>
          </w:p>
          <w:p w14:paraId="59331EBB" w14:textId="77777777" w:rsidR="00A4284E" w:rsidRDefault="00A4284E" w:rsidP="00850F05"/>
        </w:tc>
      </w:tr>
      <w:tr w:rsidR="00A4284E" w14:paraId="3F086AD5" w14:textId="77777777">
        <w:tc>
          <w:tcPr>
            <w:tcW w:w="9577" w:type="dxa"/>
            <w:gridSpan w:val="2"/>
          </w:tcPr>
          <w:p w14:paraId="35880A8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A4284E" w14:paraId="388ABEFD" w14:textId="77777777">
        <w:tc>
          <w:tcPr>
            <w:tcW w:w="9577" w:type="dxa"/>
            <w:gridSpan w:val="2"/>
          </w:tcPr>
          <w:p w14:paraId="40F7310A" w14:textId="6325C422" w:rsidR="00A4284E" w:rsidRDefault="004A20F4">
            <w:r>
              <w:t xml:space="preserve">Praktiskie darbi </w:t>
            </w:r>
            <w:r w:rsidR="00B8730B">
              <w:t>32</w:t>
            </w:r>
            <w:r>
              <w:t xml:space="preserve"> st., patstāvīgais darbs </w:t>
            </w:r>
            <w:r w:rsidR="00B8730B">
              <w:t>48</w:t>
            </w:r>
            <w:r>
              <w:t xml:space="preserve"> st.</w:t>
            </w:r>
          </w:p>
          <w:p w14:paraId="47135BC3" w14:textId="14976CAB" w:rsidR="00A4284E" w:rsidRDefault="00B8730B">
            <w:r>
              <w:t>1</w:t>
            </w:r>
            <w:r w:rsidR="004A20F4">
              <w:t>. Prozas teksta interpretācija. P 20</w:t>
            </w:r>
          </w:p>
          <w:p w14:paraId="4CB41A7C" w14:textId="347CF5AD" w:rsidR="00A4284E" w:rsidRDefault="00B8730B">
            <w:r>
              <w:t>2</w:t>
            </w:r>
            <w:r w:rsidR="004A20F4">
              <w:t>. Dzejas teksta interpretācija. P 12</w:t>
            </w:r>
          </w:p>
          <w:p w14:paraId="3468EE4D" w14:textId="77777777" w:rsidR="00A4284E" w:rsidRDefault="004A20F4">
            <w:r>
              <w:t xml:space="preserve"> </w:t>
            </w:r>
          </w:p>
        </w:tc>
      </w:tr>
      <w:tr w:rsidR="00A4284E" w14:paraId="19600C55" w14:textId="77777777">
        <w:tc>
          <w:tcPr>
            <w:tcW w:w="9577" w:type="dxa"/>
            <w:gridSpan w:val="2"/>
          </w:tcPr>
          <w:p w14:paraId="3DCDC08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rezultāti</w:t>
            </w:r>
          </w:p>
        </w:tc>
      </w:tr>
      <w:tr w:rsidR="00A4284E" w14:paraId="2C1D7F52" w14:textId="77777777">
        <w:tc>
          <w:tcPr>
            <w:tcW w:w="9577" w:type="dxa"/>
            <w:gridSpan w:val="2"/>
          </w:tcPr>
          <w:p w14:paraId="14C5D413" w14:textId="77777777" w:rsidR="00A4284E" w:rsidRDefault="00A4284E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A4284E" w14:paraId="4A3ACA10" w14:textId="77777777">
              <w:tc>
                <w:tcPr>
                  <w:tcW w:w="9351" w:type="dxa"/>
                </w:tcPr>
                <w:p w14:paraId="0465A36A" w14:textId="77777777" w:rsidR="00A4284E" w:rsidRDefault="004A20F4">
                  <w:r>
                    <w:t>ZINĀŠANAS</w:t>
                  </w:r>
                </w:p>
              </w:tc>
            </w:tr>
            <w:tr w:rsidR="00A4284E" w14:paraId="1DCE3D0B" w14:textId="77777777">
              <w:tc>
                <w:tcPr>
                  <w:tcW w:w="9351" w:type="dxa"/>
                </w:tcPr>
                <w:p w14:paraId="4C669643" w14:textId="77777777" w:rsidR="00A4284E" w:rsidRDefault="004A20F4">
                  <w:r>
                    <w:t xml:space="preserve">1. Saprot un interpretē jēdzienus, domas, jūtas, faktus un viedokļus svešvalodā (angļu valodā) mutvārdos un </w:t>
                  </w:r>
                  <w:proofErr w:type="spellStart"/>
                  <w:r>
                    <w:t>rakstveidā</w:t>
                  </w:r>
                  <w:proofErr w:type="spellEnd"/>
                  <w:r>
                    <w:t>.</w:t>
                  </w:r>
                </w:p>
                <w:p w14:paraId="169F6900" w14:textId="4611FC2F" w:rsidR="00A4284E" w:rsidRDefault="004A20F4">
                  <w:r>
                    <w:lastRenderedPageBreak/>
                    <w:t xml:space="preserve">2. Demonstrē izpratni par teksta uzbūvi, tēlainās izteiksmes līdzekļu lietojumu, valodas līdzekļu izmantojumu </w:t>
                  </w:r>
                  <w:r w:rsidR="00B8730B">
                    <w:t>daiļliteratūras</w:t>
                  </w:r>
                  <w:r>
                    <w:t xml:space="preserve"> tekstos.</w:t>
                  </w:r>
                </w:p>
                <w:p w14:paraId="7C8BE49C" w14:textId="77777777" w:rsidR="00A4284E" w:rsidRDefault="004A20F4">
                  <w:r>
                    <w:t xml:space="preserve">3. Pārzina </w:t>
                  </w:r>
                  <w:proofErr w:type="spellStart"/>
                  <w:r>
                    <w:t>tekstveides</w:t>
                  </w:r>
                  <w:proofErr w:type="spellEnd"/>
                  <w:r>
                    <w:t xml:space="preserve"> paņēmienus un pārvalda teksta digitālās rediģēšanas pamatus.</w:t>
                  </w:r>
                </w:p>
              </w:tc>
            </w:tr>
            <w:tr w:rsidR="00A4284E" w14:paraId="40E086D5" w14:textId="77777777">
              <w:tc>
                <w:tcPr>
                  <w:tcW w:w="9351" w:type="dxa"/>
                </w:tcPr>
                <w:p w14:paraId="0C0898F4" w14:textId="77777777" w:rsidR="00A4284E" w:rsidRDefault="004A20F4">
                  <w:pPr>
                    <w:rPr>
                      <w:highlight w:val="yellow"/>
                    </w:rPr>
                  </w:pPr>
                  <w:r>
                    <w:lastRenderedPageBreak/>
                    <w:t>PRASMES</w:t>
                  </w:r>
                </w:p>
              </w:tc>
            </w:tr>
            <w:tr w:rsidR="00A4284E" w14:paraId="00220E6D" w14:textId="77777777">
              <w:tc>
                <w:tcPr>
                  <w:tcW w:w="9351" w:type="dxa"/>
                </w:tcPr>
                <w:p w14:paraId="00A16A15" w14:textId="620C6839" w:rsidR="00A4284E" w:rsidRDefault="004A20F4">
                  <w:r>
                    <w:t xml:space="preserve">4. Pielieto svešvalodu (angļu valodu) </w:t>
                  </w:r>
                  <w:r w:rsidR="00B8730B">
                    <w:t>daiļliteratūras tekstu interpretācijā</w:t>
                  </w:r>
                  <w:r>
                    <w:t>, prot izvēlēties komunikācijas un runas stratēģijas, formulēt domu atbilstoši komunikācijas situācijai.</w:t>
                  </w:r>
                </w:p>
                <w:p w14:paraId="4B6F4CCB" w14:textId="41166FD5" w:rsidR="00A4284E" w:rsidRDefault="004A20F4" w:rsidP="00253790">
                  <w:pPr>
                    <w:pStyle w:val="NormalWeb"/>
                    <w:spacing w:before="0" w:beforeAutospacing="0" w:after="0" w:afterAutospacing="0"/>
                  </w:pPr>
                  <w:r>
                    <w:t xml:space="preserve">5. </w:t>
                  </w:r>
                  <w:r w:rsidR="00253790">
                    <w:rPr>
                      <w:color w:val="000000"/>
                    </w:rPr>
                    <w:t xml:space="preserve">Patstāvīgi izmanto prasmes </w:t>
                  </w:r>
                  <w:r w:rsidR="00B8730B">
                    <w:rPr>
                      <w:color w:val="000000"/>
                      <w:lang w:val="lv-LV"/>
                    </w:rPr>
                    <w:t>akadēmiska un radoša</w:t>
                  </w:r>
                  <w:r w:rsidR="00253790">
                    <w:rPr>
                      <w:color w:val="000000"/>
                    </w:rPr>
                    <w:t xml:space="preserve"> tekst</w:t>
                  </w:r>
                  <w:r w:rsidR="00B8730B">
                    <w:rPr>
                      <w:color w:val="000000"/>
                      <w:lang w:val="lv-LV"/>
                    </w:rPr>
                    <w:t>a</w:t>
                  </w:r>
                  <w:r w:rsidR="00253790">
                    <w:rPr>
                      <w:color w:val="000000"/>
                    </w:rPr>
                    <w:t xml:space="preserve"> veidošanā, analīzē un interpretācijā.</w:t>
                  </w:r>
                </w:p>
                <w:p w14:paraId="07E1E530" w14:textId="77777777" w:rsidR="00A4284E" w:rsidRDefault="004A20F4">
                  <w:r>
                    <w:t>6. Spēj efektīvi un patstāvīgi pilnveidot angļu valodas lietojuma kompetenci.</w:t>
                  </w:r>
                </w:p>
              </w:tc>
            </w:tr>
            <w:tr w:rsidR="00A4284E" w14:paraId="72DA2688" w14:textId="77777777">
              <w:trPr>
                <w:trHeight w:val="203"/>
              </w:trPr>
              <w:tc>
                <w:tcPr>
                  <w:tcW w:w="9351" w:type="dxa"/>
                </w:tcPr>
                <w:p w14:paraId="3590109D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KOMPETENCE</w:t>
                  </w:r>
                </w:p>
              </w:tc>
            </w:tr>
            <w:tr w:rsidR="00A4284E" w14:paraId="20A86396" w14:textId="77777777">
              <w:tc>
                <w:tcPr>
                  <w:tcW w:w="9351" w:type="dxa"/>
                </w:tcPr>
                <w:p w14:paraId="36053348" w14:textId="276B3BEE" w:rsidR="00A4284E" w:rsidRDefault="004A20F4">
                  <w:pPr>
                    <w:rPr>
                      <w:highlight w:val="yellow"/>
                    </w:rPr>
                  </w:pPr>
                  <w:r w:rsidRPr="00253790">
                    <w:t xml:space="preserve">7. </w:t>
                  </w:r>
                  <w:r>
                    <w:t>Spēj patstāvīgi iegūt, atlasīt, analizēt un izmantot</w:t>
                  </w:r>
                  <w:r w:rsidR="00B8730B">
                    <w:t xml:space="preserve"> klasikas un mūsdienu literatūras </w:t>
                  </w:r>
                  <w:r>
                    <w:t xml:space="preserve">tekstos rodamo informāciju, pieņemt lēmumus un risināt problēmas </w:t>
                  </w:r>
                  <w:r w:rsidRPr="00253790">
                    <w:t>dažādās komunikācijas situācijās un saziņas vidēs.</w:t>
                  </w:r>
                </w:p>
                <w:p w14:paraId="40EB5F00" w14:textId="2D52969D" w:rsidR="00A4284E" w:rsidRDefault="004A20F4">
                  <w:pPr>
                    <w:rPr>
                      <w:highlight w:val="yellow"/>
                    </w:rPr>
                  </w:pPr>
                  <w:r w:rsidRPr="00253790">
                    <w:t xml:space="preserve">8. </w:t>
                  </w:r>
                  <w:r>
                    <w:t>Spēj kritiski un loģiski risināt teorētiskus un praktiskus jautājumus, ģenerē idejas, izvēlas problēmu risināšanas stratēģijas un piedāvā jaunus risinājumus, prasmīgi komunicē un sadarbojas gan individuāli, gan komandā.</w:t>
                  </w:r>
                </w:p>
              </w:tc>
            </w:tr>
          </w:tbl>
          <w:p w14:paraId="77013599" w14:textId="77777777" w:rsidR="00A4284E" w:rsidRDefault="00A4284E"/>
          <w:p w14:paraId="0472330F" w14:textId="77777777" w:rsidR="00A4284E" w:rsidRDefault="00A4284E"/>
        </w:tc>
      </w:tr>
      <w:tr w:rsidR="00A4284E" w14:paraId="589E0915" w14:textId="77777777">
        <w:tc>
          <w:tcPr>
            <w:tcW w:w="9577" w:type="dxa"/>
            <w:gridSpan w:val="2"/>
          </w:tcPr>
          <w:p w14:paraId="02AA417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A4284E" w14:paraId="467B2AFA" w14:textId="77777777">
        <w:tc>
          <w:tcPr>
            <w:tcW w:w="9577" w:type="dxa"/>
            <w:gridSpan w:val="2"/>
          </w:tcPr>
          <w:p w14:paraId="3C6D4681" w14:textId="35E2D7FB" w:rsidR="00F04048" w:rsidRPr="00804DEE" w:rsidRDefault="00F04048" w:rsidP="00F04048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padziļināti studē nodarbībām piedāvāto materiālu, 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plašāku </w:t>
            </w:r>
            <w:r>
              <w:rPr>
                <w:rFonts w:ascii="Times" w:hAnsi="Times"/>
              </w:rPr>
              <w:t>tekstu</w:t>
            </w:r>
            <w:r w:rsidRPr="00804DEE">
              <w:rPr>
                <w:rFonts w:ascii="Times" w:hAnsi="Times"/>
              </w:rPr>
              <w:t xml:space="preserve"> klāstu</w:t>
            </w:r>
            <w:r>
              <w:rPr>
                <w:rFonts w:ascii="Times" w:hAnsi="Times"/>
              </w:rPr>
              <w:t>, pilda uzdevumus individuāli un grupās,</w:t>
            </w:r>
            <w:r w:rsidRPr="00804DEE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 xml:space="preserve">izstrādā </w:t>
            </w:r>
            <w:proofErr w:type="spellStart"/>
            <w:r>
              <w:rPr>
                <w:rFonts w:ascii="Times" w:hAnsi="Times"/>
              </w:rPr>
              <w:t>starppārbaudījumu</w:t>
            </w:r>
            <w:proofErr w:type="spellEnd"/>
            <w:r>
              <w:rPr>
                <w:rFonts w:ascii="Times" w:hAnsi="Times"/>
              </w:rPr>
              <w:t xml:space="preserve"> uzdevumus, </w:t>
            </w:r>
            <w:r w:rsidRPr="00804DEE">
              <w:rPr>
                <w:rFonts w:ascii="Times" w:hAnsi="Times"/>
              </w:rPr>
              <w:t xml:space="preserve">demonstrē patstāvīgā darba rezultātus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</w:t>
            </w:r>
            <w:r>
              <w:t>gala pārbaudījumā</w:t>
            </w:r>
            <w:r w:rsidRPr="00804DEE">
              <w:rPr>
                <w:rFonts w:ascii="Times" w:hAnsi="Times"/>
              </w:rPr>
              <w:t>.</w:t>
            </w:r>
          </w:p>
          <w:p w14:paraId="49CFDDC2" w14:textId="1F38C130" w:rsidR="00A4284E" w:rsidRDefault="00A4284E"/>
        </w:tc>
      </w:tr>
      <w:tr w:rsidR="00A4284E" w14:paraId="0D682190" w14:textId="77777777">
        <w:tc>
          <w:tcPr>
            <w:tcW w:w="9577" w:type="dxa"/>
            <w:gridSpan w:val="2"/>
          </w:tcPr>
          <w:p w14:paraId="7E2C87F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A4284E" w14:paraId="2FD63496" w14:textId="77777777">
        <w:tc>
          <w:tcPr>
            <w:tcW w:w="9577" w:type="dxa"/>
            <w:gridSpan w:val="2"/>
          </w:tcPr>
          <w:p w14:paraId="6EDC5246" w14:textId="3840DA2E" w:rsidR="00A4284E" w:rsidRDefault="004A20F4">
            <w:r>
              <w:t>Studiju kursa gala vērtējumu (</w:t>
            </w:r>
            <w:r w:rsidR="00253790">
              <w:t>diferencētā ieskaite</w:t>
            </w:r>
            <w:r>
              <w:t xml:space="preserve">) veido vidējā svērtā atzīme par </w:t>
            </w:r>
            <w:proofErr w:type="spellStart"/>
            <w:r>
              <w:t>starppārbaudījumiem</w:t>
            </w:r>
            <w:proofErr w:type="spellEnd"/>
            <w:r>
              <w:t>, aktīvu līdzdalību praktisko darbu nodarbībās un</w:t>
            </w:r>
            <w:r w:rsidR="00253790">
              <w:t xml:space="preserve"> </w:t>
            </w:r>
            <w:r w:rsidR="00A11AFD">
              <w:t>gala pārbaudījumu.</w:t>
            </w:r>
            <w:r>
              <w:t xml:space="preserve"> </w:t>
            </w:r>
          </w:p>
          <w:p w14:paraId="154D33C7" w14:textId="77777777" w:rsidR="00A4284E" w:rsidRDefault="00A4284E"/>
          <w:p w14:paraId="4DC825F2" w14:textId="6A6AB760" w:rsidR="00A4284E" w:rsidRDefault="004A20F4">
            <w:r>
              <w:t xml:space="preserve">Diferencētās ieskaites vērtējums  var tikt saņemts, ja ir nokārtoti visi </w:t>
            </w:r>
            <w:proofErr w:type="spellStart"/>
            <w:r>
              <w:t>starppārbaudījumi</w:t>
            </w:r>
            <w:proofErr w:type="spellEnd"/>
            <w:r w:rsidR="00253790">
              <w:t>,</w:t>
            </w:r>
            <w:r>
              <w:t xml:space="preserve"> studējošais ir piedalījies </w:t>
            </w:r>
            <w:r w:rsidR="00EF2B60">
              <w:t>6</w:t>
            </w:r>
            <w:r w:rsidR="005B02FD">
              <w:t>0</w:t>
            </w:r>
            <w:r w:rsidRPr="002941A2">
              <w:t>%</w:t>
            </w:r>
            <w:r>
              <w:t xml:space="preserve"> praktisko darbu nodarbībās</w:t>
            </w:r>
            <w:r w:rsidR="00253790">
              <w:t xml:space="preserve"> un nokārtojis</w:t>
            </w:r>
            <w:r>
              <w:t xml:space="preserve"> </w:t>
            </w:r>
            <w:r w:rsidR="00253790">
              <w:t>g</w:t>
            </w:r>
            <w:r>
              <w:t>ala pārbaudījum</w:t>
            </w:r>
            <w:r w:rsidR="00253790">
              <w:t>u</w:t>
            </w:r>
            <w:r w:rsidR="00A11AFD">
              <w:t>.</w:t>
            </w:r>
          </w:p>
          <w:p w14:paraId="126487CA" w14:textId="77777777" w:rsidR="00A4284E" w:rsidRDefault="00A4284E"/>
          <w:p w14:paraId="35B9FFD0" w14:textId="77777777" w:rsidR="00A4284E" w:rsidRDefault="004A20F4">
            <w:r>
              <w:t xml:space="preserve">STARPPĀRBAUDĪJUMI: </w:t>
            </w:r>
          </w:p>
          <w:p w14:paraId="3B97A794" w14:textId="77777777" w:rsidR="00A4284E" w:rsidRDefault="004A20F4">
            <w:r>
              <w:t>(</w:t>
            </w:r>
            <w:proofErr w:type="spellStart"/>
            <w:r>
              <w:t>starppārbaudījuma</w:t>
            </w:r>
            <w:proofErr w:type="spellEnd"/>
            <w:r>
              <w:t xml:space="preserve"> uzdevumi tiek izstrādāti un vērtēti pēc docētāja noteiktajiem kritērijiem)</w:t>
            </w:r>
          </w:p>
          <w:p w14:paraId="62A9828B" w14:textId="0B38745D" w:rsidR="00A4284E" w:rsidRDefault="004A20F4">
            <w:r>
              <w:t>1. Pārbaudes darbs</w:t>
            </w:r>
            <w:r w:rsidR="00BC0C02">
              <w:t xml:space="preserve"> I</w:t>
            </w:r>
            <w:r>
              <w:t xml:space="preserve"> par apgūtās leksikas un stilistisko līdzekļu lietojumu uz Č. Dikensa, </w:t>
            </w:r>
            <w:proofErr w:type="spellStart"/>
            <w:r>
              <w:t>Dž</w:t>
            </w:r>
            <w:proofErr w:type="spellEnd"/>
            <w:r>
              <w:t>. Steinbeka, R. Bredberija prozas tekstu bāzes.</w:t>
            </w:r>
          </w:p>
          <w:p w14:paraId="1C01FED1" w14:textId="6E5733E4" w:rsidR="00A4284E" w:rsidRDefault="00B8730B">
            <w:r>
              <w:t>2</w:t>
            </w:r>
            <w:r w:rsidR="004A20F4">
              <w:t>. Radoša eseja: apraksta veidošana, izmantojot reālisma un modernisma prozas paņēmienus.</w:t>
            </w:r>
          </w:p>
          <w:p w14:paraId="1399561F" w14:textId="726B75CF" w:rsidR="00A4284E" w:rsidRDefault="00B8730B">
            <w:r>
              <w:t>3</w:t>
            </w:r>
            <w:r w:rsidR="004A20F4">
              <w:t>. Pārbaudes darbs</w:t>
            </w:r>
            <w:r w:rsidR="00BC0C02">
              <w:t xml:space="preserve"> II</w:t>
            </w:r>
            <w:r w:rsidR="004A20F4">
              <w:t xml:space="preserve"> par apgūtās leksikas, dzejas formu un stilistisko līdzekļu lietojumu uz P. B. Šellija</w:t>
            </w:r>
            <w:r w:rsidR="00BB774B">
              <w:t>,</w:t>
            </w:r>
            <w:r w:rsidR="004A20F4">
              <w:t xml:space="preserve"> </w:t>
            </w:r>
            <w:r w:rsidR="00A54982">
              <w:t xml:space="preserve">E. Dikinsones, </w:t>
            </w:r>
            <w:r w:rsidR="004A20F4">
              <w:t>T. S. Eliota</w:t>
            </w:r>
            <w:r w:rsidR="00A54982">
              <w:t xml:space="preserve">, R. </w:t>
            </w:r>
            <w:proofErr w:type="spellStart"/>
            <w:r w:rsidR="00A54982">
              <w:t>Frosta</w:t>
            </w:r>
            <w:proofErr w:type="spellEnd"/>
            <w:r w:rsidR="004A20F4">
              <w:t xml:space="preserve"> </w:t>
            </w:r>
            <w:r w:rsidR="00BB774B">
              <w:t xml:space="preserve">un </w:t>
            </w:r>
            <w:r w:rsidR="00A54982">
              <w:t>V.K. Viljamsa</w:t>
            </w:r>
            <w:r w:rsidR="00BB774B">
              <w:t xml:space="preserve"> </w:t>
            </w:r>
            <w:r w:rsidR="004A20F4">
              <w:t>dzejoļu bāzes.</w:t>
            </w:r>
          </w:p>
          <w:p w14:paraId="7C898D98" w14:textId="2C35DEA0" w:rsidR="00A4284E" w:rsidRDefault="00B8730B">
            <w:r>
              <w:t>4</w:t>
            </w:r>
            <w:r w:rsidR="004A20F4">
              <w:t>. Eseja: pārspriedums par domas un izjūtu izpausmi dzejas tekstā.</w:t>
            </w:r>
          </w:p>
          <w:p w14:paraId="7901BA2C" w14:textId="52501009" w:rsidR="00F04048" w:rsidRDefault="00F04048"/>
          <w:p w14:paraId="64841264" w14:textId="024EC213" w:rsidR="00F04048" w:rsidRPr="00BC0C02" w:rsidRDefault="00F04048">
            <w:r w:rsidRPr="00BC0C02">
              <w:t>GALA PĀRBAUDĪJUMS:</w:t>
            </w:r>
          </w:p>
          <w:p w14:paraId="22780841" w14:textId="6136227C" w:rsidR="00F04048" w:rsidRDefault="00D9452C">
            <w:r>
              <w:t>Mutvārdu prezentācija par klasiskās un mūsdienu literatūras specifiskām problēmām</w:t>
            </w:r>
            <w:r w:rsidR="00F20581" w:rsidRPr="00BC0C02">
              <w:t>, diskusija.</w:t>
            </w:r>
          </w:p>
          <w:p w14:paraId="4409F21C" w14:textId="77777777" w:rsidR="00A4284E" w:rsidRDefault="00A4284E"/>
          <w:p w14:paraId="4C99F99B" w14:textId="77777777" w:rsidR="00A4284E" w:rsidRDefault="004A20F4">
            <w:r>
              <w:t>STUDIJU REZULTĀTU VĒRTĒŠANAS KRITĒRIJI</w:t>
            </w:r>
          </w:p>
          <w:p w14:paraId="4A099C8E" w14:textId="585B1A25" w:rsidR="00A4284E" w:rsidRDefault="004A20F4"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="00FF5CAE">
              <w:t xml:space="preserve"> </w:t>
            </w:r>
            <w:r>
              <w:t>ar Latvijas Republikas normatīvajiem aktiem un atbilstoši "Nolikumam</w:t>
            </w:r>
            <w:r w:rsidR="00FF5CAE">
              <w:t xml:space="preserve"> </w:t>
            </w:r>
            <w:r>
              <w:t>par studijām Daugavpils Universitātē" (apstiprināts DU Senāta sēdē 17.12.2018., protokols Nr.</w:t>
            </w:r>
            <w:r w:rsidR="00FF5CAE">
              <w:t xml:space="preserve"> </w:t>
            </w:r>
            <w:r>
              <w:t>15),</w:t>
            </w:r>
            <w:r w:rsidR="00FF5CAE">
              <w:t xml:space="preserve"> </w:t>
            </w:r>
            <w:r>
              <w:t>vadoties pēc šādiem kritērijiem:iegūto zināšanu apjoms un kvalitāte, iegūtās prasmes un kompetences atbilstoši plānotajiem studiju rezultātiem.</w:t>
            </w:r>
          </w:p>
          <w:p w14:paraId="6DC7C6FB" w14:textId="77777777" w:rsidR="00A4284E" w:rsidRDefault="00A4284E"/>
          <w:p w14:paraId="24296B65" w14:textId="77777777" w:rsidR="00A4284E" w:rsidRDefault="004A20F4">
            <w:r>
              <w:t>STUDIJU REZULTĀTU VĒRTĒŠANA</w:t>
            </w:r>
          </w:p>
          <w:p w14:paraId="6409BDDB" w14:textId="77777777" w:rsidR="00A4284E" w:rsidRDefault="00A4284E"/>
          <w:tbl>
            <w:tblPr>
              <w:tblStyle w:val="a1"/>
              <w:tblW w:w="763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610"/>
              <w:gridCol w:w="426"/>
              <w:gridCol w:w="425"/>
              <w:gridCol w:w="425"/>
              <w:gridCol w:w="425"/>
              <w:gridCol w:w="426"/>
              <w:gridCol w:w="567"/>
              <w:gridCol w:w="558"/>
              <w:gridCol w:w="256"/>
            </w:tblGrid>
            <w:tr w:rsidR="00A4284E" w14:paraId="77E71A9B" w14:textId="77777777" w:rsidTr="00BB774B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4C5754A" w14:textId="77777777" w:rsidR="00A4284E" w:rsidRDefault="00A4284E"/>
                <w:p w14:paraId="063185F5" w14:textId="77777777" w:rsidR="00A4284E" w:rsidRDefault="004A20F4">
                  <w:r>
                    <w:t>Pārbaudījumu veidi</w:t>
                  </w:r>
                </w:p>
              </w:tc>
              <w:tc>
                <w:tcPr>
                  <w:tcW w:w="4118" w:type="dxa"/>
                  <w:gridSpan w:val="9"/>
                  <w:shd w:val="clear" w:color="auto" w:fill="auto"/>
                </w:tcPr>
                <w:p w14:paraId="34ECB4F6" w14:textId="77777777" w:rsidR="00A4284E" w:rsidRDefault="004A20F4">
                  <w:r>
                    <w:t>Studiju rezultāti *</w:t>
                  </w:r>
                </w:p>
              </w:tc>
            </w:tr>
            <w:tr w:rsidR="00A4284E" w14:paraId="56450225" w14:textId="77777777" w:rsidTr="00D9452C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77F492F5" w14:textId="77777777" w:rsidR="00A4284E" w:rsidRDefault="00A4284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610" w:type="dxa"/>
                  <w:shd w:val="clear" w:color="auto" w:fill="auto"/>
                </w:tcPr>
                <w:p w14:paraId="7CB6BB82" w14:textId="77777777" w:rsidR="00A4284E" w:rsidRDefault="004A20F4">
                  <w:r>
                    <w:t>1.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094469D5" w14:textId="77777777" w:rsidR="00A4284E" w:rsidRDefault="004A20F4">
                  <w:r>
                    <w:t>2.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09CD0BF" w14:textId="77777777" w:rsidR="00A4284E" w:rsidRDefault="004A20F4">
                  <w:r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B00E3FD" w14:textId="77777777" w:rsidR="00A4284E" w:rsidRDefault="004A20F4">
                  <w:r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C372805" w14:textId="77777777" w:rsidR="00A4284E" w:rsidRDefault="004A20F4">
                  <w:r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5B0709C1" w14:textId="77777777" w:rsidR="00A4284E" w:rsidRDefault="004A20F4">
                  <w:r>
                    <w:t>6.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80E04F5" w14:textId="77777777" w:rsidR="00A4284E" w:rsidRDefault="004A20F4">
                  <w:r>
                    <w:t>7.</w:t>
                  </w:r>
                </w:p>
              </w:tc>
              <w:tc>
                <w:tcPr>
                  <w:tcW w:w="558" w:type="dxa"/>
                  <w:shd w:val="clear" w:color="auto" w:fill="auto"/>
                </w:tcPr>
                <w:p w14:paraId="0CE10EA9" w14:textId="77777777" w:rsidR="00A4284E" w:rsidRDefault="004A20F4">
                  <w:r>
                    <w:t>8.</w:t>
                  </w:r>
                </w:p>
              </w:tc>
              <w:tc>
                <w:tcPr>
                  <w:tcW w:w="256" w:type="dxa"/>
                  <w:shd w:val="clear" w:color="auto" w:fill="auto"/>
                </w:tcPr>
                <w:p w14:paraId="30FC3333" w14:textId="4EA02389" w:rsidR="00A4284E" w:rsidRDefault="00A4284E"/>
              </w:tc>
            </w:tr>
            <w:tr w:rsidR="00A4284E" w14:paraId="0E0950ED" w14:textId="77777777" w:rsidTr="00D9452C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1B13EBE" w14:textId="63F87E2E" w:rsidR="00A4284E" w:rsidRDefault="004A20F4">
                  <w:r>
                    <w:t>1. Pārbaudes darbs</w:t>
                  </w:r>
                  <w:r w:rsidR="00BC0C02">
                    <w:t xml:space="preserve"> I</w:t>
                  </w:r>
                </w:p>
              </w:tc>
              <w:tc>
                <w:tcPr>
                  <w:tcW w:w="610" w:type="dxa"/>
                  <w:shd w:val="clear" w:color="auto" w:fill="auto"/>
                  <w:vAlign w:val="center"/>
                </w:tcPr>
                <w:p w14:paraId="37C0FFAD" w14:textId="444A9706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021D650C" w14:textId="7C909FF6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CBA1EA1" w14:textId="77777777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B35D2D8" w14:textId="535597F4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AE67678" w14:textId="15B34196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265BB6CE" w14:textId="18E7D815" w:rsidR="00A4284E" w:rsidRDefault="002B1345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780D52E" w14:textId="11596723" w:rsidR="00A4284E" w:rsidRDefault="002B1345">
                  <w:r>
                    <w:t>x</w:t>
                  </w: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14:paraId="147EFF1C" w14:textId="5B2E04BD" w:rsidR="00A4284E" w:rsidRDefault="002B1345">
                  <w:r>
                    <w:t>x</w:t>
                  </w:r>
                </w:p>
              </w:tc>
              <w:tc>
                <w:tcPr>
                  <w:tcW w:w="256" w:type="dxa"/>
                  <w:shd w:val="clear" w:color="auto" w:fill="auto"/>
                  <w:vAlign w:val="center"/>
                </w:tcPr>
                <w:p w14:paraId="670D8DE4" w14:textId="77777777" w:rsidR="00A4284E" w:rsidRDefault="00A4284E"/>
              </w:tc>
            </w:tr>
            <w:tr w:rsidR="00A4284E" w14:paraId="5FDEA0C0" w14:textId="77777777" w:rsidTr="00D9452C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672598F" w14:textId="2187BC05" w:rsidR="00A4284E" w:rsidRDefault="00D9452C">
                  <w:r>
                    <w:t>2</w:t>
                  </w:r>
                  <w:r w:rsidR="004A20F4">
                    <w:t xml:space="preserve">. </w:t>
                  </w:r>
                  <w:r w:rsidR="002B1345">
                    <w:t>Radoša e</w:t>
                  </w:r>
                  <w:r w:rsidR="004A20F4">
                    <w:t>seja</w:t>
                  </w:r>
                </w:p>
              </w:tc>
              <w:tc>
                <w:tcPr>
                  <w:tcW w:w="610" w:type="dxa"/>
                  <w:shd w:val="clear" w:color="auto" w:fill="auto"/>
                  <w:vAlign w:val="center"/>
                </w:tcPr>
                <w:p w14:paraId="3BE28509" w14:textId="4F70CAD3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C168C0C" w14:textId="3521ED26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807AA24" w14:textId="7193A53E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916CB45" w14:textId="48371E94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A80E5A3" w14:textId="059CF2B4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DF69AAB" w14:textId="77777777" w:rsidR="00A4284E" w:rsidRDefault="00A4284E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8988703" w14:textId="71179C2F" w:rsidR="00A4284E" w:rsidRDefault="002B1345">
                  <w:r>
                    <w:t>x</w:t>
                  </w: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14:paraId="7E803F59" w14:textId="31CFAB24" w:rsidR="00A4284E" w:rsidRDefault="002B1345">
                  <w:r>
                    <w:t>x</w:t>
                  </w:r>
                </w:p>
              </w:tc>
              <w:tc>
                <w:tcPr>
                  <w:tcW w:w="256" w:type="dxa"/>
                  <w:shd w:val="clear" w:color="auto" w:fill="auto"/>
                  <w:vAlign w:val="center"/>
                </w:tcPr>
                <w:p w14:paraId="190B418E" w14:textId="70801875" w:rsidR="00A4284E" w:rsidRDefault="00A4284E"/>
              </w:tc>
            </w:tr>
            <w:tr w:rsidR="00A4284E" w14:paraId="0D509F94" w14:textId="77777777" w:rsidTr="00D9452C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AC9E07B" w14:textId="54A8A6A3" w:rsidR="00A4284E" w:rsidRDefault="00D9452C">
                  <w:r>
                    <w:t>3</w:t>
                  </w:r>
                  <w:r w:rsidR="004A20F4">
                    <w:t>. Pārbaudes darbs</w:t>
                  </w:r>
                  <w:r w:rsidR="00BC0C02">
                    <w:t xml:space="preserve"> II</w:t>
                  </w:r>
                </w:p>
              </w:tc>
              <w:tc>
                <w:tcPr>
                  <w:tcW w:w="610" w:type="dxa"/>
                  <w:shd w:val="clear" w:color="auto" w:fill="auto"/>
                  <w:vAlign w:val="center"/>
                </w:tcPr>
                <w:p w14:paraId="2DB5BCC1" w14:textId="0F78B93B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0170B83" w14:textId="2566B57F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F215A6E" w14:textId="77777777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D9736DB" w14:textId="704D914A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204400" w14:textId="6ACBC103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09DDA90B" w14:textId="25B8771E" w:rsidR="00A4284E" w:rsidRDefault="002B1345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7AAB3FC" w14:textId="30BE8A73" w:rsidR="00A4284E" w:rsidRDefault="002B1345">
                  <w:r>
                    <w:t>x</w:t>
                  </w: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14:paraId="0AC78BBD" w14:textId="18D21B5F" w:rsidR="00A4284E" w:rsidRDefault="002B1345">
                  <w:r>
                    <w:t>x</w:t>
                  </w:r>
                </w:p>
              </w:tc>
              <w:tc>
                <w:tcPr>
                  <w:tcW w:w="256" w:type="dxa"/>
                  <w:shd w:val="clear" w:color="auto" w:fill="auto"/>
                  <w:vAlign w:val="center"/>
                </w:tcPr>
                <w:p w14:paraId="24488630" w14:textId="77777777" w:rsidR="00A4284E" w:rsidRDefault="00A4284E"/>
              </w:tc>
            </w:tr>
            <w:tr w:rsidR="00A4284E" w14:paraId="1F5FBABC" w14:textId="77777777" w:rsidTr="00D9452C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906B6D2" w14:textId="55456D1F" w:rsidR="00A4284E" w:rsidRDefault="00D9452C">
                  <w:r>
                    <w:t>4</w:t>
                  </w:r>
                  <w:r w:rsidR="004A20F4">
                    <w:t xml:space="preserve">. </w:t>
                  </w:r>
                  <w:r w:rsidR="002B1345">
                    <w:t>Pārspriedums</w:t>
                  </w:r>
                </w:p>
              </w:tc>
              <w:tc>
                <w:tcPr>
                  <w:tcW w:w="610" w:type="dxa"/>
                  <w:shd w:val="clear" w:color="auto" w:fill="auto"/>
                  <w:vAlign w:val="center"/>
                </w:tcPr>
                <w:p w14:paraId="41A0901F" w14:textId="7A47B27A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47C5DC70" w14:textId="2B96E99C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CA6931A" w14:textId="578CBFBD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65FAD3" w14:textId="4DA4AD18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C545B32" w14:textId="41916017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4B3B98C1" w14:textId="01201B31" w:rsidR="00A4284E" w:rsidRDefault="002B1345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8600D3D" w14:textId="47BFC931" w:rsidR="00A4284E" w:rsidRDefault="002B1345">
                  <w:r>
                    <w:t>x</w:t>
                  </w:r>
                </w:p>
              </w:tc>
              <w:tc>
                <w:tcPr>
                  <w:tcW w:w="558" w:type="dxa"/>
                  <w:shd w:val="clear" w:color="auto" w:fill="auto"/>
                  <w:vAlign w:val="center"/>
                </w:tcPr>
                <w:p w14:paraId="27E8B0EF" w14:textId="239644F4" w:rsidR="00A4284E" w:rsidRDefault="002B1345">
                  <w:r>
                    <w:t>x</w:t>
                  </w:r>
                </w:p>
              </w:tc>
              <w:tc>
                <w:tcPr>
                  <w:tcW w:w="256" w:type="dxa"/>
                  <w:shd w:val="clear" w:color="auto" w:fill="auto"/>
                  <w:vAlign w:val="center"/>
                </w:tcPr>
                <w:p w14:paraId="24D87726" w14:textId="7D372A99" w:rsidR="00A4284E" w:rsidRDefault="00A4284E"/>
              </w:tc>
            </w:tr>
          </w:tbl>
          <w:p w14:paraId="368B6E2D" w14:textId="77777777" w:rsidR="00A4284E" w:rsidRDefault="00A4284E"/>
          <w:p w14:paraId="1E0E90D0" w14:textId="77777777" w:rsidR="00A4284E" w:rsidRDefault="00A4284E"/>
        </w:tc>
      </w:tr>
      <w:tr w:rsidR="00A4284E" w14:paraId="308A79A3" w14:textId="77777777">
        <w:tc>
          <w:tcPr>
            <w:tcW w:w="9577" w:type="dxa"/>
            <w:gridSpan w:val="2"/>
          </w:tcPr>
          <w:p w14:paraId="47AC1AB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A4284E" w14:paraId="7669E84D" w14:textId="77777777">
        <w:tc>
          <w:tcPr>
            <w:tcW w:w="9577" w:type="dxa"/>
            <w:gridSpan w:val="2"/>
          </w:tcPr>
          <w:p w14:paraId="5E8BF3D4" w14:textId="10D49A07" w:rsidR="00A4284E" w:rsidRDefault="00D9452C">
            <w:r>
              <w:t>1</w:t>
            </w:r>
            <w:r w:rsidR="004A20F4">
              <w:t>. Prozas teksta interpretācija. P</w:t>
            </w:r>
            <w:r>
              <w:t xml:space="preserve"> </w:t>
            </w:r>
            <w:r w:rsidR="004A20F4">
              <w:t>20</w:t>
            </w:r>
          </w:p>
          <w:p w14:paraId="3A15F404" w14:textId="0B0BC86D" w:rsidR="00A4284E" w:rsidRDefault="00D9452C">
            <w:r>
              <w:t>1</w:t>
            </w:r>
            <w:r w:rsidR="004A20F4">
              <w:t>.1. Reālistiska apraksta specifika Č. Dikensa prozā (“Ziemassvētku stāsts”, “</w:t>
            </w:r>
            <w:proofErr w:type="spellStart"/>
            <w:r w:rsidR="004A20F4">
              <w:t>Dombijs</w:t>
            </w:r>
            <w:proofErr w:type="spellEnd"/>
            <w:r w:rsidR="004A20F4">
              <w:t xml:space="preserve"> un dēls”, “Saltais nams”). Leksikas apguve, praktisku darbu izpilde grupās un individuāli.</w:t>
            </w:r>
          </w:p>
          <w:p w14:paraId="773F1BC9" w14:textId="594D496C" w:rsidR="00A4284E" w:rsidRDefault="00D9452C">
            <w:r>
              <w:t>1</w:t>
            </w:r>
            <w:r w:rsidR="004A20F4">
              <w:t>.2. Izteiksmes blīvums un tēlainās valodas īpatnības modernisma vēstījumā (</w:t>
            </w:r>
            <w:proofErr w:type="spellStart"/>
            <w:r w:rsidR="004A20F4">
              <w:t>Dž</w:t>
            </w:r>
            <w:proofErr w:type="spellEnd"/>
            <w:r w:rsidR="004A20F4">
              <w:t>. Steinbeks “Pērle”, R. Bredberijs “Fārenheits 451”). Leksikas apguve, praktisku uzdevumu izpilde grupās un individuāli.</w:t>
            </w:r>
          </w:p>
          <w:p w14:paraId="4B19E228" w14:textId="66714CFD" w:rsidR="00A4284E" w:rsidRDefault="00D9452C">
            <w:r>
              <w:t>2</w:t>
            </w:r>
            <w:r w:rsidR="004A20F4">
              <w:t>. Dzejas teksta interpretācija. P12</w:t>
            </w:r>
          </w:p>
          <w:p w14:paraId="3B06075A" w14:textId="4F57C681" w:rsidR="00A4284E" w:rsidRDefault="00D9452C">
            <w:r>
              <w:t>2</w:t>
            </w:r>
            <w:r w:rsidR="004A20F4">
              <w:t>.1. Dzejas formas pamatelementi: metrs, vārsmojums, tropi, tēlainība, raksturīgākās tēmas romantisma un modernisma dzejā.</w:t>
            </w:r>
          </w:p>
          <w:p w14:paraId="7154D3F8" w14:textId="12545994" w:rsidR="00A4284E" w:rsidRDefault="00D9452C">
            <w:r>
              <w:t>2</w:t>
            </w:r>
            <w:r w:rsidR="004A20F4">
              <w:t>.2. P. B. Šellija</w:t>
            </w:r>
            <w:r w:rsidR="00A54982">
              <w:t>,</w:t>
            </w:r>
            <w:r w:rsidR="004A20F4">
              <w:t xml:space="preserve"> </w:t>
            </w:r>
            <w:r w:rsidR="00A54982">
              <w:t xml:space="preserve">E. Dikinsones, </w:t>
            </w:r>
            <w:r w:rsidR="004A20F4">
              <w:t>T. S. Eliota</w:t>
            </w:r>
            <w:r w:rsidR="00A54982">
              <w:t xml:space="preserve">, R. </w:t>
            </w:r>
            <w:proofErr w:type="spellStart"/>
            <w:r w:rsidR="00A54982">
              <w:t>Frosta</w:t>
            </w:r>
            <w:proofErr w:type="spellEnd"/>
            <w:r w:rsidR="00A54982">
              <w:t xml:space="preserve"> un V. K. Viljamsa</w:t>
            </w:r>
            <w:r w:rsidR="004A20F4">
              <w:t xml:space="preserve"> dzejoļu analīze. Leksikas apguve, praktisku uzdevumu izpilde grupās un diskusija. </w:t>
            </w:r>
          </w:p>
          <w:p w14:paraId="5E54CDD9" w14:textId="77777777" w:rsidR="00A4284E" w:rsidRDefault="00A4284E"/>
        </w:tc>
      </w:tr>
      <w:tr w:rsidR="00A4284E" w14:paraId="598CB2A6" w14:textId="77777777">
        <w:tc>
          <w:tcPr>
            <w:tcW w:w="9577" w:type="dxa"/>
            <w:gridSpan w:val="2"/>
          </w:tcPr>
          <w:p w14:paraId="5801D672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Obligāti izmantojamie informācijas avoti</w:t>
            </w:r>
          </w:p>
        </w:tc>
      </w:tr>
      <w:tr w:rsidR="00A4284E" w14:paraId="666C33BF" w14:textId="77777777">
        <w:tc>
          <w:tcPr>
            <w:tcW w:w="9577" w:type="dxa"/>
            <w:gridSpan w:val="2"/>
          </w:tcPr>
          <w:p w14:paraId="05AE5EFA" w14:textId="25511F4D" w:rsidR="00A4284E" w:rsidRDefault="004A20F4">
            <w:proofErr w:type="spellStart"/>
            <w:r>
              <w:t>Leech</w:t>
            </w:r>
            <w:proofErr w:type="spellEnd"/>
            <w:r>
              <w:t xml:space="preserve"> G., </w:t>
            </w:r>
            <w:proofErr w:type="spellStart"/>
            <w:r>
              <w:t>Short</w:t>
            </w:r>
            <w:proofErr w:type="spellEnd"/>
            <w:r>
              <w:t xml:space="preserve"> M. </w:t>
            </w:r>
            <w:proofErr w:type="spellStart"/>
            <w:r>
              <w:t>Style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Fiction</w:t>
            </w:r>
            <w:proofErr w:type="spellEnd"/>
            <w:r>
              <w:t xml:space="preserve">. A </w:t>
            </w:r>
            <w:proofErr w:type="spellStart"/>
            <w:r>
              <w:t>Linguistic</w:t>
            </w:r>
            <w:proofErr w:type="spellEnd"/>
            <w:r>
              <w:t xml:space="preserve"> </w:t>
            </w:r>
            <w:proofErr w:type="spellStart"/>
            <w:r>
              <w:t>Introduction</w:t>
            </w:r>
            <w:proofErr w:type="spellEnd"/>
            <w:r>
              <w:t xml:space="preserve"> to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Fictional</w:t>
            </w:r>
            <w:proofErr w:type="spellEnd"/>
            <w:r>
              <w:t xml:space="preserve"> </w:t>
            </w:r>
            <w:proofErr w:type="spellStart"/>
            <w:r>
              <w:t>Prose</w:t>
            </w:r>
            <w:proofErr w:type="spellEnd"/>
            <w:r>
              <w:t xml:space="preserve">. </w:t>
            </w:r>
            <w:proofErr w:type="spellStart"/>
            <w:r>
              <w:t>Longman</w:t>
            </w:r>
            <w:proofErr w:type="spellEnd"/>
            <w:r>
              <w:t xml:space="preserve">, 2007. </w:t>
            </w:r>
            <w:proofErr w:type="spellStart"/>
            <w:r>
              <w:t>pp</w:t>
            </w:r>
            <w:proofErr w:type="spellEnd"/>
            <w:r>
              <w:t>. 121-149.</w:t>
            </w:r>
          </w:p>
          <w:p w14:paraId="0D7E5A0A" w14:textId="77777777" w:rsidR="00A4284E" w:rsidRDefault="004A20F4">
            <w:proofErr w:type="spellStart"/>
            <w:r>
              <w:t>Maršavs</w:t>
            </w:r>
            <w:proofErr w:type="spellEnd"/>
            <w:r>
              <w:t xml:space="preserve"> H.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Senior Students. </w:t>
            </w:r>
            <w:proofErr w:type="spellStart"/>
            <w:r>
              <w:t>Part</w:t>
            </w:r>
            <w:proofErr w:type="spellEnd"/>
            <w:r>
              <w:t xml:space="preserve"> III (a). Daugavpils: Saule, 1999. </w:t>
            </w:r>
            <w:proofErr w:type="spellStart"/>
            <w:r>
              <w:t>pp</w:t>
            </w:r>
            <w:proofErr w:type="spellEnd"/>
            <w:r>
              <w:t>. 70-107.</w:t>
            </w:r>
          </w:p>
          <w:p w14:paraId="4350F478" w14:textId="595F5F1E" w:rsidR="00A4284E" w:rsidRDefault="004A20F4">
            <w:proofErr w:type="spellStart"/>
            <w:r>
              <w:t>Maršavs</w:t>
            </w:r>
            <w:proofErr w:type="spellEnd"/>
            <w:r>
              <w:t xml:space="preserve"> H.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Senior Students. </w:t>
            </w:r>
            <w:proofErr w:type="spellStart"/>
            <w:r>
              <w:t>Part</w:t>
            </w:r>
            <w:proofErr w:type="spellEnd"/>
            <w:r>
              <w:t xml:space="preserve"> III (b). Daugavpils: Saule, 1999. </w:t>
            </w:r>
            <w:proofErr w:type="spellStart"/>
            <w:r>
              <w:t>pp</w:t>
            </w:r>
            <w:proofErr w:type="spellEnd"/>
            <w:r>
              <w:t>. 170-199.</w:t>
            </w:r>
          </w:p>
          <w:p w14:paraId="3AD0F7FC" w14:textId="3B3C5C17" w:rsidR="009B4C0D" w:rsidRDefault="009B4C0D" w:rsidP="009B4C0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Mass Media Studies. Resource Material. CODE-835. Class XI. Session 2018-19.</w:t>
            </w:r>
          </w:p>
          <w:p w14:paraId="13BF7A56" w14:textId="15A5A8C3" w:rsidR="00A4284E" w:rsidRDefault="004A20F4">
            <w:proofErr w:type="spellStart"/>
            <w:r>
              <w:t>Montgomery</w:t>
            </w:r>
            <w:proofErr w:type="spellEnd"/>
            <w:r>
              <w:t xml:space="preserve"> M.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al</w:t>
            </w:r>
            <w:proofErr w:type="spellEnd"/>
            <w:r>
              <w:t xml:space="preserve">. </w:t>
            </w:r>
            <w:proofErr w:type="spellStart"/>
            <w:r>
              <w:t>Ways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.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Students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. </w:t>
            </w:r>
            <w:proofErr w:type="spellStart"/>
            <w:r>
              <w:t>Routledge</w:t>
            </w:r>
            <w:proofErr w:type="spellEnd"/>
            <w:r>
              <w:t xml:space="preserve">, 2012. </w:t>
            </w:r>
            <w:proofErr w:type="spellStart"/>
            <w:r w:rsidR="00C3702D">
              <w:t>pp</w:t>
            </w:r>
            <w:proofErr w:type="spellEnd"/>
            <w:r w:rsidR="00C3702D">
              <w:t xml:space="preserve">. </w:t>
            </w:r>
            <w:r w:rsidR="00FA0B3B">
              <w:t>20-54; 117-194; 295-340.</w:t>
            </w:r>
          </w:p>
          <w:p w14:paraId="0F48027B" w14:textId="53381DC7" w:rsidR="009B4C0D" w:rsidRDefault="009B4C0D" w:rsidP="009B4C0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hd w:val="clear" w:color="auto" w:fill="FFFFFF"/>
              </w:rPr>
              <w:t>Rettberg S. Electronic Literature. Cambridge: Polity, 2019.</w:t>
            </w:r>
          </w:p>
          <w:p w14:paraId="41DA1534" w14:textId="37F69917" w:rsidR="00A4284E" w:rsidRPr="00D9452C" w:rsidRDefault="004A20F4" w:rsidP="00D9452C">
            <w:proofErr w:type="spellStart"/>
            <w:r>
              <w:t>Treilona</w:t>
            </w:r>
            <w:proofErr w:type="spellEnd"/>
            <w:r>
              <w:t xml:space="preserve"> M., </w:t>
            </w:r>
            <w:proofErr w:type="spellStart"/>
            <w:r>
              <w:t>Dorošenko</w:t>
            </w:r>
            <w:proofErr w:type="spellEnd"/>
            <w:r>
              <w:t xml:space="preserve"> J., </w:t>
            </w:r>
            <w:proofErr w:type="spellStart"/>
            <w:r>
              <w:t>Karpinska</w:t>
            </w:r>
            <w:proofErr w:type="spellEnd"/>
            <w:r>
              <w:t xml:space="preserve"> L.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. Rīga: Zvaigzne ABC, 2014. </w:t>
            </w:r>
          </w:p>
        </w:tc>
      </w:tr>
      <w:tr w:rsidR="00A4284E" w14:paraId="7BD415F0" w14:textId="77777777">
        <w:tc>
          <w:tcPr>
            <w:tcW w:w="9577" w:type="dxa"/>
            <w:gridSpan w:val="2"/>
          </w:tcPr>
          <w:p w14:paraId="600A07A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A4284E" w14:paraId="33091D95" w14:textId="77777777">
        <w:tc>
          <w:tcPr>
            <w:tcW w:w="9577" w:type="dxa"/>
            <w:gridSpan w:val="2"/>
          </w:tcPr>
          <w:p w14:paraId="4490D5EE" w14:textId="1CCF5C19" w:rsidR="00942BAD" w:rsidRDefault="00942BAD"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Learner’s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</w:p>
          <w:p w14:paraId="125A7F97" w14:textId="3E22929B" w:rsidR="00A4284E" w:rsidRDefault="004A20F4">
            <w:proofErr w:type="spellStart"/>
            <w:r w:rsidRPr="009B4C0D">
              <w:t>Garrett</w:t>
            </w:r>
            <w:proofErr w:type="spellEnd"/>
            <w:r w:rsidRPr="009B4C0D">
              <w:t xml:space="preserve"> M., (</w:t>
            </w:r>
            <w:proofErr w:type="spellStart"/>
            <w:r w:rsidRPr="009B4C0D">
              <w:t>ed</w:t>
            </w:r>
            <w:proofErr w:type="spellEnd"/>
            <w:r w:rsidRPr="009B4C0D">
              <w:t xml:space="preserve">.). </w:t>
            </w:r>
            <w:proofErr w:type="spellStart"/>
            <w:r w:rsidRPr="009B4C0D">
              <w:t>The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Companion</w:t>
            </w:r>
            <w:proofErr w:type="spellEnd"/>
            <w:r w:rsidRPr="009B4C0D">
              <w:t xml:space="preserve"> to </w:t>
            </w:r>
            <w:proofErr w:type="spellStart"/>
            <w:r w:rsidRPr="009B4C0D">
              <w:t>Narrative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Theory</w:t>
            </w:r>
            <w:proofErr w:type="spellEnd"/>
            <w:r w:rsidRPr="009B4C0D">
              <w:t xml:space="preserve">. 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: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University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Press</w:t>
            </w:r>
            <w:proofErr w:type="spellEnd"/>
            <w:r w:rsidRPr="009B4C0D">
              <w:t xml:space="preserve">, 2018. </w:t>
            </w:r>
            <w:proofErr w:type="spellStart"/>
            <w:r w:rsidRPr="009B4C0D">
              <w:t>pp</w:t>
            </w:r>
            <w:proofErr w:type="spellEnd"/>
            <w:r w:rsidRPr="009B4C0D">
              <w:t>. 183-200; 231-247.</w:t>
            </w:r>
          </w:p>
          <w:p w14:paraId="662B0373" w14:textId="3DFC9A0F" w:rsidR="00A4284E" w:rsidRDefault="004A20F4"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</w:t>
            </w:r>
            <w:r w:rsidR="00942BAD">
              <w:t>’</w:t>
            </w:r>
            <w:r>
              <w:t>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</w:p>
          <w:p w14:paraId="34DD90CF" w14:textId="0A5BCD91" w:rsidR="0084600B" w:rsidRDefault="001723D2">
            <w:hyperlink r:id="rId7" w:history="1">
              <w:r w:rsidR="0084600B" w:rsidRPr="003F3ECA">
                <w:rPr>
                  <w:rStyle w:val="Hyperlink"/>
                </w:rPr>
                <w:t>https://www.poetryfoundation.org</w:t>
              </w:r>
            </w:hyperlink>
          </w:p>
        </w:tc>
      </w:tr>
      <w:tr w:rsidR="00A4284E" w14:paraId="1C247D34" w14:textId="77777777">
        <w:tc>
          <w:tcPr>
            <w:tcW w:w="9577" w:type="dxa"/>
            <w:gridSpan w:val="2"/>
          </w:tcPr>
          <w:p w14:paraId="7FC0A26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A4284E" w14:paraId="4A9CB6E3" w14:textId="77777777">
        <w:tc>
          <w:tcPr>
            <w:tcW w:w="9577" w:type="dxa"/>
            <w:gridSpan w:val="2"/>
          </w:tcPr>
          <w:p w14:paraId="4489BAA0" w14:textId="5CA9201D" w:rsidR="002D02B9" w:rsidRDefault="001723D2" w:rsidP="002D02B9">
            <w:hyperlink r:id="rId8" w:history="1">
              <w:r w:rsidR="002D02B9" w:rsidRPr="003F3ECA">
                <w:rPr>
                  <w:rStyle w:val="Hyperlink"/>
                </w:rPr>
                <w:t>https://essenglish.org/messenger/</w:t>
              </w:r>
            </w:hyperlink>
          </w:p>
          <w:p w14:paraId="65D2D86A" w14:textId="77777777" w:rsidR="00A4284E" w:rsidRDefault="004A20F4" w:rsidP="002D02B9"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Art </w:t>
            </w:r>
            <w:proofErr w:type="spellStart"/>
            <w:r>
              <w:t>Studies</w:t>
            </w:r>
            <w:proofErr w:type="spellEnd"/>
          </w:p>
          <w:p w14:paraId="3EE3F78D" w14:textId="45CE0C30" w:rsidR="005F4E56" w:rsidRDefault="005F4E56" w:rsidP="002D02B9">
            <w:r>
              <w:t xml:space="preserve">docētāju izstrādātie materiāli </w:t>
            </w:r>
            <w:proofErr w:type="spellStart"/>
            <w:r>
              <w:t>Moodle</w:t>
            </w:r>
            <w:proofErr w:type="spellEnd"/>
            <w:r>
              <w:t xml:space="preserve"> vidē</w:t>
            </w:r>
          </w:p>
        </w:tc>
      </w:tr>
      <w:tr w:rsidR="00A4284E" w14:paraId="003FDC3D" w14:textId="77777777">
        <w:tc>
          <w:tcPr>
            <w:tcW w:w="9577" w:type="dxa"/>
            <w:gridSpan w:val="2"/>
          </w:tcPr>
          <w:p w14:paraId="7920F40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A4284E" w14:paraId="2A6EA2D3" w14:textId="77777777">
        <w:tc>
          <w:tcPr>
            <w:tcW w:w="9577" w:type="dxa"/>
            <w:gridSpan w:val="2"/>
          </w:tcPr>
          <w:p w14:paraId="2CF0BC25" w14:textId="1D77E739" w:rsidR="00A4284E" w:rsidRDefault="004A20F4">
            <w:r>
              <w:t xml:space="preserve"> </w:t>
            </w:r>
            <w:r w:rsidR="00942BAD">
              <w:t>Kurss tiek docēts un apgūts angļu valodā.</w:t>
            </w:r>
          </w:p>
        </w:tc>
      </w:tr>
    </w:tbl>
    <w:p w14:paraId="7169302C" w14:textId="77777777" w:rsidR="00A4284E" w:rsidRDefault="00A4284E" w:rsidP="00D9452C"/>
    <w:sectPr w:rsidR="00A4284E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39C05" w14:textId="77777777" w:rsidR="001723D2" w:rsidRDefault="001723D2">
      <w:r>
        <w:separator/>
      </w:r>
    </w:p>
  </w:endnote>
  <w:endnote w:type="continuationSeparator" w:id="0">
    <w:p w14:paraId="710BAC35" w14:textId="77777777" w:rsidR="001723D2" w:rsidRDefault="0017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EA41" w14:textId="77777777" w:rsidR="00A4284E" w:rsidRDefault="004A20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3702D">
      <w:rPr>
        <w:noProof/>
        <w:color w:val="000000"/>
      </w:rPr>
      <w:t>1</w:t>
    </w:r>
    <w:r>
      <w:rPr>
        <w:color w:val="000000"/>
      </w:rPr>
      <w:fldChar w:fldCharType="end"/>
    </w:r>
  </w:p>
  <w:p w14:paraId="222C878C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7FD6D" w14:textId="77777777" w:rsidR="001723D2" w:rsidRDefault="001723D2">
      <w:r>
        <w:separator/>
      </w:r>
    </w:p>
  </w:footnote>
  <w:footnote w:type="continuationSeparator" w:id="0">
    <w:p w14:paraId="6B82E59C" w14:textId="77777777" w:rsidR="001723D2" w:rsidRDefault="00172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95A9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10262AA1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233E240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84E"/>
    <w:rsid w:val="00161A85"/>
    <w:rsid w:val="001723D2"/>
    <w:rsid w:val="00187F10"/>
    <w:rsid w:val="001F23B8"/>
    <w:rsid w:val="00253790"/>
    <w:rsid w:val="002941A2"/>
    <w:rsid w:val="002B1345"/>
    <w:rsid w:val="002D02B9"/>
    <w:rsid w:val="00353947"/>
    <w:rsid w:val="00417392"/>
    <w:rsid w:val="004306CF"/>
    <w:rsid w:val="004A20F4"/>
    <w:rsid w:val="0050497F"/>
    <w:rsid w:val="005849CF"/>
    <w:rsid w:val="005B02FD"/>
    <w:rsid w:val="005C434E"/>
    <w:rsid w:val="005F4E56"/>
    <w:rsid w:val="00665C44"/>
    <w:rsid w:val="00764613"/>
    <w:rsid w:val="007706E4"/>
    <w:rsid w:val="0084600B"/>
    <w:rsid w:val="00850F05"/>
    <w:rsid w:val="00942BAD"/>
    <w:rsid w:val="00957A12"/>
    <w:rsid w:val="009B4C0D"/>
    <w:rsid w:val="009D2BFC"/>
    <w:rsid w:val="00A1126B"/>
    <w:rsid w:val="00A11AFD"/>
    <w:rsid w:val="00A4284E"/>
    <w:rsid w:val="00A54982"/>
    <w:rsid w:val="00B05CDA"/>
    <w:rsid w:val="00B42FD2"/>
    <w:rsid w:val="00B8730B"/>
    <w:rsid w:val="00BB59F3"/>
    <w:rsid w:val="00BB774B"/>
    <w:rsid w:val="00BC0C02"/>
    <w:rsid w:val="00C3702D"/>
    <w:rsid w:val="00C53952"/>
    <w:rsid w:val="00D256FC"/>
    <w:rsid w:val="00D92BB0"/>
    <w:rsid w:val="00D9452C"/>
    <w:rsid w:val="00EA6F26"/>
    <w:rsid w:val="00EF2B60"/>
    <w:rsid w:val="00F04048"/>
    <w:rsid w:val="00F20581"/>
    <w:rsid w:val="00FA0B3B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D23137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306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06C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53790"/>
    <w:pPr>
      <w:autoSpaceDE/>
      <w:autoSpaceDN/>
      <w:adjustRightInd/>
      <w:spacing w:before="100" w:beforeAutospacing="1" w:after="100" w:afterAutospacing="1"/>
    </w:pPr>
    <w:rPr>
      <w:bCs w:val="0"/>
      <w:iCs w:val="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4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senglish.org/messenge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etryfoundation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4459</Words>
  <Characters>2543</Characters>
  <Application>Microsoft Office Word</Application>
  <DocSecurity>0</DocSecurity>
  <Lines>21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2</cp:revision>
  <dcterms:created xsi:type="dcterms:W3CDTF">2022-05-31T18:40:00Z</dcterms:created>
  <dcterms:modified xsi:type="dcterms:W3CDTF">2022-05-31T18:40:00Z</dcterms:modified>
</cp:coreProperties>
</file>