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51"/>
        <w:gridCol w:w="4926"/>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605156A" w:rsidR="001E37E7" w:rsidRPr="0093308E" w:rsidRDefault="00F0301B" w:rsidP="007534EA">
            <w:pPr>
              <w:rPr>
                <w:lang w:eastAsia="lv-LV"/>
              </w:rPr>
            </w:pPr>
            <w:permStart w:id="1807229392" w:edGrp="everyone"/>
            <w:r>
              <w:t>Angļu valodas</w:t>
            </w:r>
            <w:r w:rsidR="00956B66">
              <w:t xml:space="preserve"> apguves</w:t>
            </w:r>
            <w:r>
              <w:t xml:space="preserve"> lingvistiskie aspekti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1C9C7CBC" w:rsidR="001E37E7" w:rsidRPr="0093308E" w:rsidRDefault="001E37E7" w:rsidP="007534EA">
            <w:pPr>
              <w:rPr>
                <w:lang w:eastAsia="lv-LV"/>
              </w:rPr>
            </w:pPr>
            <w:permStart w:id="1078017356" w:edGrp="everyone"/>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showingPlcHd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08125D2F" w:rsidR="001E37E7" w:rsidRPr="0093308E" w:rsidRDefault="00F0301B" w:rsidP="007534EA">
                <w:pPr>
                  <w:rPr>
                    <w:b/>
                  </w:rPr>
                </w:pPr>
                <w:r w:rsidRPr="00F0301B">
                  <w:rPr>
                    <w:rStyle w:val="PlaceholderText"/>
                  </w:rPr>
                  <w:t>Choose an item.</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6C9A3A20" w:rsidR="001E37E7" w:rsidRPr="0093308E" w:rsidRDefault="00F0301B"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84532A9" w:rsidR="001E37E7" w:rsidRPr="0093308E" w:rsidRDefault="00F0301B"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8B4FEEE" w:rsidR="001E37E7" w:rsidRPr="0093308E" w:rsidRDefault="00F0301B" w:rsidP="007534EA">
            <w:permStart w:id="1948729904" w:edGrp="everyone"/>
            <w:r>
              <w:t>6</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23F5D86" w:rsidR="00391B74" w:rsidRPr="0093308E" w:rsidRDefault="00F0301B"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61FEB28F" w:rsidR="00391B74" w:rsidRPr="0093308E" w:rsidRDefault="00F0301B"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167D860" w:rsidR="00632863" w:rsidRPr="0093308E" w:rsidRDefault="00F0301B" w:rsidP="007534EA">
            <w:permStart w:id="1082486305" w:edGrp="everyone"/>
            <w:r>
              <w:t>22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441A218F" w:rsidR="00632863" w:rsidRPr="0093308E" w:rsidRDefault="00F0301B" w:rsidP="007534EA">
            <w:permStart w:id="2013095198" w:edGrp="everyone"/>
            <w:r>
              <w:t>18</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6EF2CC16" w:rsidR="00632863" w:rsidRPr="0093308E" w:rsidRDefault="00F0301B" w:rsidP="007534EA">
            <w:permStart w:id="1655965574" w:edGrp="everyone"/>
            <w:r>
              <w:t>0</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5DBE29B" w:rsidR="00A8127C" w:rsidRPr="0093308E" w:rsidRDefault="00F0301B"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4A2DC3F" w:rsidR="00BB3CCC" w:rsidRPr="0093308E" w:rsidRDefault="00BE0454" w:rsidP="007534EA">
                <w:r>
                  <w:t>Mg. philol.</w:t>
                </w:r>
                <w:r w:rsidR="003266A0">
                  <w:t>, lektore</w:t>
                </w:r>
                <w:r>
                  <w:t xml:space="preserve"> Solveiga Liepa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8CE71A3" w:rsidR="00FD6E2F" w:rsidRPr="007534EA" w:rsidRDefault="00F5701E" w:rsidP="007534EA">
            <w:sdt>
              <w:sdtPr>
                <w:rPr>
                  <w:lang w:val="ru-RU"/>
                </w:rPr>
                <w:id w:val="-722602371"/>
                <w:placeholder>
                  <w:docPart w:val="D74E6AE9D3CB4486ABAB5379CB4274E8"/>
                </w:placeholder>
              </w:sdtPr>
              <w:sdtEndPr/>
              <w:sdtContent>
                <w:r w:rsidR="00EB14D8">
                  <w:t xml:space="preserve">Mg. </w:t>
                </w:r>
                <w:r w:rsidR="003266A0">
                  <w:t>p</w:t>
                </w:r>
                <w:r w:rsidR="00EB14D8">
                  <w:t>hilol.</w:t>
                </w:r>
                <w:r w:rsidR="003266A0">
                  <w:t xml:space="preserve">, lektore </w:t>
                </w:r>
                <w:r w:rsidR="00EB14D8">
                  <w:t xml:space="preserve">Solveiga Liepa; Dr. philol., </w:t>
                </w:r>
                <w:r w:rsidR="003266A0">
                  <w:t>pētniece</w:t>
                </w:r>
                <w:r w:rsidR="00EB14D8">
                  <w:t xml:space="preserve"> Evita Badina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D8C1765" w:rsidR="00BB3CCC" w:rsidRPr="0093308E" w:rsidRDefault="00EB14D8"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3DA3320A" w:rsidR="008B7213" w:rsidRPr="008B7213" w:rsidRDefault="008B7213" w:rsidP="008B7213">
            <w:pPr>
              <w:rPr>
                <w:lang w:eastAsia="ru-RU"/>
              </w:rPr>
            </w:pPr>
            <w:permStart w:id="2100326173" w:edGrp="everyone"/>
            <w:r w:rsidRPr="008B7213">
              <w:t xml:space="preserve">Studiju kursa mērķis </w:t>
            </w:r>
            <w:r w:rsidR="000E0EF8">
              <w:t xml:space="preserve">ir veidot studējošo izpratni par </w:t>
            </w:r>
            <w:r w:rsidR="003E27B3">
              <w:t>angļu valodas apguves procesiem, mācību saturu, pieejām un metodēm, kā arī veidot un pilnveidot kompetenci skolēncentrētas mācību vides nodrošināšanai.</w:t>
            </w:r>
            <w:r w:rsidRPr="008B7213">
              <w:t xml:space="preserve">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392DC9B0" w:rsidR="008B7213" w:rsidRPr="008B7213" w:rsidRDefault="008B7213" w:rsidP="008B7213">
            <w:pPr>
              <w:rPr>
                <w:lang w:eastAsia="ru-RU"/>
              </w:rPr>
            </w:pPr>
            <w:r w:rsidRPr="008B7213">
              <w:rPr>
                <w:lang w:eastAsia="ru-RU"/>
              </w:rPr>
              <w:t xml:space="preserve">- </w:t>
            </w:r>
            <w:r w:rsidR="003E27B3" w:rsidRPr="003E27B3">
              <w:t>iepazīstināt studējošos ar efektīvām angļu valodas mācīšanas metodēm un apguves stratēģijām un paņēmieniem;</w:t>
            </w:r>
          </w:p>
          <w:p w14:paraId="74E5886F" w14:textId="6BB538E9" w:rsidR="008B7213" w:rsidRDefault="008B7213" w:rsidP="008B7213">
            <w:r w:rsidRPr="008B7213">
              <w:rPr>
                <w:lang w:eastAsia="ru-RU"/>
              </w:rPr>
              <w:t xml:space="preserve">- </w:t>
            </w:r>
            <w:r w:rsidR="003E27B3" w:rsidRPr="003E27B3">
              <w:t>veidot studējošo metodisko kompetenci, tostarp atbilstošu mācību metožu un principu piemērošanu, atkarībā no mērķiem, uzdevumiem un kompetenču līmeņa;</w:t>
            </w:r>
          </w:p>
          <w:p w14:paraId="22554027" w14:textId="78760D66" w:rsidR="003E27B3" w:rsidRDefault="003E27B3" w:rsidP="008B7213">
            <w:r>
              <w:t xml:space="preserve">- </w:t>
            </w:r>
            <w:r w:rsidRPr="003E27B3">
              <w:t>attīstīt spēju efektīvi plānot un īstenot metodisko darbu angļu valodas mācīšanā;</w:t>
            </w:r>
          </w:p>
          <w:p w14:paraId="63ECED46" w14:textId="6C43F4A3" w:rsidR="003E27B3" w:rsidRPr="008B7213" w:rsidRDefault="003E27B3" w:rsidP="008B7213">
            <w:pPr>
              <w:rPr>
                <w:lang w:eastAsia="ru-RU"/>
              </w:rPr>
            </w:pPr>
            <w:r>
              <w:t xml:space="preserve">- </w:t>
            </w:r>
            <w:r w:rsidRPr="003E27B3">
              <w:t>aplūkot pieejas visu valodas kompetenču attīstīšanai.</w:t>
            </w:r>
          </w:p>
          <w:p w14:paraId="2A039320" w14:textId="77777777" w:rsidR="000E0EF8" w:rsidRPr="000E0EF8" w:rsidRDefault="000E0EF8" w:rsidP="000E0EF8"/>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F1D9F88" w:rsidR="008B7213" w:rsidRPr="00916D56" w:rsidRDefault="00EE5180" w:rsidP="008B7213">
            <w:permStart w:id="44596525" w:edGrp="everyone"/>
            <w:r>
              <w:t>Studiju kursa struktūra: l</w:t>
            </w:r>
            <w:r w:rsidR="00916D56" w:rsidRPr="00916D56">
              <w:t xml:space="preserve">ekcijas </w:t>
            </w:r>
            <w:r>
              <w:t xml:space="preserve">(L) - 24 akadēmiskās </w:t>
            </w:r>
            <w:r w:rsidR="00916D56">
              <w:t>st.,  semināri</w:t>
            </w:r>
            <w:r>
              <w:t xml:space="preserve"> (S) - 22 akadēmiskās</w:t>
            </w:r>
            <w:r w:rsidR="00916D56">
              <w:t xml:space="preserve"> </w:t>
            </w:r>
            <w:r w:rsidR="008B7213" w:rsidRPr="00916D56">
              <w:t>st.,</w:t>
            </w:r>
            <w:r w:rsidR="00243CC0">
              <w:t xml:space="preserve"> praktiskie darbi (P) - 18 akadēmiskās st.,</w:t>
            </w:r>
            <w:r w:rsidR="008B7213" w:rsidRPr="00916D56">
              <w:t xml:space="preserve"> patstāvīgais darbs </w:t>
            </w:r>
            <w:r w:rsidR="00B159DE">
              <w:t xml:space="preserve">(Pd) - </w:t>
            </w:r>
            <w:r w:rsidR="00243CC0">
              <w:t xml:space="preserve">96 akadēmiskās </w:t>
            </w:r>
            <w:r w:rsidR="008B7213" w:rsidRPr="00916D56">
              <w:t>st.</w:t>
            </w:r>
          </w:p>
          <w:p w14:paraId="5133E48D" w14:textId="77777777" w:rsidR="00243CC0" w:rsidRDefault="00243CC0" w:rsidP="008B7213"/>
          <w:p w14:paraId="17E4AC41" w14:textId="0B169C8C" w:rsidR="00243CC0" w:rsidRDefault="00916D56" w:rsidP="008B7213">
            <w:r>
              <w:t>1</w:t>
            </w:r>
            <w:r w:rsidR="00243CC0">
              <w:t xml:space="preserve">. Valodas apguves konteksts. Kultūras, lingvistiskā un izglītības izcelsme. Motivācija angļu valodas apguvei. Mācīšanās un mācīšanas priekšrocības. Angļu valodas </w:t>
            </w:r>
            <w:r w:rsidR="001E528B">
              <w:t>apguves</w:t>
            </w:r>
            <w:r w:rsidR="00243CC0">
              <w:t xml:space="preserve"> un mācīšanas konteksts. Angļu valodas veidi. </w:t>
            </w:r>
            <w:r w:rsidR="00B159DE">
              <w:t>Daudzvalodība</w:t>
            </w:r>
            <w:r w:rsidR="00243CC0">
              <w:t xml:space="preserve"> un pirmās valodas loma. </w:t>
            </w:r>
            <w:r w:rsidR="00B159DE">
              <w:t>L 2, S 2, Pd 6</w:t>
            </w:r>
          </w:p>
          <w:p w14:paraId="11ED4C71" w14:textId="17CE9BDE" w:rsidR="00916D56" w:rsidRDefault="00916D56" w:rsidP="008B7213">
            <w:r>
              <w:t>2.</w:t>
            </w:r>
            <w:r w:rsidR="00FA2EBF">
              <w:t xml:space="preserve"> Valodas analīze un izpratne: angļu valodas apguves pamatjēdzieni un terminoloģija. L 2</w:t>
            </w:r>
          </w:p>
          <w:p w14:paraId="1A4CDDFF" w14:textId="133C6EB5" w:rsidR="00916D56" w:rsidRDefault="00FA2EBF" w:rsidP="007534EA">
            <w:r>
              <w:t>3. Valodas analīze un izpratne: Gramatika. Gramatiskās struktūras: noteikumi un metodika (vārds, teikums, atkāpe un teksts). Vārdu krājums. Vārddarināšana, nozīme un lietojums kontekstā. Fonoloģija. Angļu fonēmu veidošanās un apraksts. Saistītas runas iezīmes. L 6, S 6, Pd 16</w:t>
            </w:r>
          </w:p>
          <w:p w14:paraId="5536F065" w14:textId="12846B0F" w:rsidR="00525213" w:rsidRDefault="00367DDE" w:rsidP="007534EA">
            <w:r>
              <w:lastRenderedPageBreak/>
              <w:t>4. Valodas analīze un izpratne: Līdzību un atšķirību starp valodām praktiskā nozīme. Uzzi</w:t>
            </w:r>
            <w:r w:rsidR="00C22293">
              <w:t>ņ</w:t>
            </w:r>
            <w:r>
              <w:t>u materiāli valodas izpratnei. L 2, S 2, Pd 6</w:t>
            </w:r>
          </w:p>
          <w:p w14:paraId="60F67165" w14:textId="77777777" w:rsidR="00525213" w:rsidRDefault="008C08CE" w:rsidP="007534EA">
            <w:r>
              <w:t xml:space="preserve">5. Valodas analīze un izpratne: </w:t>
            </w:r>
            <w:r w:rsidR="0071552B">
              <w:t>Galvenās stratēģijas un pieejas valodas apguvēja zināšanu attīstīšanai. P 6, Pd 16</w:t>
            </w:r>
          </w:p>
          <w:p w14:paraId="754981C0" w14:textId="4923053E" w:rsidR="00525213" w:rsidRDefault="004F5B70" w:rsidP="007534EA">
            <w:r>
              <w:t>6. Valodas prasmes. Lasīšana. Pamatjēdzieni un terminoloģija. Lasīšanas nolūks</w:t>
            </w:r>
            <w:r w:rsidR="00873B83">
              <w:t>.</w:t>
            </w:r>
            <w:r>
              <w:t xml:space="preserve"> Nozīmes atšifrēšana. Iespējami</w:t>
            </w:r>
            <w:r w:rsidR="00C22293">
              <w:t>e</w:t>
            </w:r>
            <w:r>
              <w:t xml:space="preserve"> ierobežojumi. L 2, S 2, Pd 6</w:t>
            </w:r>
          </w:p>
          <w:p w14:paraId="7924E0BF" w14:textId="5F8CFF7A" w:rsidR="00525213" w:rsidRDefault="00886F2E" w:rsidP="007534EA">
            <w:r>
              <w:t xml:space="preserve">7. </w:t>
            </w:r>
            <w:r w:rsidRPr="00886F2E">
              <w:t xml:space="preserve">Valodas prasmes. </w:t>
            </w:r>
            <w:r>
              <w:t>Klausīšanās</w:t>
            </w:r>
            <w:r w:rsidRPr="00886F2E">
              <w:t xml:space="preserve">. Pamatjēdzieni un terminoloģija. </w:t>
            </w:r>
            <w:r>
              <w:t>Klausīšanās</w:t>
            </w:r>
            <w:r w:rsidRPr="00886F2E">
              <w:t xml:space="preserve"> nolūks</w:t>
            </w:r>
            <w:r w:rsidR="00873B83">
              <w:t>.</w:t>
            </w:r>
            <w:r w:rsidRPr="00886F2E">
              <w:t xml:space="preserve"> </w:t>
            </w:r>
            <w:r>
              <w:t>Klausīšanās tekstu iezīmes</w:t>
            </w:r>
            <w:r w:rsidRPr="00886F2E">
              <w:t>. Iespējami</w:t>
            </w:r>
            <w:r w:rsidR="00C22293">
              <w:t>e</w:t>
            </w:r>
            <w:r w:rsidRPr="00886F2E">
              <w:t xml:space="preserve"> ierobežojumi. L 2, S 2, Pd 6</w:t>
            </w:r>
          </w:p>
          <w:p w14:paraId="7B022CA9" w14:textId="77777777" w:rsidR="00525213" w:rsidRDefault="00873B83" w:rsidP="007534EA">
            <w:r>
              <w:t>8. Valodas prasmes. Runāšana.</w:t>
            </w:r>
            <w:r w:rsidRPr="00886F2E">
              <w:t xml:space="preserve"> </w:t>
            </w:r>
            <w:r w:rsidRPr="00873B83">
              <w:t xml:space="preserve">Pamatjēdzieni un terminoloģija. </w:t>
            </w:r>
            <w:r>
              <w:t>Mutvārdu angļu valodas iezīmes.</w:t>
            </w:r>
            <w:r w:rsidRPr="00873B83">
              <w:t xml:space="preserve"> </w:t>
            </w:r>
            <w:r>
              <w:t>Valodas funkcijas. Paralingvistiskās iezīmes. Fonēmiskās sistēmas. L 2, S 2, Pd 6</w:t>
            </w:r>
          </w:p>
          <w:p w14:paraId="7A25FFEA" w14:textId="3F31D100" w:rsidR="0083651C" w:rsidRDefault="00873B83" w:rsidP="007534EA">
            <w:r>
              <w:t xml:space="preserve">9. </w:t>
            </w:r>
            <w:r w:rsidR="00FB384B">
              <w:t xml:space="preserve">Valodas prasmes. Rakstīšana. Pamatjēdzieni un terminoloģija. Apakšprasmes un rakstīto tesktu iezīmes. </w:t>
            </w:r>
            <w:r w:rsidR="00BD6CFA">
              <w:t>Rakstīš</w:t>
            </w:r>
            <w:r w:rsidR="00C22293">
              <w:t>a</w:t>
            </w:r>
            <w:r w:rsidR="00BD6CFA">
              <w:t>nas prasmes apguves soļi. Rakstītprasme. Angļu valodas pareizrakstība un punktuācija. L 2, S 2, Pd 6</w:t>
            </w:r>
          </w:p>
          <w:p w14:paraId="38C5B39F" w14:textId="5BF34455" w:rsidR="0083651C" w:rsidRDefault="0083651C" w:rsidP="007534EA">
            <w:r>
              <w:t xml:space="preserve">10. </w:t>
            </w:r>
            <w:r w:rsidRPr="0083651C">
              <w:t xml:space="preserve">Galvenās stratēģijas un pieejas valodas apguvēja </w:t>
            </w:r>
            <w:r>
              <w:t>receptīvo un produktīvo prasmju</w:t>
            </w:r>
            <w:r w:rsidRPr="0083651C">
              <w:t xml:space="preserve"> attīstīšanai</w:t>
            </w:r>
            <w:r>
              <w:t>. P 8, Pd 12</w:t>
            </w:r>
          </w:p>
          <w:p w14:paraId="36353CC6" w14:textId="68C32DFC" w:rsidR="00525213" w:rsidRPr="0093308E" w:rsidRDefault="00FD1AE9" w:rsidP="007534EA">
            <w:r>
              <w:t>11. Plānošana un resursi dažādiem mācīšanas kontekstiem. Efektīvas plānošanas principi angļu valodas apguvei. Efektīvas mācību stundas plānošanas principi. Materiālu un resursu atlase, pielāgošana un izvērtēšana plānošanā (ieskaitot datoru un citu tehnoloģiju balstītus resursus). L 4, S 4, P 4, Pd 16</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67319057" w:rsidR="007D4849" w:rsidRPr="00C22293" w:rsidRDefault="00C22293" w:rsidP="007D4849">
                <w:pPr>
                  <w:rPr>
                    <w:lang w:val="en-US"/>
                  </w:rPr>
                </w:pPr>
                <w:r w:rsidRPr="00C22293">
                  <w:t>Studiju kursa apguves rezultātā studējošie:</w:t>
                </w: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D25845D" w14:textId="7B677B85" w:rsidR="007D4849" w:rsidRDefault="00E25D61" w:rsidP="007D4849">
                      <w:r>
                        <w:t>1. d</w:t>
                      </w:r>
                      <w:r w:rsidRPr="001B00F8">
                        <w:t xml:space="preserve">emonstrē pietiekamas zināšanas par </w:t>
                      </w:r>
                      <w:r>
                        <w:t>angļu</w:t>
                      </w:r>
                      <w:r w:rsidRPr="001B00F8">
                        <w:t xml:space="preserve"> valodas apguves metodikas tendencēm, kā arī izprot valodas apguves metodes un paņēmienus,  stratēģijas un tehnoloģijas</w:t>
                      </w:r>
                      <w:r>
                        <w:t>;</w:t>
                      </w:r>
                    </w:p>
                    <w:p w14:paraId="0C0ABCA7" w14:textId="5776EBE4" w:rsidR="00E25D61" w:rsidRPr="007D4849" w:rsidRDefault="00E25D61" w:rsidP="007D4849">
                      <w:r>
                        <w:t>2. s</w:t>
                      </w:r>
                      <w:r w:rsidRPr="00E25D61">
                        <w:t xml:space="preserve">kaidro </w:t>
                      </w:r>
                      <w:r>
                        <w:t>angļu</w:t>
                      </w:r>
                      <w:r w:rsidRPr="00E25D61">
                        <w:t xml:space="preserve"> valodas mācīšanas īpatnības</w:t>
                      </w:r>
                      <w:r>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0005FC32" w14:textId="25B71527" w:rsidR="007D4849" w:rsidRDefault="001B09E9" w:rsidP="007D4849">
                      <w:r>
                        <w:t>3. p</w:t>
                      </w:r>
                      <w:r w:rsidRPr="001B09E9">
                        <w:t xml:space="preserve">lāno </w:t>
                      </w:r>
                      <w:r>
                        <w:t>angļu</w:t>
                      </w:r>
                      <w:r w:rsidRPr="001B09E9">
                        <w:t xml:space="preserve"> valodas</w:t>
                      </w:r>
                      <w:r>
                        <w:t xml:space="preserve"> apguvi</w:t>
                      </w:r>
                      <w:r w:rsidRPr="001B09E9">
                        <w:t xml:space="preserve"> klātien</w:t>
                      </w:r>
                      <w:r>
                        <w:t>ē</w:t>
                      </w:r>
                      <w:r w:rsidRPr="001B09E9">
                        <w:t xml:space="preserve"> un/vai attālināt</w:t>
                      </w:r>
                      <w:r>
                        <w:t>i,</w:t>
                      </w:r>
                      <w:r w:rsidRPr="001B09E9">
                        <w:t xml:space="preserve"> pielieto dažādas mācību metodes, kas motivē skolēnu</w:t>
                      </w:r>
                      <w:r>
                        <w:t>s efektīvai</w:t>
                      </w:r>
                      <w:r w:rsidRPr="001B09E9">
                        <w:t xml:space="preserve"> </w:t>
                      </w:r>
                      <w:r>
                        <w:t>angļu</w:t>
                      </w:r>
                      <w:r w:rsidRPr="001B09E9">
                        <w:t xml:space="preserve"> valod</w:t>
                      </w:r>
                      <w:r>
                        <w:t>as apguvei</w:t>
                      </w:r>
                      <w:r w:rsidRPr="001B09E9">
                        <w:t xml:space="preserve"> un ir saistītas ar reālo dzīvi.</w:t>
                      </w:r>
                    </w:p>
                    <w:p w14:paraId="1AD704DC" w14:textId="59EE6F49" w:rsidR="001B09E9" w:rsidRPr="007D4849" w:rsidRDefault="00711268" w:rsidP="007D4849">
                      <w:r>
                        <w:t>4. a</w:t>
                      </w:r>
                      <w:r w:rsidRPr="00711268">
                        <w:t xml:space="preserve">tpazīst un analizē iespējamās problēmas </w:t>
                      </w:r>
                      <w:r>
                        <w:t>angļu</w:t>
                      </w:r>
                      <w:r w:rsidRPr="00711268">
                        <w:t xml:space="preserve"> valodas apguvē.</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71544C88" w14:textId="5A1A738A" w:rsidR="003A3AAE" w:rsidRPr="003A3AAE" w:rsidRDefault="003A3AAE" w:rsidP="003A3AAE">
                      <w:r>
                        <w:rPr>
                          <w:highlight w:val="yellow"/>
                        </w:rPr>
                        <w:t>5. pastāvīgi</w:t>
                      </w:r>
                      <w:r w:rsidRPr="003A3AAE">
                        <w:rPr>
                          <w:highlight w:val="yellow"/>
                        </w:rPr>
                        <w:t xml:space="preserve"> </w:t>
                      </w:r>
                      <w:r>
                        <w:rPr>
                          <w:highlight w:val="yellow"/>
                        </w:rPr>
                        <w:t>k</w:t>
                      </w:r>
                      <w:r w:rsidRPr="003A3AAE">
                        <w:t xml:space="preserve">orelē mērķus, līdzekļus un sasniedzamos rezultātus, lai </w:t>
                      </w:r>
                      <w:r>
                        <w:t>izglītojamie sekmīgi apgūtu angļu valodu;</w:t>
                      </w:r>
                    </w:p>
                    <w:p w14:paraId="3332B2C5" w14:textId="6907F785" w:rsidR="007D4849" w:rsidRPr="007D4849" w:rsidRDefault="003A3AAE" w:rsidP="003A3AAE">
                      <w:pPr>
                        <w:rPr>
                          <w:highlight w:val="yellow"/>
                        </w:rPr>
                      </w:pPr>
                      <w:r>
                        <w:rPr>
                          <w:highlight w:val="yellow"/>
                        </w:rPr>
                        <w:t xml:space="preserve">6. </w:t>
                      </w:r>
                      <w:r>
                        <w:t>s</w:t>
                      </w:r>
                      <w:r w:rsidRPr="003A3AAE">
                        <w:t xml:space="preserve">eko izmaiņām un novitātēm </w:t>
                      </w:r>
                      <w:r>
                        <w:t>angļu</w:t>
                      </w:r>
                      <w:r w:rsidRPr="003A3AAE">
                        <w:t xml:space="preserve"> valodas mācīšanā, interesējas par tālākizglītības un profesionālās pilnveides iespējām un spēj objektīvi izvērtēt savu kompetenci</w:t>
                      </w:r>
                      <w:r>
                        <w:t>.</w:t>
                      </w:r>
                    </w:p>
                  </w:tc>
                </w:tr>
              </w:tbl>
              <w:p w14:paraId="0B6DE13B" w14:textId="77777777" w:rsidR="007D4849" w:rsidRDefault="00F5701E"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7AAD91A0" w14:textId="58F2CD3B" w:rsidR="005D48F2" w:rsidRDefault="005D48F2" w:rsidP="007534EA">
            <w:permStart w:id="1836219002" w:edGrp="everyone"/>
            <w:r w:rsidRPr="005D48F2">
              <w:t>Studējošo patstāvīgā darba stundas (</w:t>
            </w:r>
            <w:r>
              <w:t>96</w:t>
            </w:r>
            <w:r w:rsidRPr="005D48F2">
              <w:t xml:space="preserve"> akadēmiskās stundas): studējošo patstāvīgo studiju stundas paredz gatavošanos semināriem (skatīt semināru tēmas augstāk), studējošais patstāvīgi izvēlas, analizē un prezentē literatūras avotus, zinātniskos rakstus un periodiskajos izdevumos publicētās atziņas (skatīt obligātās un papildus literatūras sarakstu), prezentējot </w:t>
            </w:r>
            <w:r>
              <w:t>vienu</w:t>
            </w:r>
            <w:r w:rsidRPr="005D48F2">
              <w:t xml:space="preserve"> referātu par izvēlēt</w:t>
            </w:r>
            <w:r>
              <w:t>o</w:t>
            </w:r>
            <w:r w:rsidRPr="005D48F2">
              <w:t xml:space="preserve"> seminār</w:t>
            </w:r>
            <w:r>
              <w:t>a</w:t>
            </w:r>
            <w:r w:rsidRPr="005D48F2">
              <w:t xml:space="preserve"> tēm</w:t>
            </w:r>
            <w:r>
              <w:t>u</w:t>
            </w:r>
            <w:r w:rsidRPr="005D48F2">
              <w:t xml:space="preserve">; </w:t>
            </w:r>
            <w:r>
              <w:t xml:space="preserve">veic patstāvīgos uzdevumus, aktīvi piedalās to apspriešanā </w:t>
            </w:r>
            <w:r w:rsidR="00404737">
              <w:t>e-studiju vidē Moodle. Veic pašvērtējumu. Sniedz un saņem atgriezenisko saiti. Patstāvīgā darba uzdevumi ir sekojoši:</w:t>
            </w:r>
          </w:p>
          <w:p w14:paraId="69E6F1AB" w14:textId="64AA91FD" w:rsidR="00E33F4D" w:rsidRPr="00956B66" w:rsidRDefault="00B93541" w:rsidP="007534EA">
            <w:pPr>
              <w:rPr>
                <w:lang w:eastAsia="ru-RU"/>
              </w:rPr>
            </w:pPr>
            <w:r>
              <w:t xml:space="preserve">1. </w:t>
            </w:r>
            <w:r w:rsidRPr="00B93541">
              <w:t>Studējošā patstāvīgais darbs: Ar valodu saistīti uzdevumi. Valodas analīze mācīšanai. Metodiskā materiāla gramatikas, vārdu krājuma un fonētikas apguvei izstrāde, tā prezentācija un apspriešana e-studiju platformā Moodle. Pašvērtējums. Atgriezeniskās saites nodrošināšana un iegūšana</w:t>
            </w:r>
            <w:r w:rsidR="008B7213" w:rsidRPr="00956B66">
              <w:rPr>
                <w:lang w:eastAsia="ru-RU"/>
              </w:rPr>
              <w:t>.</w:t>
            </w:r>
          </w:p>
          <w:p w14:paraId="6DBE0735" w14:textId="77777777" w:rsidR="00E33F4D" w:rsidRDefault="00B93541" w:rsidP="007534EA">
            <w:r>
              <w:lastRenderedPageBreak/>
              <w:t xml:space="preserve">2. </w:t>
            </w:r>
            <w:r w:rsidRPr="00B93541">
              <w:t>Studējošā patstāvīgais darbs: Ar valodas prasmēm saistīti uzdevumi. Metodiskā materiāla lasīšanas, klausīšanās, runāšanas un rakstīšanas prasmju apguvei izstrāde, tā prezentācija un apspriešana e-studiju platformā Moodle. Pašvērtējums. Atgriezeniskās saites nodrošināšana un iegūšana.</w:t>
            </w:r>
          </w:p>
          <w:p w14:paraId="5054DECC" w14:textId="4F051A54" w:rsidR="00E33F4D" w:rsidRPr="0093308E" w:rsidRDefault="00727A88" w:rsidP="007534EA">
            <w:r>
              <w:t>3.</w:t>
            </w:r>
            <w:r w:rsidRPr="0017476D">
              <w:t xml:space="preserve"> </w:t>
            </w:r>
            <w:r w:rsidRPr="00727A88">
              <w:t>Studējošā patstāvīgais darbs: Stundu plāna izstrāde, atlasot, pielāgojot un veidojot to attiecīgam mācīšanās kontekstam. Izstrādātā stundas plāna prezentācija un apspriešana e-studiju platformā Moodle. Pašvērtējums. Atgriezeniskās saites nodrošināšana un iegūšana</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54115ED2" w14:textId="3CC2C951" w:rsidR="00BD2F39" w:rsidRPr="00BD2F39" w:rsidRDefault="00BD2F39" w:rsidP="00BD2F39">
            <w:permStart w:id="1677921679" w:edGrp="everyone"/>
            <w:r w:rsidRPr="00BD2F39">
              <w:t xml:space="preserve">Studiju kursa gala vērtējums (eksāmens) veidojas, summējot </w:t>
            </w:r>
            <w:r>
              <w:t>viena</w:t>
            </w:r>
            <w:r w:rsidRPr="00BD2F39">
              <w:t xml:space="preserve"> referāt</w:t>
            </w:r>
            <w:r>
              <w:t>a</w:t>
            </w:r>
            <w:r w:rsidRPr="00BD2F39">
              <w:t xml:space="preserve"> prezēntācij</w:t>
            </w:r>
            <w:r>
              <w:t>u</w:t>
            </w:r>
            <w:r w:rsidRPr="00BD2F39">
              <w:t xml:space="preserve"> par izvēlēt</w:t>
            </w:r>
            <w:r>
              <w:t>o</w:t>
            </w:r>
            <w:r w:rsidRPr="00BD2F39">
              <w:t xml:space="preserve"> seminār</w:t>
            </w:r>
            <w:r>
              <w:t>a</w:t>
            </w:r>
            <w:r w:rsidRPr="00BD2F39">
              <w:t xml:space="preserve"> tēm</w:t>
            </w:r>
            <w:r>
              <w:t xml:space="preserve">u rezultātu, starppārbaudījumu (praktisko uzdevumu) rezultātu, proti, metodiskā materiāla izstrāde, prezentācija un apspriešana e-studiju vidē Moodle, </w:t>
            </w:r>
            <w:r w:rsidRPr="00BD2F39">
              <w:t xml:space="preserve"> un </w:t>
            </w:r>
            <w:r>
              <w:t>rakstiska testa</w:t>
            </w:r>
            <w:r w:rsidRPr="00BD2F39">
              <w:t xml:space="preserve"> rezultātus</w:t>
            </w:r>
            <w:r>
              <w:t>.</w:t>
            </w:r>
            <w:r w:rsidRPr="00BD2F39">
              <w:t xml:space="preserve"> </w:t>
            </w:r>
          </w:p>
          <w:p w14:paraId="47B56891" w14:textId="0912695B" w:rsidR="00BD2F39" w:rsidRDefault="00BD2F39" w:rsidP="00BD2F39">
            <w:r w:rsidRPr="00BD2F39">
              <w:t xml:space="preserve">Eksāmena vērtējums  var tikt saņemts, ja ir izpildīti visi minētie nosacījumi un studējošais ir piedalījies 30% lekcijās un 70% seminārnodarbībās, ir prezentējis </w:t>
            </w:r>
            <w:r w:rsidR="004E485A">
              <w:t>vienu</w:t>
            </w:r>
            <w:r w:rsidRPr="00BD2F39">
              <w:t xml:space="preserve"> referātu par izvēlēt</w:t>
            </w:r>
            <w:r w:rsidR="004E485A">
              <w:t>o</w:t>
            </w:r>
            <w:r w:rsidRPr="00BD2F39">
              <w:t xml:space="preserve"> seminār</w:t>
            </w:r>
            <w:r w:rsidR="004E485A">
              <w:t>a</w:t>
            </w:r>
            <w:r w:rsidRPr="00BD2F39">
              <w:t xml:space="preserve"> tēm</w:t>
            </w:r>
            <w:r w:rsidR="004E485A">
              <w:t>u, sekmīgi veicis, prezentējis un apspriedis visus praktiskos uzdevumus</w:t>
            </w:r>
          </w:p>
          <w:p w14:paraId="6CFE78B1" w14:textId="77777777" w:rsidR="00BD2F39" w:rsidRDefault="00BD2F39" w:rsidP="00BD2F39"/>
          <w:p w14:paraId="427E43EE" w14:textId="15796403" w:rsidR="00E54033" w:rsidRPr="00E54033" w:rsidRDefault="00E54033" w:rsidP="00BD2F39">
            <w:r w:rsidRPr="00E54033">
              <w:t xml:space="preserve">STARPPĀRBAUDĪJUMI: </w:t>
            </w:r>
          </w:p>
          <w:p w14:paraId="0100E9FD" w14:textId="77777777" w:rsidR="00E54033" w:rsidRPr="00E54033" w:rsidRDefault="00E54033" w:rsidP="00E54033">
            <w:r w:rsidRPr="00E54033">
              <w:t>(starpārbaudijuma uzdevumi tiek izstrādāti un vērtēti pēc docētāja noteiktajiem kritērijiem)</w:t>
            </w:r>
          </w:p>
          <w:p w14:paraId="1B1D514D" w14:textId="5B561104" w:rsidR="00E54033" w:rsidRPr="00E54033" w:rsidRDefault="00E54033" w:rsidP="00E54033">
            <w:r w:rsidRPr="00E54033">
              <w:t>1.</w:t>
            </w:r>
            <w:r w:rsidR="004E485A">
              <w:t xml:space="preserve"> Referāta prezentācija </w:t>
            </w:r>
            <w:r w:rsidRPr="00E54033">
              <w:rPr>
                <w:lang w:eastAsia="ru-RU"/>
              </w:rPr>
              <w:t xml:space="preserve">– </w:t>
            </w:r>
            <w:r w:rsidR="004E485A">
              <w:t>20</w:t>
            </w:r>
            <w:r w:rsidR="00916D56">
              <w:t>%</w:t>
            </w:r>
            <w:r w:rsidRPr="00E54033">
              <w:t xml:space="preserve"> </w:t>
            </w:r>
          </w:p>
          <w:p w14:paraId="4EC4A7E7" w14:textId="510D62FC" w:rsidR="00E54033" w:rsidRDefault="00E54033" w:rsidP="00E54033">
            <w:r w:rsidRPr="00916D56">
              <w:t>2.</w:t>
            </w:r>
            <w:r w:rsidR="004E485A">
              <w:t xml:space="preserve"> Starppārbaudījums nr. 1: metodiskā materiāla izstrāde </w:t>
            </w:r>
            <w:r w:rsidR="00916D56" w:rsidRPr="00916D56">
              <w:rPr>
                <w:lang w:eastAsia="ru-RU"/>
              </w:rPr>
              <w:t>–</w:t>
            </w:r>
            <w:r w:rsidR="004E485A">
              <w:t xml:space="preserve"> 20</w:t>
            </w:r>
            <w:r w:rsidR="00916D56">
              <w:t>%</w:t>
            </w:r>
          </w:p>
          <w:p w14:paraId="099B44BA" w14:textId="210A6B0D" w:rsidR="004E485A" w:rsidRDefault="004E485A" w:rsidP="00E54033">
            <w:r>
              <w:t xml:space="preserve">3. </w:t>
            </w:r>
            <w:r w:rsidRPr="004E485A">
              <w:t xml:space="preserve">Starppārbaudījums nr. </w:t>
            </w:r>
            <w:r>
              <w:t>2</w:t>
            </w:r>
            <w:r w:rsidRPr="004E485A">
              <w:t>: metodiskā materiāla izstrāde – 20%</w:t>
            </w:r>
          </w:p>
          <w:p w14:paraId="27B9874C" w14:textId="7EE43FA8" w:rsidR="004E485A" w:rsidRDefault="004E485A" w:rsidP="00E54033">
            <w:r>
              <w:t xml:space="preserve">4. </w:t>
            </w:r>
            <w:r w:rsidRPr="004E485A">
              <w:t xml:space="preserve">Starppārbaudījums nr. </w:t>
            </w:r>
            <w:r>
              <w:t>3</w:t>
            </w:r>
            <w:r w:rsidRPr="004E485A">
              <w:t>: metodiskā materiāla izstrāde – 20%</w:t>
            </w:r>
          </w:p>
          <w:p w14:paraId="156AFD6E" w14:textId="7DCB9C65" w:rsidR="004E485A" w:rsidRPr="00916D56" w:rsidRDefault="004E485A" w:rsidP="00E54033">
            <w:pPr>
              <w:rPr>
                <w:lang w:eastAsia="ru-RU"/>
              </w:rPr>
            </w:pPr>
            <w:r>
              <w:t>5. Noslēguma pārbaudījums (eksāmens): rakstisks tests</w:t>
            </w:r>
            <w:r w:rsidR="004F15FD">
              <w:t xml:space="preserve"> - 20%.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94"/>
              <w:gridCol w:w="695"/>
              <w:gridCol w:w="694"/>
              <w:gridCol w:w="695"/>
              <w:gridCol w:w="694"/>
              <w:gridCol w:w="695"/>
            </w:tblGrid>
            <w:tr w:rsidR="003F3E33" w:rsidRPr="003F3E33" w14:paraId="435521F4" w14:textId="77777777" w:rsidTr="00065577">
              <w:trPr>
                <w:trHeight w:val="517"/>
                <w:jc w:val="center"/>
              </w:trPr>
              <w:tc>
                <w:tcPr>
                  <w:tcW w:w="4531"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4167" w:type="dxa"/>
                  <w:gridSpan w:val="6"/>
                  <w:shd w:val="clear" w:color="auto" w:fill="auto"/>
                </w:tcPr>
                <w:p w14:paraId="29BFEF89" w14:textId="618546CC" w:rsidR="003F3E33" w:rsidRPr="003F3E33" w:rsidRDefault="003F3E33" w:rsidP="003F3E33">
                  <w:r w:rsidRPr="003F3E33">
                    <w:t>Studiju rezultāti*</w:t>
                  </w:r>
                </w:p>
              </w:tc>
            </w:tr>
            <w:tr w:rsidR="00065577" w:rsidRPr="003F3E33" w14:paraId="01D81789" w14:textId="3CFC2842" w:rsidTr="00072D7F">
              <w:trPr>
                <w:jc w:val="center"/>
              </w:trPr>
              <w:tc>
                <w:tcPr>
                  <w:tcW w:w="4531" w:type="dxa"/>
                  <w:vMerge/>
                  <w:shd w:val="clear" w:color="auto" w:fill="auto"/>
                </w:tcPr>
                <w:p w14:paraId="3404568C" w14:textId="77777777" w:rsidR="00065577" w:rsidRPr="003F3E33" w:rsidRDefault="00065577" w:rsidP="003F3E33"/>
              </w:tc>
              <w:tc>
                <w:tcPr>
                  <w:tcW w:w="694" w:type="dxa"/>
                  <w:shd w:val="clear" w:color="auto" w:fill="auto"/>
                </w:tcPr>
                <w:p w14:paraId="25790896" w14:textId="77777777" w:rsidR="00065577" w:rsidRPr="003F3E33" w:rsidRDefault="00065577" w:rsidP="003F3E33">
                  <w:r w:rsidRPr="003F3E33">
                    <w:t>1.</w:t>
                  </w:r>
                </w:p>
              </w:tc>
              <w:tc>
                <w:tcPr>
                  <w:tcW w:w="695" w:type="dxa"/>
                  <w:shd w:val="clear" w:color="auto" w:fill="auto"/>
                </w:tcPr>
                <w:p w14:paraId="2F4B2029" w14:textId="77777777" w:rsidR="00065577" w:rsidRPr="003F3E33" w:rsidRDefault="00065577" w:rsidP="003F3E33">
                  <w:r w:rsidRPr="003F3E33">
                    <w:t>2.</w:t>
                  </w:r>
                </w:p>
              </w:tc>
              <w:tc>
                <w:tcPr>
                  <w:tcW w:w="694" w:type="dxa"/>
                  <w:shd w:val="clear" w:color="auto" w:fill="auto"/>
                </w:tcPr>
                <w:p w14:paraId="701D8B2D" w14:textId="77777777" w:rsidR="00065577" w:rsidRPr="003F3E33" w:rsidRDefault="00065577" w:rsidP="003F3E33">
                  <w:r w:rsidRPr="003F3E33">
                    <w:t>3.</w:t>
                  </w:r>
                </w:p>
              </w:tc>
              <w:tc>
                <w:tcPr>
                  <w:tcW w:w="695" w:type="dxa"/>
                  <w:shd w:val="clear" w:color="auto" w:fill="auto"/>
                </w:tcPr>
                <w:p w14:paraId="387125B9" w14:textId="77777777" w:rsidR="00065577" w:rsidRPr="003F3E33" w:rsidRDefault="00065577" w:rsidP="003F3E33">
                  <w:r w:rsidRPr="003F3E33">
                    <w:t>4.</w:t>
                  </w:r>
                </w:p>
              </w:tc>
              <w:tc>
                <w:tcPr>
                  <w:tcW w:w="694" w:type="dxa"/>
                  <w:shd w:val="clear" w:color="auto" w:fill="auto"/>
                </w:tcPr>
                <w:p w14:paraId="67C10518" w14:textId="77777777" w:rsidR="00065577" w:rsidRPr="003F3E33" w:rsidRDefault="00065577" w:rsidP="003F3E33">
                  <w:r w:rsidRPr="003F3E33">
                    <w:t>5.</w:t>
                  </w:r>
                </w:p>
              </w:tc>
              <w:tc>
                <w:tcPr>
                  <w:tcW w:w="695" w:type="dxa"/>
                  <w:shd w:val="clear" w:color="auto" w:fill="auto"/>
                </w:tcPr>
                <w:p w14:paraId="30A131A9" w14:textId="4AC556DD" w:rsidR="00065577" w:rsidRPr="003F3E33" w:rsidRDefault="00065577" w:rsidP="006E1AA5">
                  <w:r w:rsidRPr="003F3E33">
                    <w:t>6.</w:t>
                  </w:r>
                </w:p>
              </w:tc>
            </w:tr>
            <w:tr w:rsidR="00072D7F" w:rsidRPr="003F3E33" w14:paraId="3C2DF642" w14:textId="4388C5A9" w:rsidTr="00072D7F">
              <w:trPr>
                <w:trHeight w:val="303"/>
                <w:jc w:val="center"/>
              </w:trPr>
              <w:tc>
                <w:tcPr>
                  <w:tcW w:w="4531" w:type="dxa"/>
                  <w:shd w:val="clear" w:color="auto" w:fill="auto"/>
                  <w:vAlign w:val="center"/>
                </w:tcPr>
                <w:p w14:paraId="5A0B96B2" w14:textId="3970902B" w:rsidR="00072D7F" w:rsidRPr="00072D7F" w:rsidRDefault="00072D7F" w:rsidP="00072D7F">
                  <w:r w:rsidRPr="003F3E33">
                    <w:t xml:space="preserve">1. </w:t>
                  </w:r>
                  <w:r w:rsidRPr="00072D7F">
                    <w:t>Referāta prezentācija</w:t>
                  </w:r>
                </w:p>
              </w:tc>
              <w:tc>
                <w:tcPr>
                  <w:tcW w:w="694" w:type="dxa"/>
                  <w:shd w:val="clear" w:color="auto" w:fill="auto"/>
                  <w:vAlign w:val="center"/>
                </w:tcPr>
                <w:p w14:paraId="09A0FFCA" w14:textId="442727C5" w:rsidR="00072D7F" w:rsidRPr="00072D7F" w:rsidRDefault="00072D7F" w:rsidP="00072D7F">
                  <w:r>
                    <w:t>+</w:t>
                  </w:r>
                </w:p>
              </w:tc>
              <w:tc>
                <w:tcPr>
                  <w:tcW w:w="695" w:type="dxa"/>
                  <w:shd w:val="clear" w:color="auto" w:fill="auto"/>
                  <w:vAlign w:val="center"/>
                </w:tcPr>
                <w:p w14:paraId="008199B1" w14:textId="0DBFCC40" w:rsidR="00072D7F" w:rsidRPr="00072D7F" w:rsidRDefault="00072D7F" w:rsidP="00072D7F">
                  <w:r>
                    <w:t>+</w:t>
                  </w:r>
                </w:p>
              </w:tc>
              <w:tc>
                <w:tcPr>
                  <w:tcW w:w="694" w:type="dxa"/>
                  <w:shd w:val="clear" w:color="auto" w:fill="auto"/>
                  <w:vAlign w:val="center"/>
                </w:tcPr>
                <w:p w14:paraId="06F1BC59" w14:textId="7CBCA7DA" w:rsidR="00072D7F" w:rsidRPr="003F3E33" w:rsidRDefault="00072D7F" w:rsidP="00072D7F"/>
              </w:tc>
              <w:tc>
                <w:tcPr>
                  <w:tcW w:w="695" w:type="dxa"/>
                  <w:shd w:val="clear" w:color="auto" w:fill="auto"/>
                  <w:vAlign w:val="center"/>
                </w:tcPr>
                <w:p w14:paraId="02D359C9" w14:textId="6C805379" w:rsidR="00072D7F" w:rsidRPr="003F3E33" w:rsidRDefault="00072D7F" w:rsidP="00072D7F"/>
              </w:tc>
              <w:tc>
                <w:tcPr>
                  <w:tcW w:w="694" w:type="dxa"/>
                  <w:shd w:val="clear" w:color="auto" w:fill="auto"/>
                  <w:vAlign w:val="center"/>
                </w:tcPr>
                <w:p w14:paraId="01281C86" w14:textId="53637C9F" w:rsidR="00072D7F" w:rsidRPr="003F3E33" w:rsidRDefault="00072D7F" w:rsidP="00072D7F"/>
              </w:tc>
              <w:tc>
                <w:tcPr>
                  <w:tcW w:w="695" w:type="dxa"/>
                  <w:shd w:val="clear" w:color="auto" w:fill="auto"/>
                  <w:vAlign w:val="center"/>
                </w:tcPr>
                <w:p w14:paraId="7113C02E" w14:textId="77777777" w:rsidR="00072D7F" w:rsidRPr="003F3E33" w:rsidRDefault="00072D7F" w:rsidP="00072D7F"/>
              </w:tc>
            </w:tr>
            <w:tr w:rsidR="00072D7F" w:rsidRPr="003F3E33" w14:paraId="6641E555" w14:textId="6F87ADDC" w:rsidTr="00072D7F">
              <w:trPr>
                <w:trHeight w:val="416"/>
                <w:jc w:val="center"/>
              </w:trPr>
              <w:tc>
                <w:tcPr>
                  <w:tcW w:w="4531" w:type="dxa"/>
                  <w:shd w:val="clear" w:color="auto" w:fill="auto"/>
                  <w:vAlign w:val="center"/>
                </w:tcPr>
                <w:p w14:paraId="4A4D0ABB" w14:textId="7FA9B3D0" w:rsidR="00072D7F" w:rsidRPr="00072D7F" w:rsidRDefault="00072D7F" w:rsidP="00072D7F">
                  <w:r w:rsidRPr="003F3E33">
                    <w:t xml:space="preserve">2. </w:t>
                  </w:r>
                  <w:r w:rsidRPr="00072D7F">
                    <w:t>Starppārbaudījums nr. 1: metodiskā materiāla izstrāde</w:t>
                  </w:r>
                </w:p>
              </w:tc>
              <w:tc>
                <w:tcPr>
                  <w:tcW w:w="694" w:type="dxa"/>
                  <w:shd w:val="clear" w:color="auto" w:fill="auto"/>
                  <w:vAlign w:val="center"/>
                </w:tcPr>
                <w:p w14:paraId="08A19016" w14:textId="112245A8" w:rsidR="00072D7F" w:rsidRPr="00072D7F" w:rsidRDefault="00072D7F" w:rsidP="00072D7F">
                  <w:r>
                    <w:t>+</w:t>
                  </w:r>
                </w:p>
              </w:tc>
              <w:tc>
                <w:tcPr>
                  <w:tcW w:w="695" w:type="dxa"/>
                  <w:shd w:val="clear" w:color="auto" w:fill="auto"/>
                  <w:vAlign w:val="center"/>
                </w:tcPr>
                <w:p w14:paraId="392161E7" w14:textId="5CA705C3" w:rsidR="00072D7F" w:rsidRPr="00072D7F" w:rsidRDefault="00072D7F" w:rsidP="00072D7F">
                  <w:r>
                    <w:t>+</w:t>
                  </w:r>
                </w:p>
              </w:tc>
              <w:tc>
                <w:tcPr>
                  <w:tcW w:w="694" w:type="dxa"/>
                  <w:shd w:val="clear" w:color="auto" w:fill="auto"/>
                  <w:vAlign w:val="center"/>
                </w:tcPr>
                <w:p w14:paraId="50B5A073" w14:textId="0A9728BB" w:rsidR="00072D7F" w:rsidRPr="00072D7F" w:rsidRDefault="00072D7F" w:rsidP="00072D7F">
                  <w:r>
                    <w:t>+</w:t>
                  </w:r>
                </w:p>
              </w:tc>
              <w:tc>
                <w:tcPr>
                  <w:tcW w:w="695" w:type="dxa"/>
                  <w:shd w:val="clear" w:color="auto" w:fill="auto"/>
                  <w:vAlign w:val="center"/>
                </w:tcPr>
                <w:p w14:paraId="62D94B32" w14:textId="03C3667F" w:rsidR="00072D7F" w:rsidRPr="00072D7F" w:rsidRDefault="00072D7F" w:rsidP="00072D7F">
                  <w:r>
                    <w:t>+</w:t>
                  </w:r>
                </w:p>
              </w:tc>
              <w:tc>
                <w:tcPr>
                  <w:tcW w:w="694" w:type="dxa"/>
                  <w:shd w:val="clear" w:color="auto" w:fill="auto"/>
                  <w:vAlign w:val="center"/>
                </w:tcPr>
                <w:p w14:paraId="45269AD3" w14:textId="308508DD" w:rsidR="00072D7F" w:rsidRPr="003F3E33" w:rsidRDefault="00072D7F" w:rsidP="00072D7F"/>
              </w:tc>
              <w:tc>
                <w:tcPr>
                  <w:tcW w:w="695" w:type="dxa"/>
                  <w:shd w:val="clear" w:color="auto" w:fill="auto"/>
                  <w:vAlign w:val="center"/>
                </w:tcPr>
                <w:p w14:paraId="4325B3E7" w14:textId="50F9F539" w:rsidR="00072D7F" w:rsidRPr="003F3E33" w:rsidRDefault="00072D7F" w:rsidP="00072D7F"/>
              </w:tc>
            </w:tr>
            <w:tr w:rsidR="00072D7F" w:rsidRPr="003F3E33" w14:paraId="00EF2DBF" w14:textId="4B88F9A3" w:rsidTr="00072D7F">
              <w:trPr>
                <w:trHeight w:val="411"/>
                <w:jc w:val="center"/>
              </w:trPr>
              <w:tc>
                <w:tcPr>
                  <w:tcW w:w="4531" w:type="dxa"/>
                  <w:shd w:val="clear" w:color="auto" w:fill="auto"/>
                  <w:vAlign w:val="center"/>
                </w:tcPr>
                <w:p w14:paraId="0907D150" w14:textId="12378DE3" w:rsidR="00072D7F" w:rsidRPr="00072D7F" w:rsidRDefault="00072D7F" w:rsidP="00072D7F">
                  <w:r w:rsidRPr="003F3E33">
                    <w:t xml:space="preserve">3. </w:t>
                  </w:r>
                  <w:r w:rsidRPr="00072D7F">
                    <w:t xml:space="preserve">Starppārbaudījums nr. </w:t>
                  </w:r>
                  <w:r w:rsidRPr="00072D7F">
                    <w:t>2</w:t>
                  </w:r>
                  <w:r w:rsidRPr="00072D7F">
                    <w:t>: metodiskā materiāla izstrāde</w:t>
                  </w:r>
                </w:p>
              </w:tc>
              <w:tc>
                <w:tcPr>
                  <w:tcW w:w="694" w:type="dxa"/>
                  <w:shd w:val="clear" w:color="auto" w:fill="auto"/>
                  <w:vAlign w:val="center"/>
                </w:tcPr>
                <w:p w14:paraId="0BF59EF7" w14:textId="0E7CBEC5" w:rsidR="00072D7F" w:rsidRPr="00072D7F" w:rsidRDefault="00072D7F" w:rsidP="00072D7F">
                  <w:r>
                    <w:t>+</w:t>
                  </w:r>
                </w:p>
              </w:tc>
              <w:tc>
                <w:tcPr>
                  <w:tcW w:w="695" w:type="dxa"/>
                  <w:shd w:val="clear" w:color="auto" w:fill="auto"/>
                  <w:vAlign w:val="center"/>
                </w:tcPr>
                <w:p w14:paraId="68E02658" w14:textId="05AF452F" w:rsidR="00072D7F" w:rsidRPr="00072D7F" w:rsidRDefault="00072D7F" w:rsidP="00072D7F">
                  <w:r>
                    <w:t>+</w:t>
                  </w:r>
                </w:p>
              </w:tc>
              <w:tc>
                <w:tcPr>
                  <w:tcW w:w="694" w:type="dxa"/>
                  <w:shd w:val="clear" w:color="auto" w:fill="auto"/>
                  <w:vAlign w:val="center"/>
                </w:tcPr>
                <w:p w14:paraId="7A2BFC25" w14:textId="640238B7" w:rsidR="00072D7F" w:rsidRPr="00072D7F" w:rsidRDefault="00072D7F" w:rsidP="00072D7F">
                  <w:r>
                    <w:t>+</w:t>
                  </w:r>
                </w:p>
              </w:tc>
              <w:tc>
                <w:tcPr>
                  <w:tcW w:w="695" w:type="dxa"/>
                  <w:shd w:val="clear" w:color="auto" w:fill="auto"/>
                  <w:vAlign w:val="center"/>
                </w:tcPr>
                <w:p w14:paraId="04751327" w14:textId="7A3FBFB8" w:rsidR="00072D7F" w:rsidRPr="00072D7F" w:rsidRDefault="00072D7F" w:rsidP="00072D7F">
                  <w:r>
                    <w:t>+</w:t>
                  </w:r>
                </w:p>
              </w:tc>
              <w:tc>
                <w:tcPr>
                  <w:tcW w:w="694" w:type="dxa"/>
                  <w:shd w:val="clear" w:color="auto" w:fill="auto"/>
                  <w:vAlign w:val="center"/>
                </w:tcPr>
                <w:p w14:paraId="1A6C6E73" w14:textId="0925D793" w:rsidR="00072D7F" w:rsidRPr="003F3E33" w:rsidRDefault="00072D7F" w:rsidP="00072D7F"/>
              </w:tc>
              <w:tc>
                <w:tcPr>
                  <w:tcW w:w="695" w:type="dxa"/>
                  <w:shd w:val="clear" w:color="auto" w:fill="auto"/>
                  <w:vAlign w:val="center"/>
                </w:tcPr>
                <w:p w14:paraId="60DDBAC7" w14:textId="1749E6BE" w:rsidR="00072D7F" w:rsidRPr="003F3E33" w:rsidRDefault="00072D7F" w:rsidP="00072D7F"/>
              </w:tc>
            </w:tr>
            <w:tr w:rsidR="00072D7F" w:rsidRPr="003F3E33" w14:paraId="1F859062" w14:textId="77777777" w:rsidTr="00072D7F">
              <w:trPr>
                <w:trHeight w:val="411"/>
                <w:jc w:val="center"/>
              </w:trPr>
              <w:tc>
                <w:tcPr>
                  <w:tcW w:w="4531" w:type="dxa"/>
                  <w:shd w:val="clear" w:color="auto" w:fill="auto"/>
                  <w:vAlign w:val="center"/>
                </w:tcPr>
                <w:p w14:paraId="0DCB4A81" w14:textId="6EDAD516" w:rsidR="00072D7F" w:rsidRPr="00072D7F" w:rsidRDefault="00072D7F" w:rsidP="00072D7F">
                  <w:r>
                    <w:t xml:space="preserve">4. </w:t>
                  </w:r>
                  <w:r w:rsidRPr="00072D7F">
                    <w:t xml:space="preserve">Starppārbaudījums nr. </w:t>
                  </w:r>
                  <w:r w:rsidRPr="00072D7F">
                    <w:t>3</w:t>
                  </w:r>
                  <w:r w:rsidRPr="00072D7F">
                    <w:t>: metodiskā materiāla izstrāde</w:t>
                  </w:r>
                </w:p>
              </w:tc>
              <w:tc>
                <w:tcPr>
                  <w:tcW w:w="694" w:type="dxa"/>
                  <w:shd w:val="clear" w:color="auto" w:fill="auto"/>
                  <w:vAlign w:val="center"/>
                </w:tcPr>
                <w:p w14:paraId="4AF5F49B" w14:textId="37C6A0C3" w:rsidR="00072D7F" w:rsidRPr="00072D7F" w:rsidRDefault="00072D7F" w:rsidP="00072D7F">
                  <w:r>
                    <w:t>+</w:t>
                  </w:r>
                </w:p>
              </w:tc>
              <w:tc>
                <w:tcPr>
                  <w:tcW w:w="695" w:type="dxa"/>
                  <w:shd w:val="clear" w:color="auto" w:fill="auto"/>
                  <w:vAlign w:val="center"/>
                </w:tcPr>
                <w:p w14:paraId="58B5AB8F" w14:textId="347823C5" w:rsidR="00072D7F" w:rsidRPr="00072D7F" w:rsidRDefault="00072D7F" w:rsidP="00072D7F">
                  <w:r>
                    <w:t>+</w:t>
                  </w:r>
                </w:p>
              </w:tc>
              <w:tc>
                <w:tcPr>
                  <w:tcW w:w="694" w:type="dxa"/>
                  <w:shd w:val="clear" w:color="auto" w:fill="auto"/>
                  <w:vAlign w:val="center"/>
                </w:tcPr>
                <w:p w14:paraId="4C837134" w14:textId="4446B9D1" w:rsidR="00072D7F" w:rsidRPr="00072D7F" w:rsidRDefault="00072D7F" w:rsidP="00072D7F">
                  <w:r>
                    <w:t>+</w:t>
                  </w:r>
                </w:p>
              </w:tc>
              <w:tc>
                <w:tcPr>
                  <w:tcW w:w="695" w:type="dxa"/>
                  <w:shd w:val="clear" w:color="auto" w:fill="auto"/>
                  <w:vAlign w:val="center"/>
                </w:tcPr>
                <w:p w14:paraId="699AB313" w14:textId="7AAAEEC6" w:rsidR="00072D7F" w:rsidRPr="00072D7F" w:rsidRDefault="00072D7F" w:rsidP="00072D7F">
                  <w:r>
                    <w:t>+</w:t>
                  </w:r>
                </w:p>
              </w:tc>
              <w:tc>
                <w:tcPr>
                  <w:tcW w:w="694" w:type="dxa"/>
                  <w:shd w:val="clear" w:color="auto" w:fill="auto"/>
                  <w:vAlign w:val="center"/>
                </w:tcPr>
                <w:p w14:paraId="6ED4E246" w14:textId="77777777" w:rsidR="00072D7F" w:rsidRPr="003F3E33" w:rsidRDefault="00072D7F" w:rsidP="00072D7F"/>
              </w:tc>
              <w:tc>
                <w:tcPr>
                  <w:tcW w:w="695" w:type="dxa"/>
                  <w:shd w:val="clear" w:color="auto" w:fill="auto"/>
                  <w:vAlign w:val="center"/>
                </w:tcPr>
                <w:p w14:paraId="09ABD135" w14:textId="77777777" w:rsidR="00072D7F" w:rsidRPr="003F3E33" w:rsidRDefault="00072D7F" w:rsidP="00072D7F"/>
              </w:tc>
            </w:tr>
            <w:tr w:rsidR="00072D7F" w:rsidRPr="003F3E33" w14:paraId="69E9CA22" w14:textId="77777777" w:rsidTr="00072D7F">
              <w:trPr>
                <w:trHeight w:val="411"/>
                <w:jc w:val="center"/>
              </w:trPr>
              <w:tc>
                <w:tcPr>
                  <w:tcW w:w="4531" w:type="dxa"/>
                  <w:shd w:val="clear" w:color="auto" w:fill="auto"/>
                  <w:vAlign w:val="center"/>
                </w:tcPr>
                <w:p w14:paraId="68049CD2" w14:textId="183690AA" w:rsidR="00072D7F" w:rsidRPr="00072D7F" w:rsidRDefault="00072D7F" w:rsidP="00072D7F">
                  <w:r>
                    <w:t xml:space="preserve">5. </w:t>
                  </w:r>
                  <w:r w:rsidRPr="00072D7F">
                    <w:t>Noslēguma pārbaudījums (eksāmens): rakstisks tests</w:t>
                  </w:r>
                </w:p>
              </w:tc>
              <w:tc>
                <w:tcPr>
                  <w:tcW w:w="694" w:type="dxa"/>
                  <w:shd w:val="clear" w:color="auto" w:fill="auto"/>
                  <w:vAlign w:val="center"/>
                </w:tcPr>
                <w:p w14:paraId="14010B3E" w14:textId="5C98418B" w:rsidR="00072D7F" w:rsidRPr="00072D7F" w:rsidRDefault="00072D7F" w:rsidP="00072D7F">
                  <w:r>
                    <w:t>+</w:t>
                  </w:r>
                </w:p>
              </w:tc>
              <w:tc>
                <w:tcPr>
                  <w:tcW w:w="695" w:type="dxa"/>
                  <w:shd w:val="clear" w:color="auto" w:fill="auto"/>
                  <w:vAlign w:val="center"/>
                </w:tcPr>
                <w:p w14:paraId="07191308" w14:textId="43A31284" w:rsidR="00072D7F" w:rsidRPr="00072D7F" w:rsidRDefault="00072D7F" w:rsidP="00072D7F">
                  <w:r>
                    <w:t>+</w:t>
                  </w:r>
                </w:p>
              </w:tc>
              <w:tc>
                <w:tcPr>
                  <w:tcW w:w="694" w:type="dxa"/>
                  <w:shd w:val="clear" w:color="auto" w:fill="auto"/>
                  <w:vAlign w:val="center"/>
                </w:tcPr>
                <w:p w14:paraId="67FBD4A6" w14:textId="15693D9A" w:rsidR="00072D7F" w:rsidRPr="00072D7F" w:rsidRDefault="00072D7F" w:rsidP="00072D7F">
                  <w:r>
                    <w:t>+</w:t>
                  </w:r>
                </w:p>
              </w:tc>
              <w:tc>
                <w:tcPr>
                  <w:tcW w:w="695" w:type="dxa"/>
                  <w:shd w:val="clear" w:color="auto" w:fill="auto"/>
                  <w:vAlign w:val="center"/>
                </w:tcPr>
                <w:p w14:paraId="4319CDBB" w14:textId="016CEB7B" w:rsidR="00072D7F" w:rsidRPr="00072D7F" w:rsidRDefault="00072D7F" w:rsidP="00072D7F">
                  <w:r>
                    <w:t>+</w:t>
                  </w:r>
                </w:p>
              </w:tc>
              <w:tc>
                <w:tcPr>
                  <w:tcW w:w="694" w:type="dxa"/>
                  <w:shd w:val="clear" w:color="auto" w:fill="auto"/>
                  <w:vAlign w:val="center"/>
                </w:tcPr>
                <w:p w14:paraId="4FF64836" w14:textId="5879ABCA" w:rsidR="00072D7F" w:rsidRPr="00072D7F" w:rsidRDefault="00072D7F" w:rsidP="00072D7F">
                  <w:r>
                    <w:t>+</w:t>
                  </w:r>
                </w:p>
              </w:tc>
              <w:tc>
                <w:tcPr>
                  <w:tcW w:w="695" w:type="dxa"/>
                  <w:shd w:val="clear" w:color="auto" w:fill="auto"/>
                  <w:vAlign w:val="center"/>
                </w:tcPr>
                <w:p w14:paraId="591085CC" w14:textId="4EC050CE" w:rsidR="00072D7F" w:rsidRPr="00072D7F" w:rsidRDefault="00072D7F" w:rsidP="00072D7F">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031CF078" w14:textId="0676FEBE" w:rsidR="00CE0307" w:rsidRDefault="00CE0307" w:rsidP="00CE0307">
            <w:permStart w:id="370084287" w:edGrp="everyone"/>
            <w:r w:rsidRPr="00CE0307">
              <w:lastRenderedPageBreak/>
              <w:t>1. Valodas apguves konteksts. Kultūras, lingvistiskā un izglītības izcelsme. Motivācija angļu valodas apguvei. Mācīšanās un mācīšanas priekšrocības. Angļu valodas apguves un mācīšanas konteksts. Angļu valodas veidi. Daudzvalodība un pirmās valodas loma. L 2, S 2, Pd 6</w:t>
            </w:r>
          </w:p>
          <w:p w14:paraId="1E176803" w14:textId="630EF322" w:rsidR="0091510D" w:rsidRDefault="00097BEB" w:rsidP="00CE0307">
            <w:r w:rsidRPr="00097BEB">
              <w:t>Studējošā patstāvīgais darbs:</w:t>
            </w:r>
            <w:r w:rsidR="00272E2D">
              <w:t xml:space="preserve"> </w:t>
            </w:r>
            <w:r w:rsidR="00272E2D" w:rsidRPr="00272E2D">
              <w:t xml:space="preserve">Ar valodu saistīti uzdevumi. Valodas analīze mācīšanai. </w:t>
            </w:r>
            <w:r w:rsidR="00272E2D">
              <w:t>S</w:t>
            </w:r>
            <w:r w:rsidRPr="00097BEB">
              <w:t>tudenti patstāvīgi izvēlas, analīzē un prezentē literatūras avotus, zinātniskos rakstus un atziņas, kas publicētas periodikas izdevumos par lekcijā aplūkoto tēmu.</w:t>
            </w:r>
          </w:p>
          <w:p w14:paraId="2FACD6E7" w14:textId="77777777" w:rsidR="0091510D" w:rsidRPr="00CE0307" w:rsidRDefault="0091510D" w:rsidP="00CE0307"/>
          <w:p w14:paraId="0841E8AA" w14:textId="79AF1B64" w:rsidR="00CE0307" w:rsidRDefault="00CE0307" w:rsidP="00CE0307">
            <w:r w:rsidRPr="00CE0307">
              <w:t>2. Valodas analīze un izpratne: angļu valodas apguves pamatjēdzieni un terminoloģija. L 2</w:t>
            </w:r>
          </w:p>
          <w:p w14:paraId="4DBACE74" w14:textId="77777777" w:rsidR="00097BEB" w:rsidRPr="00CE0307" w:rsidRDefault="00097BEB" w:rsidP="00CE0307"/>
          <w:p w14:paraId="638776A8" w14:textId="3BD1A087" w:rsidR="00CE0307" w:rsidRDefault="00CE0307" w:rsidP="00CE0307">
            <w:r w:rsidRPr="00CE0307">
              <w:t>3. Valodas analīze un izpratne: Gramatika. Gramatiskās struktūras: noteikumi un metodika (vārds, teikums, atkāpe un teksts). Vārdu krājums. Vārddarināšana, nozīme un lietojums kontekstā. Fonoloģija. Angļu fonēmu veidošanās un apraksts. Saistītas runas iezīmes. L 6, S 6, Pd 16</w:t>
            </w:r>
          </w:p>
          <w:p w14:paraId="740821FF" w14:textId="35D85CA0" w:rsidR="00097BEB" w:rsidRDefault="00097BEB" w:rsidP="00CE0307">
            <w:r w:rsidRPr="00097BEB">
              <w:t xml:space="preserve">Studējošā patstāvīgais darbs: </w:t>
            </w:r>
            <w:r w:rsidR="00272E2D" w:rsidRPr="00272E2D">
              <w:t xml:space="preserve">Ar valodu saistīti uzdevumi. Valodas analīze mācīšanai. Studenti </w:t>
            </w:r>
            <w:r w:rsidRPr="00097BEB">
              <w:t>patstāvīgi izvēlas, analīzē un prezentē literatūras avotus, zinātniskos rakstus un atziņas, kas publicētas periodikas izdevumos par lekcijā aplūkoto tēmu.</w:t>
            </w:r>
          </w:p>
          <w:p w14:paraId="5E1AE520" w14:textId="77777777" w:rsidR="00097BEB" w:rsidRPr="00CE0307" w:rsidRDefault="00097BEB" w:rsidP="00CE0307"/>
          <w:p w14:paraId="5EE00501" w14:textId="23EDA7FB" w:rsidR="00CE0307" w:rsidRDefault="00CE0307" w:rsidP="00CE0307">
            <w:r w:rsidRPr="00CE0307">
              <w:t>4. Valodas analīze un izpratne: Līdzību un atšķirību starp valodām praktiskā nozīme. Uzzi;nu materiāli valodas izpratnei. L 2, S 2, Pd 6</w:t>
            </w:r>
          </w:p>
          <w:p w14:paraId="6F521A3A" w14:textId="23D5E7FF" w:rsidR="00097BEB" w:rsidRDefault="00097BEB" w:rsidP="00CE0307">
            <w:r w:rsidRPr="00097BEB">
              <w:t xml:space="preserve">Studējošā patstāvīgais darbs: </w:t>
            </w:r>
            <w:r w:rsidR="00272E2D" w:rsidRPr="00272E2D">
              <w:t xml:space="preserve">Ar valodu saistīti uzdevumi. Valodas analīze mācīšanai. Studenti </w:t>
            </w:r>
            <w:r w:rsidRPr="00097BEB">
              <w:t>patstāvīgi izvēlas, analīzē un prezentē literatūras avotus, zinātniskos rakstus un atziņas, kas publicētas periodikas izdevumos par lekcijā aplūkoto tēmu.</w:t>
            </w:r>
          </w:p>
          <w:p w14:paraId="5BE96AFF" w14:textId="77777777" w:rsidR="00097BEB" w:rsidRPr="00CE0307" w:rsidRDefault="00097BEB" w:rsidP="00CE0307"/>
          <w:p w14:paraId="532CDD31" w14:textId="67B7121F" w:rsidR="00CE0307" w:rsidRDefault="00CE0307" w:rsidP="00CE0307">
            <w:r w:rsidRPr="00CE0307">
              <w:t>5. Valodas analīze un izpratne: Galvenās stratēģijas un pieejas valodas apguvēja zināšanu attīstīšanai. P 6, Pd 16</w:t>
            </w:r>
          </w:p>
          <w:p w14:paraId="753F0ABF" w14:textId="4F359B5A" w:rsidR="00097BEB" w:rsidRDefault="00097BEB" w:rsidP="00CE0307">
            <w:r w:rsidRPr="00097BEB">
              <w:t>Studējošā patstāvīgais darbs:</w:t>
            </w:r>
            <w:r>
              <w:t xml:space="preserve"> Ar valodu saistīti uzdevumi. Valodas analīze mācīšanai. M</w:t>
            </w:r>
            <w:r w:rsidRPr="00097BEB">
              <w:t xml:space="preserve">etodiskā materiāla gramatikas, vārdu krājuma un fonētikas apguvei izstrāde, </w:t>
            </w:r>
            <w:r w:rsidR="00272E2D">
              <w:t xml:space="preserve">tā </w:t>
            </w:r>
            <w:r w:rsidRPr="00097BEB">
              <w:t>prezentācija un apspriešana</w:t>
            </w:r>
            <w:r>
              <w:t xml:space="preserve"> e-studiju platformā Moodle. Pašvērtējums. Atgriezeniskās saites nodrošināšana un iegūšana.</w:t>
            </w:r>
          </w:p>
          <w:p w14:paraId="24FB5AA3" w14:textId="1505AE1D" w:rsidR="00097BEB" w:rsidRDefault="00097BEB" w:rsidP="00CE0307"/>
          <w:p w14:paraId="15F5386C" w14:textId="50279291" w:rsidR="00097BEB" w:rsidRDefault="00097BEB" w:rsidP="00CE0307">
            <w:r>
              <w:t>STARPPĀRBAUDĪJUMS nr.1: metodiskā materiāla gramatikas, vārdu krājuma un fonētikas apguvei izstrāde, prezentācija un apspriešana.</w:t>
            </w:r>
          </w:p>
          <w:p w14:paraId="625BD808" w14:textId="77777777" w:rsidR="00097BEB" w:rsidRPr="00CE0307" w:rsidRDefault="00097BEB" w:rsidP="00CE0307"/>
          <w:p w14:paraId="7B2E74DE" w14:textId="5ED80FFD" w:rsidR="00CE0307" w:rsidRDefault="00CE0307" w:rsidP="00CE0307">
            <w:r w:rsidRPr="00CE0307">
              <w:t>6. Valodas prasmes. Lasīšana. Pamatjēdzieni un terminoloģija. Lasīšanas nolūks. Nozīmes atšifrēšana. Iespējami ierobežojumi. L 2, S 2, Pd 6</w:t>
            </w:r>
          </w:p>
          <w:p w14:paraId="21EA3687" w14:textId="20830ECE" w:rsidR="00272E2D" w:rsidRDefault="00272E2D" w:rsidP="00CE0307">
            <w:r w:rsidRPr="00272E2D">
              <w:t xml:space="preserve">Studējošā patstāvīgais darbs: </w:t>
            </w:r>
            <w:r w:rsidR="007974D3" w:rsidRPr="007974D3">
              <w:t>Ar valod</w:t>
            </w:r>
            <w:r w:rsidR="007563AD">
              <w:t xml:space="preserve">as prasmēm saistīti </w:t>
            </w:r>
            <w:r w:rsidR="007974D3" w:rsidRPr="007974D3">
              <w:t xml:space="preserve">uzdevumi. Studenti </w:t>
            </w:r>
            <w:r w:rsidRPr="00272E2D">
              <w:t>patstāvīgi izvēlas, analīzē un prezentē literatūras avotus, zinātniskos rakstus un atziņas, kas publicētas periodikas izdevumos par lekcijā aplūkoto tēmu.</w:t>
            </w:r>
          </w:p>
          <w:p w14:paraId="603281C7" w14:textId="77777777" w:rsidR="00272E2D" w:rsidRPr="00CE0307" w:rsidRDefault="00272E2D" w:rsidP="00CE0307"/>
          <w:p w14:paraId="40466135" w14:textId="223AFED8" w:rsidR="00CE0307" w:rsidRDefault="00CE0307" w:rsidP="00CE0307">
            <w:r w:rsidRPr="00CE0307">
              <w:t>7. Valodas prasmes. Klausīšanās. Pamatjēdzieni un terminoloģija. Klausīšanās nolūks. Klausīšanās tekstu iezīmes. Iespējami ierobežojumi. L 2, S 2, Pd 6</w:t>
            </w:r>
          </w:p>
          <w:p w14:paraId="4C4F7B9C" w14:textId="64BB99A7" w:rsidR="007563AD" w:rsidRDefault="007563AD" w:rsidP="00CE0307">
            <w:r w:rsidRPr="007563AD">
              <w:t>Studējošā patstāvīgais darbs: Ar valodas prasmēm saistīti uzdevumi. Studenti patstāvīgi izvēlas, analīzē un prezentē literatūras avotus, zinātniskos rakstus un atziņas, kas publicētas periodikas izdevumos par lekcijā aplūkoto tēmu.</w:t>
            </w:r>
          </w:p>
          <w:p w14:paraId="0C028B64" w14:textId="77777777" w:rsidR="007563AD" w:rsidRPr="00CE0307" w:rsidRDefault="007563AD" w:rsidP="00CE0307"/>
          <w:p w14:paraId="670C1222" w14:textId="5FBF4F0A" w:rsidR="00CE0307" w:rsidRDefault="00CE0307" w:rsidP="00CE0307">
            <w:r w:rsidRPr="00CE0307">
              <w:t>8. Valodas prasmes. Runāšana. Pamatjēdzieni un terminoloģija. Mutvārdu angļu valodas iezīmes. Valodas funkcijas. Paralingvistiskās iezīmes. Fonēmiskās sistēmas. L 2, S 2, Pd 6</w:t>
            </w:r>
          </w:p>
          <w:p w14:paraId="3059D586" w14:textId="77777777" w:rsidR="007563AD" w:rsidRPr="007563AD" w:rsidRDefault="007563AD" w:rsidP="007563AD">
            <w:r w:rsidRPr="007563AD">
              <w:t>Studējošā patstāvīgais darbs: Ar valodas prasmēm saistīti uzdevumi. Studenti patstāvīgi izvēlas, analīzē un prezentē literatūras avotus, zinātniskos rakstus un atziņas, kas publicētas periodikas izdevumos par lekcijā aplūkoto tēmu.</w:t>
            </w:r>
          </w:p>
          <w:p w14:paraId="5520810F" w14:textId="01614FAC" w:rsidR="00CE0307" w:rsidRDefault="00CE0307" w:rsidP="00CE0307">
            <w:bookmarkStart w:id="0" w:name="_GoBack"/>
            <w:bookmarkEnd w:id="0"/>
            <w:r w:rsidRPr="00CE0307">
              <w:lastRenderedPageBreak/>
              <w:t>9. Valodas prasmes. Rakstīšana. Pamatjēdzieni un terminoloģija. Apakšprasmes un rakstīto tesktu iezīmes. Rakstīšnas prasmes apguves soļi. Rakstītprasme. Angļu valodas pareizrakstība un punktuācija. L 2, S 2, Pd 6</w:t>
            </w:r>
          </w:p>
          <w:p w14:paraId="1C43432A" w14:textId="77777777" w:rsidR="007563AD" w:rsidRPr="007563AD" w:rsidRDefault="007563AD" w:rsidP="007563AD">
            <w:r w:rsidRPr="007563AD">
              <w:t>Studējošā patstāvīgais darbs: Ar valodas prasmēm saistīti uzdevumi. Studenti patstāvīgi izvēlas, analīzē un prezentē literatūras avotus, zinātniskos rakstus un atziņas, kas publicētas periodikas izdevumos par lekcijā aplūkoto tēmu.</w:t>
            </w:r>
          </w:p>
          <w:p w14:paraId="0D3A32BC" w14:textId="77777777" w:rsidR="007563AD" w:rsidRPr="00CE0307" w:rsidRDefault="007563AD" w:rsidP="00CE0307"/>
          <w:p w14:paraId="5B040D11" w14:textId="61F78157" w:rsidR="00CE0307" w:rsidRDefault="00CE0307" w:rsidP="00CE0307">
            <w:r w:rsidRPr="00CE0307">
              <w:t>10. Galvenās stratēģijas un pieejas valodas apguvēja receptīvo un produktīvo prasmju attīstīšanai. P 8, Pd 12</w:t>
            </w:r>
          </w:p>
          <w:p w14:paraId="4D20214E" w14:textId="5C265572" w:rsidR="007563AD" w:rsidRPr="007563AD" w:rsidRDefault="007563AD" w:rsidP="007563AD">
            <w:r w:rsidRPr="007563AD">
              <w:t>Studējošā patstāvīgais darbs: Ar valod</w:t>
            </w:r>
            <w:r>
              <w:t>as prasmēm saistīti</w:t>
            </w:r>
            <w:r w:rsidRPr="007563AD">
              <w:t xml:space="preserve"> uzdevumi. Metodiskā materiāla </w:t>
            </w:r>
            <w:r>
              <w:t>lasīšanas, klausīšanās, runāšanas</w:t>
            </w:r>
            <w:r w:rsidRPr="007563AD">
              <w:t xml:space="preserve"> un </w:t>
            </w:r>
            <w:r>
              <w:t>rakstīšanas prasmju</w:t>
            </w:r>
            <w:r w:rsidRPr="007563AD">
              <w:t xml:space="preserve"> apguvei izstrāde, tā prezentācija un apspriešana e-studiju platformā Moodle. Pašvērtējums. Atgriezeniskās saites nodrošināšana un iegūšana.</w:t>
            </w:r>
          </w:p>
          <w:p w14:paraId="64AA91AA" w14:textId="77777777" w:rsidR="007563AD" w:rsidRPr="007563AD" w:rsidRDefault="007563AD" w:rsidP="007563AD"/>
          <w:p w14:paraId="6F29D426" w14:textId="0C0654F6" w:rsidR="007563AD" w:rsidRDefault="007563AD" w:rsidP="007563AD">
            <w:r w:rsidRPr="007563AD">
              <w:t>STARPPĀRBAUDĪJUMS nr.</w:t>
            </w:r>
            <w:r w:rsidR="00F4171B">
              <w:t>2</w:t>
            </w:r>
            <w:r w:rsidRPr="007563AD">
              <w:t xml:space="preserve">: </w:t>
            </w:r>
            <w:r w:rsidR="00043C7C" w:rsidRPr="00043C7C">
              <w:t>Metodiskā materiāla lasīšanas, klausīšanās, runāšanas un rakstīšanas prasmju apguvei izstrāde, tā prezentācija un apspriešana</w:t>
            </w:r>
            <w:r w:rsidRPr="007563AD">
              <w:t>.</w:t>
            </w:r>
          </w:p>
          <w:p w14:paraId="142DE338" w14:textId="77777777" w:rsidR="007563AD" w:rsidRPr="00CE0307" w:rsidRDefault="007563AD" w:rsidP="00CE0307"/>
          <w:p w14:paraId="1C052E34" w14:textId="77777777" w:rsidR="00525213" w:rsidRDefault="00CE0307" w:rsidP="007534EA">
            <w:r w:rsidRPr="00CE0307">
              <w:t>11. Plānošana un resursi dažādiem mācīšanas kontekstiem. Efektīvas plānošanas principi angļu valodas apguvei. Efektīvas mācību stundas plānošanas principi. Materiālu un resursu atlase, pielāgošana un izvērtēšana plānošanā (ieskaitot datoru un citu tehnoloģiju balstītus resursus). L 4, S 4, P 4, Pd 16</w:t>
            </w:r>
          </w:p>
          <w:p w14:paraId="340B84F4" w14:textId="3FA37781" w:rsidR="00525213" w:rsidRDefault="0017476D" w:rsidP="007534EA">
            <w:r w:rsidRPr="0017476D">
              <w:t>Studējošā patstāvīgais darbs:</w:t>
            </w:r>
            <w:r>
              <w:t xml:space="preserve"> Stundu plāna izstrāde, atlasot, pielāgojot un veidojot to attiecīgam mācīšanās kontekstam. Izstrādātā stundas plāna </w:t>
            </w:r>
            <w:r w:rsidRPr="0017476D">
              <w:t>prezentācija un apspriešana e-studiju platformā Moodle. Pašvērtējums. Atgriezeniskās saites nodrošināšana un iegūšana.</w:t>
            </w:r>
          </w:p>
          <w:p w14:paraId="280EABBB" w14:textId="77777777" w:rsidR="00525213" w:rsidRDefault="00525213" w:rsidP="007534EA"/>
          <w:p w14:paraId="119700E1" w14:textId="7F7F83B0" w:rsidR="00525213" w:rsidRPr="0093308E" w:rsidRDefault="0017476D" w:rsidP="007534EA">
            <w:r>
              <w:t>STARPPĀRBAUDĪJUMS nr. 3</w:t>
            </w:r>
            <w:r w:rsidR="005F3A5C">
              <w:t>: s</w:t>
            </w:r>
            <w:r w:rsidR="005F3A5C" w:rsidRPr="005F3A5C">
              <w:t xml:space="preserve">tundu plāna izstrāde, </w:t>
            </w:r>
            <w:r w:rsidR="005F3A5C">
              <w:t>prezentācija un apspriešana.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33065CD9" w14:textId="77777777" w:rsidR="00FA1ABD" w:rsidRPr="00FA1ABD" w:rsidRDefault="00FA1ABD" w:rsidP="00FA1ABD">
            <w:permStart w:id="580019727" w:edGrp="everyone"/>
            <w:r w:rsidRPr="00FA1ABD">
              <w:t>1. Harmer, J. (2019). The Practice of English Language Teaching. 5th ed., 8th. imp. Harlow: Pearson Education Limited.</w:t>
            </w:r>
          </w:p>
          <w:p w14:paraId="1624BD30" w14:textId="77777777" w:rsidR="00FA1ABD" w:rsidRPr="00FA1ABD" w:rsidRDefault="00FA1ABD" w:rsidP="00FA1ABD">
            <w:r w:rsidRPr="00FA1ABD">
              <w:t>2. Larsen-Freeman, D., Anderson, M. (2015). Techniques in Language Teaching. 3rd Edition. Oxford: Oxford University Press.</w:t>
            </w:r>
          </w:p>
          <w:p w14:paraId="579C65A1" w14:textId="1A7A9170" w:rsidR="00525213" w:rsidRPr="0093308E" w:rsidRDefault="00FA1ABD" w:rsidP="007534EA">
            <w:r w:rsidRPr="00FA1ABD">
              <w:t>3. Thornbury, S. (2017). The New A-Z of ELT. 3rd ed. Oxford: Macmillan Education.</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223DDB6D" w14:textId="77777777" w:rsidR="003A0793" w:rsidRPr="003A0793" w:rsidRDefault="003A0793" w:rsidP="003A0793">
            <w:permStart w:id="1596548908" w:edGrp="everyone"/>
            <w:r w:rsidRPr="003A0793">
              <w:t>1. Dudeney, G., Hockly, N. (2007). How to Teach English with Technology. Pearson Education ESL.</w:t>
            </w:r>
          </w:p>
          <w:p w14:paraId="3A179946" w14:textId="77777777" w:rsidR="003A0793" w:rsidRPr="003A0793" w:rsidRDefault="003A0793" w:rsidP="003A0793">
            <w:r w:rsidRPr="003A0793">
              <w:t>2. Harmer, J. (2004). How to Teach Writing. Pearson Education ESL.</w:t>
            </w:r>
          </w:p>
          <w:p w14:paraId="365FE082" w14:textId="77777777" w:rsidR="003A0793" w:rsidRPr="003A0793" w:rsidRDefault="003A0793" w:rsidP="003A0793">
            <w:r w:rsidRPr="003A0793">
              <w:t>3. Kelly, G. (2006). How to Teach Pronunciation. Pearson Education ESL.</w:t>
            </w:r>
          </w:p>
          <w:p w14:paraId="1734990C" w14:textId="77777777" w:rsidR="003A0793" w:rsidRPr="003A0793" w:rsidRDefault="003A0793" w:rsidP="003A0793">
            <w:r w:rsidRPr="003A0793">
              <w:t>4. Liepa, S., Semeņeca, J., Oļehnoviča, I. (2021). Gamification in education: a case study of using gamification in the acquisition of English verb tenses. EDULEARN21 Proceedings. 13th International Conference on Education and New Learning Technologies (5-6 July, 2021). Online Conference.</w:t>
            </w:r>
          </w:p>
          <w:p w14:paraId="57E00F37" w14:textId="77777777" w:rsidR="003A0793" w:rsidRPr="003A0793" w:rsidRDefault="003A0793" w:rsidP="003A0793">
            <w:r w:rsidRPr="003A0793">
              <w:t>5. Oļehnoviča, I., Liepa, S., Dilba, V. (2021). Tertiary education students’ attitude to distance learning and E-platforms and tools for its implementation. EDULEARN21 Proceedings. 13th International Conference on Education and New Learning Technologies (5-6 July, 2021). Online Conference.</w:t>
            </w:r>
          </w:p>
          <w:p w14:paraId="49B4911D" w14:textId="77777777" w:rsidR="003A0793" w:rsidRPr="003A0793" w:rsidRDefault="003A0793" w:rsidP="003A0793">
            <w:r w:rsidRPr="003A0793">
              <w:t>6. Penny Ur. (2012). A course in English language teaching. 2nd ed. Cambridge: Cambridge University Press.</w:t>
            </w:r>
          </w:p>
          <w:p w14:paraId="2F2FE119" w14:textId="77777777" w:rsidR="003A0793" w:rsidRPr="003A0793" w:rsidRDefault="003A0793" w:rsidP="003A0793">
            <w:r w:rsidRPr="003A0793">
              <w:t>7. Richards J.C. (2017) Curriculum Development in Language Teaching. 2nd ed. Cambridge: Cambridge University Press.</w:t>
            </w:r>
          </w:p>
          <w:p w14:paraId="5ADB5492" w14:textId="77777777" w:rsidR="003A0793" w:rsidRPr="003A0793" w:rsidRDefault="003A0793" w:rsidP="003A0793">
            <w:r w:rsidRPr="003A0793">
              <w:lastRenderedPageBreak/>
              <w:t>8. Scrivener, J. (2014). Cambridge Handbooks for Language Teachers: Classroom Management Techniques. Cambridge: Cambridge University Press.</w:t>
            </w:r>
          </w:p>
          <w:p w14:paraId="2B4852BC" w14:textId="77777777" w:rsidR="003A0793" w:rsidRPr="003A0793" w:rsidRDefault="003A0793" w:rsidP="003A0793">
            <w:r w:rsidRPr="003A0793">
              <w:t>9. Scrivener, J. (2011). Learning Teaching. 3rd ed. Oxford: Macmillan Education.</w:t>
            </w:r>
          </w:p>
          <w:p w14:paraId="109ACD24" w14:textId="77777777" w:rsidR="003A0793" w:rsidRPr="003A0793" w:rsidRDefault="003A0793" w:rsidP="003A0793">
            <w:r w:rsidRPr="003A0793">
              <w:t>10. Scrivener, J. (2010). Teaching English Grammar. Oxford: Macmillan Education.</w:t>
            </w:r>
          </w:p>
          <w:p w14:paraId="1DBCA590" w14:textId="77777777" w:rsidR="003A0793" w:rsidRPr="003A0793" w:rsidRDefault="003A0793" w:rsidP="003A0793">
            <w:r w:rsidRPr="003A0793">
              <w:t>11. Semeņeca J., Liepa S., Oļehnoviča I. (2021) Use of authentic videos for developing transversal skills in secondary school EFL classroom. EDULEARN21 Proceedings. 13th International Conference on Education and New Learning Technologies (5-6 July, 2021). Online Conference.</w:t>
            </w:r>
          </w:p>
          <w:p w14:paraId="692843BA" w14:textId="77777777" w:rsidR="003A0793" w:rsidRPr="003A0793" w:rsidRDefault="003A0793" w:rsidP="003A0793">
            <w:r w:rsidRPr="003A0793">
              <w:t>12. Sharma P., Barrett B., Jones F., Underhill A. (2011). 400 Ideas for Interactive Whiteboards. Oxford: Macmillan Education.</w:t>
            </w:r>
          </w:p>
          <w:p w14:paraId="48BB1C2C" w14:textId="77777777" w:rsidR="003A0793" w:rsidRPr="003A0793" w:rsidRDefault="003A0793" w:rsidP="003A0793">
            <w:r w:rsidRPr="003A0793">
              <w:t>13. Thornbury, S. (2005). How to Teach Speaking. Pearson Education ESL.</w:t>
            </w:r>
          </w:p>
          <w:p w14:paraId="4D34A983" w14:textId="77777777" w:rsidR="003A0793" w:rsidRPr="003A0793" w:rsidRDefault="003A0793" w:rsidP="003A0793">
            <w:r w:rsidRPr="003A0793">
              <w:t>14. Thornbury, S. (2002). How to Teach Vocabulary. Pearson Education ESL.</w:t>
            </w:r>
          </w:p>
          <w:p w14:paraId="52226813" w14:textId="7857E525" w:rsidR="00525213" w:rsidRPr="0093308E" w:rsidRDefault="003A0793" w:rsidP="007534EA">
            <w:r w:rsidRPr="003A0793">
              <w:t>15. Wilson, J.J. (2008). How to Teach Listening. Pearson Longman.</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7FC50D82" w14:textId="77777777" w:rsidR="00A867E9" w:rsidRPr="00A867E9" w:rsidRDefault="00A867E9" w:rsidP="00A867E9">
            <w:pPr>
              <w:rPr>
                <w:rStyle w:val="Hyperlink"/>
              </w:rPr>
            </w:pPr>
            <w:permStart w:id="2104519286" w:edGrp="everyone"/>
            <w:r w:rsidRPr="00A867E9">
              <w:t xml:space="preserve">1. Common European framework of reference for languages: learning, teaching, assessment companion volume with new descriptors (2020). Available online at: </w:t>
            </w:r>
            <w:hyperlink r:id="rId8" w:history="1">
              <w:r w:rsidRPr="00A867E9">
                <w:rPr>
                  <w:rStyle w:val="Hyperlink"/>
                </w:rPr>
                <w:t>https://rm.coe.int/common-european-framework-of-reference-for-languages-learning-teaching/16809ea0d4</w:t>
              </w:r>
            </w:hyperlink>
          </w:p>
          <w:p w14:paraId="45A43A0C" w14:textId="77777777" w:rsidR="00A867E9" w:rsidRPr="00A867E9" w:rsidRDefault="00A867E9" w:rsidP="00A867E9">
            <w:r w:rsidRPr="00A867E9">
              <w:t xml:space="preserve">2. Oxford Academic. ELT Journal. Available online at: </w:t>
            </w:r>
            <w:hyperlink r:id="rId9" w:history="1">
              <w:r w:rsidRPr="00A867E9">
                <w:rPr>
                  <w:rStyle w:val="Hyperlink"/>
                </w:rPr>
                <w:t>https://academic.oup.com/eltj</w:t>
              </w:r>
            </w:hyperlink>
            <w:r w:rsidRPr="00A867E9">
              <w:t xml:space="preserve"> </w:t>
            </w:r>
          </w:p>
          <w:p w14:paraId="2F1F9FE9" w14:textId="4853C815" w:rsidR="00525213" w:rsidRPr="0093308E" w:rsidRDefault="00A867E9" w:rsidP="007534EA">
            <w:r w:rsidRPr="00A867E9">
              <w:t xml:space="preserve">3. European-American Journals. International Journal of English Language Teaching (IJELT). Available online at: </w:t>
            </w:r>
            <w:hyperlink r:id="rId10" w:history="1">
              <w:r w:rsidRPr="00A867E9">
                <w:rPr>
                  <w:rStyle w:val="Hyperlink"/>
                </w:rPr>
                <w:t>https://www.eajournals.org/journals/international-journal-of-english-language-teaching-ijelt/</w:t>
              </w:r>
            </w:hyperlink>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B6D01C6" w:rsidR="00525213" w:rsidRPr="0093308E" w:rsidRDefault="00A867E9" w:rsidP="007534EA">
            <w:permStart w:id="1906538136" w:edGrp="everyone"/>
            <w:r>
              <w:t>Studiju kurss tiek docēts un apgūts angļu valodā.</w:t>
            </w:r>
            <w:permEnd w:id="1906538136"/>
          </w:p>
        </w:tc>
      </w:tr>
    </w:tbl>
    <w:p w14:paraId="76D23615" w14:textId="77777777" w:rsidR="0059171A" w:rsidRPr="00E13AEA" w:rsidRDefault="0059171A" w:rsidP="007534EA"/>
    <w:sectPr w:rsidR="0059171A" w:rsidRPr="00E13AEA" w:rsidSect="004A560D">
      <w:headerReference w:type="default" r:id="rId11"/>
      <w:footerReference w:type="default" r:id="rId1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E2823" w14:textId="77777777" w:rsidR="00F5701E" w:rsidRDefault="00F5701E" w:rsidP="007534EA">
      <w:r>
        <w:separator/>
      </w:r>
    </w:p>
  </w:endnote>
  <w:endnote w:type="continuationSeparator" w:id="0">
    <w:p w14:paraId="570309B1" w14:textId="77777777" w:rsidR="00F5701E" w:rsidRDefault="00F5701E"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CAAFB" w14:textId="77777777" w:rsidR="00F5701E" w:rsidRDefault="00F5701E" w:rsidP="007534EA">
      <w:r>
        <w:separator/>
      </w:r>
    </w:p>
  </w:footnote>
  <w:footnote w:type="continuationSeparator" w:id="0">
    <w:p w14:paraId="49774AC9" w14:textId="77777777" w:rsidR="00F5701E" w:rsidRDefault="00F5701E"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A8F1B03"/>
    <w:multiLevelType w:val="multilevel"/>
    <w:tmpl w:val="91BEA04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4F31C8"/>
    <w:multiLevelType w:val="hybridMultilevel"/>
    <w:tmpl w:val="22DE0EFA"/>
    <w:lvl w:ilvl="0" w:tplc="214CE24A">
      <w:start w:val="5"/>
      <w:numFmt w:val="bullet"/>
      <w:lvlText w:val="-"/>
      <w:lvlJc w:val="left"/>
      <w:pPr>
        <w:ind w:left="720" w:hanging="360"/>
      </w:pPr>
      <w:rPr>
        <w:rFonts w:ascii="Times New Roman" w:eastAsia="Calibri" w:hAnsi="Times New Roman" w:cs="Times New Roman" w:hint="default"/>
        <w:color w:val="4472C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6"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EF0"/>
    <w:rsid w:val="00043C7C"/>
    <w:rsid w:val="000516E5"/>
    <w:rsid w:val="00057199"/>
    <w:rsid w:val="00057F5E"/>
    <w:rsid w:val="00065577"/>
    <w:rsid w:val="0006606E"/>
    <w:rsid w:val="000718FB"/>
    <w:rsid w:val="00072D7F"/>
    <w:rsid w:val="00082FD0"/>
    <w:rsid w:val="00083D51"/>
    <w:rsid w:val="00092451"/>
    <w:rsid w:val="00097BEB"/>
    <w:rsid w:val="000A2D8D"/>
    <w:rsid w:val="000A4413"/>
    <w:rsid w:val="000B541D"/>
    <w:rsid w:val="000D275C"/>
    <w:rsid w:val="000D281F"/>
    <w:rsid w:val="000E0EF8"/>
    <w:rsid w:val="000E62D2"/>
    <w:rsid w:val="000F31B0"/>
    <w:rsid w:val="00124650"/>
    <w:rsid w:val="00125F2F"/>
    <w:rsid w:val="00126789"/>
    <w:rsid w:val="00131128"/>
    <w:rsid w:val="0017476D"/>
    <w:rsid w:val="0019467B"/>
    <w:rsid w:val="001B09E9"/>
    <w:rsid w:val="001B5F63"/>
    <w:rsid w:val="001C40BD"/>
    <w:rsid w:val="001C5466"/>
    <w:rsid w:val="001C7E96"/>
    <w:rsid w:val="001D68F3"/>
    <w:rsid w:val="001E010A"/>
    <w:rsid w:val="001E37E7"/>
    <w:rsid w:val="001E528B"/>
    <w:rsid w:val="001F53B5"/>
    <w:rsid w:val="00211AC3"/>
    <w:rsid w:val="00212071"/>
    <w:rsid w:val="002177C1"/>
    <w:rsid w:val="00232205"/>
    <w:rsid w:val="00240D9B"/>
    <w:rsid w:val="00243CC0"/>
    <w:rsid w:val="00257890"/>
    <w:rsid w:val="00272E2D"/>
    <w:rsid w:val="002831C0"/>
    <w:rsid w:val="002C1B85"/>
    <w:rsid w:val="002C1EA4"/>
    <w:rsid w:val="002D26FA"/>
    <w:rsid w:val="002E1D5A"/>
    <w:rsid w:val="002E5F8E"/>
    <w:rsid w:val="00300185"/>
    <w:rsid w:val="00303975"/>
    <w:rsid w:val="003242B3"/>
    <w:rsid w:val="003266A0"/>
    <w:rsid w:val="00337CF9"/>
    <w:rsid w:val="003629CF"/>
    <w:rsid w:val="00367DDE"/>
    <w:rsid w:val="003826FF"/>
    <w:rsid w:val="00384975"/>
    <w:rsid w:val="00386DE3"/>
    <w:rsid w:val="00391185"/>
    <w:rsid w:val="00391B74"/>
    <w:rsid w:val="003A0793"/>
    <w:rsid w:val="003A0FC1"/>
    <w:rsid w:val="003A2A8D"/>
    <w:rsid w:val="003A3AAE"/>
    <w:rsid w:val="003A4392"/>
    <w:rsid w:val="003B7D44"/>
    <w:rsid w:val="003E27B3"/>
    <w:rsid w:val="003E4234"/>
    <w:rsid w:val="003E71D7"/>
    <w:rsid w:val="003F3E33"/>
    <w:rsid w:val="003F4CAE"/>
    <w:rsid w:val="00404737"/>
    <w:rsid w:val="00406A60"/>
    <w:rsid w:val="0041505D"/>
    <w:rsid w:val="004255EF"/>
    <w:rsid w:val="00436A2B"/>
    <w:rsid w:val="00446FAA"/>
    <w:rsid w:val="004520EF"/>
    <w:rsid w:val="004537CD"/>
    <w:rsid w:val="004633B3"/>
    <w:rsid w:val="00482FC2"/>
    <w:rsid w:val="0049086B"/>
    <w:rsid w:val="00496691"/>
    <w:rsid w:val="004A20FF"/>
    <w:rsid w:val="004A560D"/>
    <w:rsid w:val="004A57E0"/>
    <w:rsid w:val="004B5043"/>
    <w:rsid w:val="004D22E2"/>
    <w:rsid w:val="004D356E"/>
    <w:rsid w:val="004E485A"/>
    <w:rsid w:val="004F15FD"/>
    <w:rsid w:val="004F5B70"/>
    <w:rsid w:val="00515EA9"/>
    <w:rsid w:val="005226EC"/>
    <w:rsid w:val="00522D4B"/>
    <w:rsid w:val="00525213"/>
    <w:rsid w:val="0052677A"/>
    <w:rsid w:val="00533C29"/>
    <w:rsid w:val="00543742"/>
    <w:rsid w:val="00544B54"/>
    <w:rsid w:val="00552314"/>
    <w:rsid w:val="005634FA"/>
    <w:rsid w:val="00566BA6"/>
    <w:rsid w:val="00576867"/>
    <w:rsid w:val="00583E0B"/>
    <w:rsid w:val="0059171A"/>
    <w:rsid w:val="005C6853"/>
    <w:rsid w:val="005D48F2"/>
    <w:rsid w:val="005E5E8A"/>
    <w:rsid w:val="005F3A5C"/>
    <w:rsid w:val="00606976"/>
    <w:rsid w:val="00612759"/>
    <w:rsid w:val="00632863"/>
    <w:rsid w:val="00655E76"/>
    <w:rsid w:val="00656B02"/>
    <w:rsid w:val="00660967"/>
    <w:rsid w:val="00667018"/>
    <w:rsid w:val="0069338F"/>
    <w:rsid w:val="00697EEE"/>
    <w:rsid w:val="006C0C68"/>
    <w:rsid w:val="006C517B"/>
    <w:rsid w:val="006E1AA5"/>
    <w:rsid w:val="007018EF"/>
    <w:rsid w:val="00711268"/>
    <w:rsid w:val="0071552B"/>
    <w:rsid w:val="0072031C"/>
    <w:rsid w:val="00724ECA"/>
    <w:rsid w:val="00727A88"/>
    <w:rsid w:val="00732EA4"/>
    <w:rsid w:val="00732F99"/>
    <w:rsid w:val="00734FE2"/>
    <w:rsid w:val="0073718F"/>
    <w:rsid w:val="00752671"/>
    <w:rsid w:val="007534EA"/>
    <w:rsid w:val="007563AD"/>
    <w:rsid w:val="0076689C"/>
    <w:rsid w:val="00773562"/>
    <w:rsid w:val="0078238C"/>
    <w:rsid w:val="007901C7"/>
    <w:rsid w:val="007974D3"/>
    <w:rsid w:val="007B1FB4"/>
    <w:rsid w:val="007D4849"/>
    <w:rsid w:val="007D690A"/>
    <w:rsid w:val="007D6F15"/>
    <w:rsid w:val="007F2A5B"/>
    <w:rsid w:val="00815FAB"/>
    <w:rsid w:val="008231E1"/>
    <w:rsid w:val="00827C96"/>
    <w:rsid w:val="00830DB0"/>
    <w:rsid w:val="0083651C"/>
    <w:rsid w:val="008377E7"/>
    <w:rsid w:val="00841180"/>
    <w:rsid w:val="008727DA"/>
    <w:rsid w:val="00873B83"/>
    <w:rsid w:val="0087428B"/>
    <w:rsid w:val="00877B26"/>
    <w:rsid w:val="00884C63"/>
    <w:rsid w:val="008869E1"/>
    <w:rsid w:val="00886F2E"/>
    <w:rsid w:val="008B030A"/>
    <w:rsid w:val="008B7213"/>
    <w:rsid w:val="008C08CE"/>
    <w:rsid w:val="008C1A35"/>
    <w:rsid w:val="008C7627"/>
    <w:rsid w:val="008D14A0"/>
    <w:rsid w:val="00900DC9"/>
    <w:rsid w:val="0091510D"/>
    <w:rsid w:val="00916D56"/>
    <w:rsid w:val="0093308E"/>
    <w:rsid w:val="00956B66"/>
    <w:rsid w:val="009613C9"/>
    <w:rsid w:val="00966D4F"/>
    <w:rsid w:val="00977BBE"/>
    <w:rsid w:val="00977E76"/>
    <w:rsid w:val="00982C4A"/>
    <w:rsid w:val="009904CC"/>
    <w:rsid w:val="009A7DE8"/>
    <w:rsid w:val="009B0DA7"/>
    <w:rsid w:val="009B6AF5"/>
    <w:rsid w:val="009D350C"/>
    <w:rsid w:val="00A00CBC"/>
    <w:rsid w:val="00A120DE"/>
    <w:rsid w:val="00A1665A"/>
    <w:rsid w:val="00A173A5"/>
    <w:rsid w:val="00A30254"/>
    <w:rsid w:val="00A30C86"/>
    <w:rsid w:val="00A6366E"/>
    <w:rsid w:val="00A77980"/>
    <w:rsid w:val="00A8127C"/>
    <w:rsid w:val="00A847D5"/>
    <w:rsid w:val="00A867E9"/>
    <w:rsid w:val="00AA0800"/>
    <w:rsid w:val="00AA5194"/>
    <w:rsid w:val="00AD4584"/>
    <w:rsid w:val="00B139F9"/>
    <w:rsid w:val="00B13A71"/>
    <w:rsid w:val="00B159DE"/>
    <w:rsid w:val="00B36DCD"/>
    <w:rsid w:val="00B53309"/>
    <w:rsid w:val="00B61706"/>
    <w:rsid w:val="00B74D7E"/>
    <w:rsid w:val="00B76DDB"/>
    <w:rsid w:val="00B93541"/>
    <w:rsid w:val="00B959C2"/>
    <w:rsid w:val="00BA06EC"/>
    <w:rsid w:val="00BB0A32"/>
    <w:rsid w:val="00BB1515"/>
    <w:rsid w:val="00BB3CCC"/>
    <w:rsid w:val="00BC1FA7"/>
    <w:rsid w:val="00BC5298"/>
    <w:rsid w:val="00BD2D0D"/>
    <w:rsid w:val="00BD2F39"/>
    <w:rsid w:val="00BD6CFA"/>
    <w:rsid w:val="00BE0454"/>
    <w:rsid w:val="00BE3226"/>
    <w:rsid w:val="00BE6F4B"/>
    <w:rsid w:val="00BF2CA5"/>
    <w:rsid w:val="00C02152"/>
    <w:rsid w:val="00C06D10"/>
    <w:rsid w:val="00C22293"/>
    <w:rsid w:val="00C2381A"/>
    <w:rsid w:val="00C26F3E"/>
    <w:rsid w:val="00C53F7F"/>
    <w:rsid w:val="00C543D4"/>
    <w:rsid w:val="00C73DD5"/>
    <w:rsid w:val="00C91DAC"/>
    <w:rsid w:val="00CB7B41"/>
    <w:rsid w:val="00CC06B2"/>
    <w:rsid w:val="00CD1241"/>
    <w:rsid w:val="00CE0307"/>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25D61"/>
    <w:rsid w:val="00E3236B"/>
    <w:rsid w:val="00E33F4D"/>
    <w:rsid w:val="00E36E84"/>
    <w:rsid w:val="00E448C5"/>
    <w:rsid w:val="00E54033"/>
    <w:rsid w:val="00E6096C"/>
    <w:rsid w:val="00E82F3C"/>
    <w:rsid w:val="00E83FA4"/>
    <w:rsid w:val="00E84A4C"/>
    <w:rsid w:val="00E93940"/>
    <w:rsid w:val="00EA0BB0"/>
    <w:rsid w:val="00EA1A34"/>
    <w:rsid w:val="00EA2E61"/>
    <w:rsid w:val="00EB14D8"/>
    <w:rsid w:val="00EB4D5A"/>
    <w:rsid w:val="00ED5B09"/>
    <w:rsid w:val="00EE16F0"/>
    <w:rsid w:val="00EE24FC"/>
    <w:rsid w:val="00EE5180"/>
    <w:rsid w:val="00EE6661"/>
    <w:rsid w:val="00F0301B"/>
    <w:rsid w:val="00F06EFB"/>
    <w:rsid w:val="00F115CB"/>
    <w:rsid w:val="00F1459F"/>
    <w:rsid w:val="00F24CB8"/>
    <w:rsid w:val="00F2581C"/>
    <w:rsid w:val="00F3263F"/>
    <w:rsid w:val="00F4171B"/>
    <w:rsid w:val="00F432B9"/>
    <w:rsid w:val="00F445F1"/>
    <w:rsid w:val="00F54D27"/>
    <w:rsid w:val="00F5701E"/>
    <w:rsid w:val="00F75719"/>
    <w:rsid w:val="00F959AE"/>
    <w:rsid w:val="00FA1ABD"/>
    <w:rsid w:val="00FA2EBF"/>
    <w:rsid w:val="00FB384B"/>
    <w:rsid w:val="00FB384F"/>
    <w:rsid w:val="00FB60E3"/>
    <w:rsid w:val="00FC31CD"/>
    <w:rsid w:val="00FD1AE9"/>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3541"/>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common-european-framework-of-reference-for-languages-learning-teaching/16809ea0d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journals.org/journals/international-journal-of-english-language-teaching-ijelt/" TargetMode="External"/><Relationship Id="rId4" Type="http://schemas.openxmlformats.org/officeDocument/2006/relationships/settings" Target="settings.xml"/><Relationship Id="rId9" Type="http://schemas.openxmlformats.org/officeDocument/2006/relationships/hyperlink" Target="https://academic.oup.com/eltj"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971889"/>
    <w:rsid w:val="00A33476"/>
    <w:rsid w:val="00A802D5"/>
    <w:rsid w:val="00A81223"/>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02C5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55165-A84F-40C6-817F-2117F6DC7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2373</Words>
  <Characters>13532</Characters>
  <Application>Microsoft Office Word</Application>
  <DocSecurity>8</DocSecurity>
  <Lines>112</Lines>
  <Paragraphs>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Solveiga Liepa</cp:lastModifiedBy>
  <cp:revision>52</cp:revision>
  <cp:lastPrinted>2018-11-16T11:31:00Z</cp:lastPrinted>
  <dcterms:created xsi:type="dcterms:W3CDTF">2022-07-10T20:34:00Z</dcterms:created>
  <dcterms:modified xsi:type="dcterms:W3CDTF">2022-07-11T20:08:00Z</dcterms:modified>
</cp:coreProperties>
</file>