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193F9C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715F7D">
              <w:t>Tulkošanas praktikums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6FB327D" w:rsidR="001E37E7" w:rsidRPr="0093308E" w:rsidRDefault="0017059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EB7BC08" w:rsidR="001E37E7" w:rsidRPr="0093308E" w:rsidRDefault="00DA146A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9DE8E4D" w:rsidR="001E37E7" w:rsidRPr="0093308E" w:rsidRDefault="00DA146A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37886AA" w:rsidR="00391B74" w:rsidRPr="0093308E" w:rsidRDefault="00DA146A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9FE02E" w:rsidR="00391B74" w:rsidRPr="0093308E" w:rsidRDefault="00DA146A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C7EF65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17B071A6" w:rsidR="00632863" w:rsidRPr="0093308E" w:rsidRDefault="00DA146A" w:rsidP="007534EA">
            <w:permStart w:id="2013095198" w:edGrp="everyone"/>
            <w:r>
              <w:t>48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7ADE94C" w:rsidR="00A8127C" w:rsidRPr="0093308E" w:rsidRDefault="00DA146A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6C17927" w:rsidR="00BB3CCC" w:rsidRPr="0093308E" w:rsidRDefault="00E20AF5" w:rsidP="007534EA">
                <w:r>
                  <w:t xml:space="preserve">   </w:t>
                </w:r>
                <w:r w:rsidR="00DA146A" w:rsidRPr="00DA146A">
                  <w:t>Andris Kazjukevičs, Mg. philol., lektors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606FBE7" w:rsidR="00FD6E2F" w:rsidRPr="007534EA" w:rsidRDefault="00532F1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DA146A" w:rsidRPr="00DA146A">
                  <w:t>Andris Kazjukevičs, Mg. philol., lektors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C0D40A" w:rsidR="00BB3CCC" w:rsidRPr="0093308E" w:rsidRDefault="00E20AF5" w:rsidP="007534EA">
            <w:permStart w:id="1804483927" w:edGrp="everyone"/>
            <w:r>
              <w:t xml:space="preserve">   </w:t>
            </w:r>
            <w:r w:rsidR="00DA146A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6C67F8D3" w:rsidR="001C5466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E958AB">
              <w:t>i</w:t>
            </w:r>
            <w:r w:rsidR="00DA146A" w:rsidRPr="00DA146A">
              <w:t>epazīstin</w:t>
            </w:r>
            <w:r w:rsidR="00DA146A">
              <w:t>āt</w:t>
            </w:r>
            <w:r w:rsidR="00DA146A" w:rsidRPr="00DA146A">
              <w:t xml:space="preserve"> ar atsevišķām teorētiskām tulkošanas problēmām, dažādu tekstu stilistiskajām, semantiskajām un tekstuālajām īpatnībām. Kursā tiek tulkoti ekonomikas, politikas, zinātnes, tehnikas u.c. teksti, kā arī instrukcijas, dokumenti, pavēles, ziņojumi, intervijas, sludinājumi, patenti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A5E4AA5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61754" w:rsidRPr="00A61754">
              <w:rPr>
                <w:lang w:eastAsia="ru-RU"/>
              </w:rPr>
              <w:t xml:space="preserve">apgūt tulkošanas teorijas metodes un izmantot tās, tulkojot </w:t>
            </w:r>
            <w:r w:rsidR="00A61754">
              <w:t>dažadas</w:t>
            </w:r>
            <w:r w:rsidR="00A61754" w:rsidRPr="00A61754">
              <w:rPr>
                <w:lang w:eastAsia="ru-RU"/>
              </w:rPr>
              <w:t xml:space="preserve"> pakāpes tekstus</w:t>
            </w:r>
          </w:p>
          <w:p w14:paraId="74E5886F" w14:textId="53B83DBF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A61754" w:rsidRPr="00A61754">
              <w:rPr>
                <w:lang w:eastAsia="ru-RU"/>
              </w:rPr>
              <w:t>apgūt terminoloģijas tulkošanas paņēmienus</w:t>
            </w:r>
          </w:p>
          <w:p w14:paraId="5E25A778" w14:textId="63F5B537" w:rsidR="00A61754" w:rsidRDefault="00A61754" w:rsidP="008B7213">
            <w:r>
              <w:t xml:space="preserve">- </w:t>
            </w:r>
            <w:r w:rsidRPr="00A61754">
              <w:t>identificēt tulkošanas problēmas un risināt tās</w:t>
            </w:r>
          </w:p>
          <w:p w14:paraId="6435EF5F" w14:textId="4F4C8D09" w:rsidR="00A61754" w:rsidRPr="008B7213" w:rsidRDefault="00A61754" w:rsidP="008B7213">
            <w:pPr>
              <w:rPr>
                <w:lang w:eastAsia="ru-RU"/>
              </w:rPr>
            </w:pPr>
            <w:r>
              <w:t xml:space="preserve">- </w:t>
            </w:r>
            <w:r w:rsidRPr="00A61754">
              <w:t xml:space="preserve">attīstīt tulkošanas iemaņas un prasmes, tulkojot </w:t>
            </w:r>
            <w:r>
              <w:t xml:space="preserve">dažada līmeņa </w:t>
            </w:r>
            <w:r w:rsidRPr="00A61754">
              <w:t>tekstus</w:t>
            </w:r>
          </w:p>
          <w:p w14:paraId="1090AECB" w14:textId="77777777" w:rsidR="008B7213" w:rsidRPr="008B7213" w:rsidRDefault="008B7213" w:rsidP="008B7213"/>
          <w:p w14:paraId="59702CEF" w14:textId="35F7CAF3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E958AB">
              <w:t>ē</w:t>
            </w:r>
            <w:r w:rsidRPr="008B030A">
              <w:t>tāja  norād</w:t>
            </w:r>
            <w:r w:rsidR="00E958AB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FE5BF50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EF0764">
              <w:t>16</w:t>
            </w:r>
            <w:r>
              <w:t xml:space="preserve"> st.,  semināri  </w:t>
            </w:r>
            <w:r w:rsidR="00EF0764">
              <w:t>48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EF0764">
              <w:t>96</w:t>
            </w:r>
            <w:r w:rsidR="008B7213" w:rsidRPr="00916D56">
              <w:t>st.</w:t>
            </w:r>
          </w:p>
          <w:p w14:paraId="09163411" w14:textId="7E31ADDE" w:rsidR="008B7213" w:rsidRDefault="00916D56" w:rsidP="008B7213">
            <w:r>
              <w:t>1.</w:t>
            </w:r>
            <w:r w:rsidR="00E958AB">
              <w:t xml:space="preserve"> </w:t>
            </w:r>
            <w:r w:rsidR="00715F7D">
              <w:t>Praktiskas tulkošanas teorētiskie aspekti</w:t>
            </w:r>
            <w:r>
              <w:t>- L</w:t>
            </w:r>
            <w:r w:rsidR="00715F7D">
              <w:t>6</w:t>
            </w:r>
            <w:r>
              <w:t>, S</w:t>
            </w:r>
            <w:r w:rsidR="00715F7D">
              <w:t>10</w:t>
            </w:r>
          </w:p>
          <w:p w14:paraId="11ED4C71" w14:textId="52E82139" w:rsidR="00916D56" w:rsidRDefault="00916D56" w:rsidP="008B7213">
            <w:r>
              <w:t>2.</w:t>
            </w:r>
            <w:r w:rsidR="00E958AB">
              <w:t xml:space="preserve"> </w:t>
            </w:r>
            <w:r w:rsidR="00715F7D">
              <w:t>Informatīvu un zinātnisku tekstu tulkošāna L2, S6</w:t>
            </w:r>
          </w:p>
          <w:p w14:paraId="6B85EFD5" w14:textId="2E4F600D" w:rsidR="00715F7D" w:rsidRDefault="00715F7D" w:rsidP="008B7213">
            <w:r>
              <w:t>3.</w:t>
            </w:r>
            <w:r w:rsidR="00E958AB">
              <w:t xml:space="preserve"> </w:t>
            </w:r>
            <w:r>
              <w:t>Ekonomiska rakstura tekstu tulkošana L2, S10</w:t>
            </w:r>
          </w:p>
          <w:p w14:paraId="777B1456" w14:textId="36248C1E" w:rsidR="00715F7D" w:rsidRDefault="00715F7D" w:rsidP="008B7213">
            <w:r>
              <w:t>4.</w:t>
            </w:r>
            <w:r w:rsidR="00E958AB">
              <w:t xml:space="preserve"> </w:t>
            </w:r>
            <w:r>
              <w:t>Publicistiska teksta tulkošana L2, S8</w:t>
            </w:r>
          </w:p>
          <w:p w14:paraId="5E0DAD93" w14:textId="6D84AAFE" w:rsidR="00715F7D" w:rsidRDefault="00715F7D" w:rsidP="008B7213">
            <w:r>
              <w:t>5. Juridisku tekstu tulkošana  L2, S2</w:t>
            </w:r>
          </w:p>
          <w:p w14:paraId="15A0C3B8" w14:textId="6676897C" w:rsidR="00715F7D" w:rsidRDefault="007333CA" w:rsidP="008B7213">
            <w:r>
              <w:t>6. Mutiskās tulkošanas principi L2, S10</w:t>
            </w:r>
          </w:p>
          <w:p w14:paraId="34EF93B5" w14:textId="26CBECDE" w:rsidR="007333CA" w:rsidRDefault="007333CA" w:rsidP="008B7213">
            <w:r>
              <w:t xml:space="preserve">7. </w:t>
            </w:r>
            <w:r w:rsidRPr="007333CA">
              <w:t>Tulkojuma vērtēšanas kritēriji S2</w:t>
            </w:r>
          </w:p>
          <w:p w14:paraId="784ACDF9" w14:textId="77777777" w:rsidR="001558F9" w:rsidRDefault="001558F9" w:rsidP="008B7213"/>
          <w:p w14:paraId="10BACA3D" w14:textId="108594B4" w:rsidR="007333CA" w:rsidRDefault="001558F9" w:rsidP="008B7213">
            <w:r>
              <w:t>S</w:t>
            </w:r>
            <w:r w:rsidRPr="001558F9">
              <w:t>tudents veic 3 kontroltulkojumus</w:t>
            </w:r>
          </w:p>
          <w:p w14:paraId="392C50AF" w14:textId="689D2930" w:rsidR="007333CA" w:rsidRDefault="007333CA" w:rsidP="007333CA">
            <w:r w:rsidRPr="007333CA">
              <w:t>1. starppārbaudījum</w:t>
            </w:r>
            <w:r w:rsidR="001558F9">
              <w:t>s</w:t>
            </w:r>
            <w:r w:rsidR="00E958AB">
              <w:t>: k</w:t>
            </w:r>
            <w:r w:rsidR="001558F9">
              <w:t>ontroltulkojums I</w:t>
            </w:r>
          </w:p>
          <w:p w14:paraId="03E6A58D" w14:textId="0532B858" w:rsidR="007333CA" w:rsidRDefault="007333CA" w:rsidP="007333CA">
            <w:r w:rsidRPr="007333CA">
              <w:t>2. starppārbaudījums</w:t>
            </w:r>
            <w:r w:rsidR="00E958AB">
              <w:t>: k</w:t>
            </w:r>
            <w:r w:rsidR="001558F9" w:rsidRPr="001558F9">
              <w:t>ontroltulkojums</w:t>
            </w:r>
            <w:r w:rsidR="001558F9">
              <w:t xml:space="preserve"> II</w:t>
            </w:r>
          </w:p>
          <w:p w14:paraId="1A4CDDFF" w14:textId="20519001" w:rsidR="00916D56" w:rsidRDefault="007333CA" w:rsidP="007534EA">
            <w:r>
              <w:t xml:space="preserve">3. </w:t>
            </w:r>
            <w:r w:rsidRPr="007333CA">
              <w:t>starppārbaudījums</w:t>
            </w:r>
            <w:r w:rsidR="00E958AB">
              <w:t>: k</w:t>
            </w:r>
            <w:r w:rsidR="001558F9" w:rsidRPr="001558F9">
              <w:t>ontroltulkojums</w:t>
            </w:r>
            <w:r w:rsidR="001558F9">
              <w:t xml:space="preserve"> III</w:t>
            </w:r>
          </w:p>
          <w:permEnd w:id="44596525"/>
          <w:p w14:paraId="36353CC6" w14:textId="34535417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6B8E0131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75796EC3" w:rsidR="007D4849" w:rsidRPr="007D4849" w:rsidRDefault="0086151C" w:rsidP="007D4849">
                      <w:r>
                        <w:t>1.</w:t>
                      </w:r>
                      <w:r w:rsidR="007D5C82">
                        <w:t xml:space="preserve">Students zin, prot </w:t>
                      </w:r>
                      <w:r w:rsidR="007D5C82" w:rsidRPr="007D5C82">
                        <w:t xml:space="preserve"> atlasīt un attiecīgi izmantot uzziņu literatūru un dažāda veida un stila nepieciešamos tulkošanas palīglīdzekļus un materiālus (vārdnīcas, internets u.c.)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D373673" w14:textId="312F4FD8" w:rsidR="007D4849" w:rsidRDefault="0086151C" w:rsidP="007D4849">
                      <w:r>
                        <w:t>2.</w:t>
                      </w:r>
                      <w:r w:rsidR="007D5C82">
                        <w:t>P</w:t>
                      </w:r>
                      <w:r w:rsidR="007D5C82" w:rsidRPr="007D5C82">
                        <w:t>rot prasmīgi realizēt teorētiski apgūtās zināšanas, tulkojot avota valodas tekstus</w:t>
                      </w:r>
                    </w:p>
                    <w:p w14:paraId="2724846A" w14:textId="2B3FFF0A" w:rsidR="007D5C82" w:rsidRDefault="0086151C" w:rsidP="007D4849">
                      <w:r>
                        <w:t>3.</w:t>
                      </w:r>
                      <w:r w:rsidR="007D5C82" w:rsidRPr="007D5C82">
                        <w:t>Spēj atpazīt stilistiskās, semantiskās, gramatiskās un tekstuālās īpatnības un praktiski realizēt dažādas tulkošanas teorijas metodes</w:t>
                      </w:r>
                      <w:r w:rsidR="007D5C82">
                        <w:t xml:space="preserve"> praksē</w:t>
                      </w:r>
                    </w:p>
                    <w:p w14:paraId="1AD704DC" w14:textId="040816E9" w:rsidR="007D5C82" w:rsidRPr="007D4849" w:rsidRDefault="0086151C" w:rsidP="007D4849">
                      <w:r>
                        <w:t>4.</w:t>
                      </w:r>
                      <w:r w:rsidR="007D5C82" w:rsidRPr="007D5C82">
                        <w:t>Spēj identificēt tulkojamā teksta problēmas, izšķirties par to risinājuma stratēģiju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86272FA" w14:textId="1B464D78" w:rsidR="007D4849" w:rsidRDefault="0086151C" w:rsidP="007D4849">
                      <w:r>
                        <w:t>5.</w:t>
                      </w:r>
                      <w:r w:rsidR="00863539">
                        <w:t>D</w:t>
                      </w:r>
                      <w:r w:rsidR="00863539" w:rsidRPr="00863539">
                        <w:t>emonstrē zināšanas par</w:t>
                      </w:r>
                      <w:r w:rsidR="00863539">
                        <w:t xml:space="preserve"> </w:t>
                      </w:r>
                      <w:r w:rsidR="00863539" w:rsidRPr="00863539">
                        <w:t>terminoloģiju</w:t>
                      </w:r>
                    </w:p>
                    <w:p w14:paraId="540D77ED" w14:textId="482081DD" w:rsidR="00863539" w:rsidRDefault="0086151C" w:rsidP="007D4849">
                      <w:r>
                        <w:t>6.</w:t>
                      </w:r>
                      <w:r w:rsidR="00863539">
                        <w:t>D</w:t>
                      </w:r>
                      <w:r w:rsidR="00863539" w:rsidRPr="00863539">
                        <w:t xml:space="preserve">emonstrē </w:t>
                      </w:r>
                      <w:r w:rsidR="00863539">
                        <w:t>kompetences</w:t>
                      </w:r>
                      <w:r w:rsidR="00863539" w:rsidRPr="00863539">
                        <w:t xml:space="preserve"> izvērtēt </w:t>
                      </w:r>
                      <w:r w:rsidR="00863539">
                        <w:t>dažada</w:t>
                      </w:r>
                      <w:r w:rsidR="00863539" w:rsidRPr="00863539">
                        <w:t xml:space="preserve"> rakstura tekstus un izvēlēties atbilstošu tulkošanas stratēģiju</w:t>
                      </w:r>
                    </w:p>
                    <w:p w14:paraId="3332B2C5" w14:textId="2FA163EA" w:rsidR="00863539" w:rsidRPr="00863539" w:rsidRDefault="0086151C" w:rsidP="007D4849">
                      <w:r>
                        <w:t>7.P</w:t>
                      </w:r>
                      <w:r w:rsidRPr="0086151C">
                        <w:t>rot strādāt ar vārdnīcām un informācijas sistēmām</w:t>
                      </w:r>
                    </w:p>
                  </w:tc>
                </w:tr>
              </w:tbl>
              <w:p w14:paraId="0B6DE13B" w14:textId="77777777" w:rsidR="007D4849" w:rsidRDefault="00532F14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87BFAFC" w14:textId="406B775C" w:rsidR="001558F9" w:rsidRPr="001558F9" w:rsidRDefault="001558F9" w:rsidP="001558F9">
            <w:pPr>
              <w:rPr>
                <w:lang w:eastAsia="ru-RU"/>
              </w:rPr>
            </w:pPr>
            <w:permStart w:id="1836219002" w:edGrp="everyone"/>
            <w:r w:rsidRPr="001558F9">
              <w:rPr>
                <w:lang w:eastAsia="ru-RU"/>
              </w:rPr>
              <w:t>1.</w:t>
            </w:r>
            <w:r w:rsidR="00E958AB">
              <w:t xml:space="preserve"> </w:t>
            </w:r>
            <w:r w:rsidRPr="001558F9">
              <w:rPr>
                <w:lang w:eastAsia="ru-RU"/>
              </w:rPr>
              <w:t>Patstāvīgie mājas tulkojumi</w:t>
            </w:r>
            <w:r w:rsidR="00E33D99">
              <w:t xml:space="preserve"> - 48</w:t>
            </w:r>
            <w:r w:rsidR="00E958AB">
              <w:t xml:space="preserve"> </w:t>
            </w:r>
            <w:r w:rsidR="00E33D99">
              <w:t>st.</w:t>
            </w:r>
          </w:p>
          <w:p w14:paraId="77587322" w14:textId="1EB92920" w:rsidR="001558F9" w:rsidRPr="001558F9" w:rsidRDefault="001558F9" w:rsidP="001558F9">
            <w:pPr>
              <w:rPr>
                <w:lang w:eastAsia="ru-RU"/>
              </w:rPr>
            </w:pPr>
            <w:r w:rsidRPr="001558F9">
              <w:rPr>
                <w:lang w:eastAsia="ru-RU"/>
              </w:rPr>
              <w:t>2.</w:t>
            </w:r>
            <w:r w:rsidR="00E958AB">
              <w:t xml:space="preserve"> </w:t>
            </w:r>
            <w:r w:rsidRPr="001558F9">
              <w:rPr>
                <w:lang w:eastAsia="ru-RU"/>
              </w:rPr>
              <w:t>Glosāriju veidošana</w:t>
            </w:r>
            <w:r w:rsidR="00E958AB">
              <w:t xml:space="preserve"> </w:t>
            </w:r>
            <w:r w:rsidR="00E33D99">
              <w:t>- 24</w:t>
            </w:r>
            <w:r w:rsidR="00E958AB">
              <w:t xml:space="preserve"> </w:t>
            </w:r>
            <w:r w:rsidR="00E33D99">
              <w:t>st</w:t>
            </w:r>
            <w:r w:rsidR="00E958AB">
              <w:t xml:space="preserve">. </w:t>
            </w:r>
          </w:p>
          <w:p w14:paraId="5054DECC" w14:textId="079476E4" w:rsidR="00E33F4D" w:rsidRPr="0093308E" w:rsidRDefault="001558F9" w:rsidP="007534EA">
            <w:r w:rsidRPr="001558F9">
              <w:rPr>
                <w:lang w:eastAsia="ru-RU"/>
              </w:rPr>
              <w:t>3.</w:t>
            </w:r>
            <w:r w:rsidR="00E958AB">
              <w:t xml:space="preserve"> </w:t>
            </w:r>
            <w:r w:rsidRPr="001558F9">
              <w:rPr>
                <w:lang w:eastAsia="ru-RU"/>
              </w:rPr>
              <w:t>Tulkojumu portfolio sagatavošana.</w:t>
            </w:r>
            <w:r w:rsidR="00E33D99">
              <w:t>- 24</w:t>
            </w:r>
            <w:r w:rsidR="00E958AB">
              <w:t xml:space="preserve"> </w:t>
            </w:r>
            <w:r w:rsidR="00E33D99">
              <w:t>st</w:t>
            </w:r>
            <w:r w:rsidR="00E958AB">
              <w:t xml:space="preserve">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C2FC8D" w14:textId="77777777" w:rsidR="00E33D99" w:rsidRPr="00E33D99" w:rsidRDefault="00E33D99" w:rsidP="00E33D99">
            <w:permStart w:id="1677921679" w:edGrp="everyone"/>
            <w:r w:rsidRPr="00E33D99">
              <w:t>Studiju kursa gala vērtējums veidojas, summējot starpārbaudijumu rezultātus, kuri tiek prezentēti un apspriesti nodarbībās, kā arī sekmīgi nokārtots gala pārbaudījums.</w:t>
            </w:r>
          </w:p>
          <w:p w14:paraId="7C5F7CA5" w14:textId="77777777" w:rsidR="00E33D99" w:rsidRPr="00E33D99" w:rsidRDefault="00E33D99" w:rsidP="00E33D99">
            <w:r w:rsidRPr="00E33D99">
              <w:t>Gala vērtējums  var tikt saņemts, ja ir izpildīti visi minētie nosacījumi un studējošais ir piedalījies 30% lekcijās un 70% seminārnodarbībās.</w:t>
            </w:r>
          </w:p>
          <w:p w14:paraId="763DB475" w14:textId="77777777" w:rsidR="00E33D99" w:rsidRPr="00E33D99" w:rsidRDefault="00E33D99" w:rsidP="00E33D99">
            <w:r w:rsidRPr="00E33D99">
              <w:t xml:space="preserve">STARPPĀRBAUDĪJUMI: </w:t>
            </w:r>
          </w:p>
          <w:p w14:paraId="3840E9B6" w14:textId="65A1B183" w:rsidR="00E33D99" w:rsidRPr="00E33D99" w:rsidRDefault="00E33D99" w:rsidP="00E33D99">
            <w:r w:rsidRPr="00E33D99">
              <w:t>1.</w:t>
            </w:r>
            <w:r w:rsidR="00E958AB">
              <w:t xml:space="preserve"> </w:t>
            </w:r>
            <w:r>
              <w:t>Kontroltulkojums I -</w:t>
            </w:r>
            <w:r w:rsidRPr="00E33D99">
              <w:t xml:space="preserve">20 % </w:t>
            </w:r>
          </w:p>
          <w:p w14:paraId="2D52B2AD" w14:textId="0723E0A2" w:rsidR="00E33D99" w:rsidRDefault="00E33D99" w:rsidP="00E33D99">
            <w:r w:rsidRPr="00E33D99">
              <w:t>2.</w:t>
            </w:r>
            <w:r w:rsidR="00E958AB">
              <w:t xml:space="preserve"> </w:t>
            </w:r>
            <w:r>
              <w:t>Kontroltulkojums II -</w:t>
            </w:r>
            <w:r w:rsidRPr="00E33D99">
              <w:t>20 %</w:t>
            </w:r>
          </w:p>
          <w:p w14:paraId="6A3F1A97" w14:textId="096CD692" w:rsidR="00E33D99" w:rsidRPr="00E33D99" w:rsidRDefault="00E33D99" w:rsidP="00E33D99">
            <w:r>
              <w:t xml:space="preserve">3. </w:t>
            </w:r>
            <w:r w:rsidRPr="00E33D99">
              <w:t>Kontroltulkojums II</w:t>
            </w:r>
            <w:r>
              <w:t>I -</w:t>
            </w:r>
            <w:r w:rsidRPr="00E33D99">
              <w:t>20 %</w:t>
            </w:r>
          </w:p>
          <w:p w14:paraId="589D5C3B" w14:textId="77777777" w:rsidR="00E33D99" w:rsidRPr="00E33D99" w:rsidRDefault="00E33D99" w:rsidP="00E33D99"/>
          <w:p w14:paraId="27E824EB" w14:textId="77777777" w:rsidR="00E33D99" w:rsidRPr="00E33D99" w:rsidRDefault="00E33D99" w:rsidP="00E33D99">
            <w:r w:rsidRPr="00E33D99">
              <w:t xml:space="preserve">NOSLĒGUMA PĀRBAUDĪJUMS </w:t>
            </w:r>
          </w:p>
          <w:p w14:paraId="09448EC4" w14:textId="7269473D" w:rsidR="003F3E33" w:rsidRDefault="00E958AB" w:rsidP="00E33D99">
            <w:r>
              <w:t>4</w:t>
            </w:r>
            <w:r w:rsidR="00E33D99" w:rsidRPr="00E33D99">
              <w:t xml:space="preserve">. </w:t>
            </w:r>
            <w:r w:rsidR="00E33D99">
              <w:t xml:space="preserve">Tulkojums </w:t>
            </w:r>
            <w:r w:rsidR="00E33D99" w:rsidRPr="00E33D99">
              <w:t>-</w:t>
            </w:r>
            <w:r>
              <w:t xml:space="preserve"> </w:t>
            </w:r>
            <w:r w:rsidR="00E33D99" w:rsidRPr="00E33D99">
              <w:t>40%</w:t>
            </w:r>
          </w:p>
          <w:p w14:paraId="130CE1FF" w14:textId="77777777" w:rsidR="00E33D99" w:rsidRDefault="00E33D99" w:rsidP="00E33D99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4277B5C5" w14:textId="77777777" w:rsidR="00E958AB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4BDEEEB0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4"/>
              <w:gridCol w:w="396"/>
              <w:gridCol w:w="466"/>
              <w:gridCol w:w="396"/>
              <w:gridCol w:w="401"/>
              <w:gridCol w:w="401"/>
              <w:gridCol w:w="472"/>
              <w:gridCol w:w="401"/>
              <w:gridCol w:w="419"/>
              <w:gridCol w:w="459"/>
            </w:tblGrid>
            <w:tr w:rsidR="003F3E33" w:rsidRPr="003F3E33" w14:paraId="435521F4" w14:textId="77777777" w:rsidTr="00E958AB">
              <w:trPr>
                <w:trHeight w:val="517"/>
                <w:jc w:val="center"/>
              </w:trPr>
              <w:tc>
                <w:tcPr>
                  <w:tcW w:w="3454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811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E958AB">
              <w:trPr>
                <w:jc w:val="center"/>
              </w:trPr>
              <w:tc>
                <w:tcPr>
                  <w:tcW w:w="3454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72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19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59" w:type="dxa"/>
                  <w:shd w:val="clear" w:color="auto" w:fill="auto"/>
                </w:tcPr>
                <w:p w14:paraId="30A131A9" w14:textId="018C4E98" w:rsidR="006E1AA5" w:rsidRPr="003F3E33" w:rsidRDefault="006E1AA5" w:rsidP="006E1AA5"/>
              </w:tc>
            </w:tr>
            <w:tr w:rsidR="006E1AA5" w:rsidRPr="003F3E33" w14:paraId="3C2DF642" w14:textId="4388C5A9" w:rsidTr="00E958AB">
              <w:trPr>
                <w:trHeight w:val="303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5A0B96B2" w14:textId="22672EAF" w:rsidR="006E1AA5" w:rsidRPr="003F3E33" w:rsidRDefault="006E1AA5" w:rsidP="00916D56">
                  <w:r w:rsidRPr="003F3E33">
                    <w:t xml:space="preserve">1. </w:t>
                  </w:r>
                  <w:r w:rsidR="00E958AB">
                    <w:t>Kontroltulkojums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EAFCD18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95C148C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72" w:type="dxa"/>
                  <w:shd w:val="clear" w:color="auto" w:fill="auto"/>
                  <w:vAlign w:val="center"/>
                </w:tcPr>
                <w:p w14:paraId="7ADAE7C1" w14:textId="68C9016D" w:rsidR="006E1AA5" w:rsidRPr="003F3E33" w:rsidRDefault="0086151C" w:rsidP="003F3E33">
                  <w:r>
                    <w:t>_+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02489F79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19" w:type="dxa"/>
                  <w:shd w:val="clear" w:color="auto" w:fill="auto"/>
                  <w:vAlign w:val="center"/>
                </w:tcPr>
                <w:p w14:paraId="1CC49251" w14:textId="371A9583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59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E958AB">
              <w:trPr>
                <w:trHeight w:val="416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4A4D0ABB" w14:textId="2A90D762" w:rsidR="006E1AA5" w:rsidRPr="003F3E33" w:rsidRDefault="006E1AA5" w:rsidP="00916D56">
                  <w:r w:rsidRPr="003F3E33">
                    <w:t xml:space="preserve">2. </w:t>
                  </w:r>
                  <w:r w:rsidR="00E958AB">
                    <w:t>Kontroltulkojums I</w:t>
                  </w:r>
                  <w:r w:rsidR="00E958AB">
                    <w:t>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72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19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59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E958AB">
              <w:trPr>
                <w:trHeight w:val="411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0907D150" w14:textId="4AF7369B" w:rsidR="006E1AA5" w:rsidRPr="003F3E33" w:rsidRDefault="006E1AA5" w:rsidP="00916D56">
                  <w:r w:rsidRPr="003F3E33">
                    <w:lastRenderedPageBreak/>
                    <w:t xml:space="preserve">3. </w:t>
                  </w:r>
                  <w:r w:rsidR="00E958AB">
                    <w:t>Kontroltulkojums I</w:t>
                  </w:r>
                  <w:r w:rsidR="00E958AB">
                    <w:t>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72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19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59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  <w:tr w:rsidR="00E958AB" w:rsidRPr="003F3E33" w14:paraId="085B55A6" w14:textId="77777777" w:rsidTr="00E958AB">
              <w:trPr>
                <w:trHeight w:val="411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31D153B3" w14:textId="1623C3D4" w:rsidR="00E958AB" w:rsidRPr="003F3E33" w:rsidRDefault="00E958AB" w:rsidP="00E958AB">
                  <w:r>
                    <w:t xml:space="preserve">4. </w:t>
                  </w:r>
                  <w:r w:rsidRPr="00E958AB">
                    <w:t>N</w:t>
                  </w:r>
                  <w:r>
                    <w:t>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84D18B" w14:textId="7BCF9D1E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7067A154" w14:textId="66CB76A4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2A4F991" w14:textId="26935D67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0718CD" w14:textId="7E72FA80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14F443F" w14:textId="1C0108A6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72" w:type="dxa"/>
                  <w:shd w:val="clear" w:color="auto" w:fill="auto"/>
                  <w:vAlign w:val="center"/>
                </w:tcPr>
                <w:p w14:paraId="28F9DB36" w14:textId="6EB57D6D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45B748C" w14:textId="4399B67C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19" w:type="dxa"/>
                  <w:shd w:val="clear" w:color="auto" w:fill="auto"/>
                  <w:vAlign w:val="center"/>
                </w:tcPr>
                <w:p w14:paraId="1392CEBE" w14:textId="7AFA7E7F" w:rsidR="00E958AB" w:rsidRPr="003F3E33" w:rsidRDefault="00E958AB" w:rsidP="00E958AB">
                  <w:r w:rsidRPr="003F3E33">
                    <w:t>+</w:t>
                  </w:r>
                </w:p>
              </w:tc>
              <w:tc>
                <w:tcPr>
                  <w:tcW w:w="459" w:type="dxa"/>
                  <w:shd w:val="clear" w:color="auto" w:fill="auto"/>
                  <w:vAlign w:val="center"/>
                </w:tcPr>
                <w:p w14:paraId="02120520" w14:textId="77777777" w:rsidR="00E958AB" w:rsidRPr="003F3E33" w:rsidRDefault="00E958AB" w:rsidP="00E958AB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4505ECEB" w:rsidR="003F3E33" w:rsidRDefault="00495B12" w:rsidP="00916D56">
            <w:permStart w:id="370084287" w:edGrp="everyone"/>
            <w:r>
              <w:t>1.</w:t>
            </w:r>
            <w:r w:rsidRPr="00495B12">
              <w:t>Tulkošanas procesa stadijas</w:t>
            </w:r>
            <w:r w:rsidR="00A87090">
              <w:t xml:space="preserve"> L2</w:t>
            </w:r>
          </w:p>
          <w:p w14:paraId="43130FF2" w14:textId="0F5ED5D5" w:rsidR="00495B12" w:rsidRDefault="00495B12" w:rsidP="00916D56">
            <w:pPr>
              <w:rPr>
                <w:lang w:eastAsia="ru-RU"/>
              </w:rPr>
            </w:pPr>
            <w:r>
              <w:t>2.</w:t>
            </w:r>
            <w:r w:rsidR="00E958AB">
              <w:t xml:space="preserve"> </w:t>
            </w:r>
            <w:r w:rsidRPr="00495B12">
              <w:rPr>
                <w:lang w:eastAsia="ru-RU"/>
              </w:rPr>
              <w:t>Faktori, kas nosaka tulkojuma sarežģītības pakāpi: valodas normas, autors, lasītais, tradīcijas u.c</w:t>
            </w:r>
            <w:r w:rsidR="00A87090">
              <w:t>. L2</w:t>
            </w:r>
          </w:p>
          <w:p w14:paraId="0785B727" w14:textId="34A3D373" w:rsidR="00686778" w:rsidRDefault="00686778" w:rsidP="00916D56">
            <w:r>
              <w:t xml:space="preserve">3. </w:t>
            </w:r>
            <w:r w:rsidRPr="00686778">
              <w:t>Ekvivalenta koncepcija. Ekvivalences pakāpe. Avota teksta analīze, apspriešana un tulkošana</w:t>
            </w:r>
            <w:r w:rsidR="00A87090">
              <w:t xml:space="preserve"> L2</w:t>
            </w:r>
          </w:p>
          <w:p w14:paraId="630FB687" w14:textId="6338364A" w:rsidR="00686778" w:rsidRDefault="00686778" w:rsidP="00916D56">
            <w:r>
              <w:t xml:space="preserve">4. </w:t>
            </w:r>
            <w:r w:rsidRPr="00686778">
              <w:t>Dažādu leksisko slāņu tulkojuma īpatnības. Polisēmija un sinonīmija kā tulkošanas problēmas</w:t>
            </w:r>
            <w:r w:rsidR="00A87090">
              <w:t xml:space="preserve"> S2</w:t>
            </w:r>
          </w:p>
          <w:p w14:paraId="7684455E" w14:textId="39DEAEE9" w:rsidR="00686778" w:rsidRDefault="00686778" w:rsidP="00916D56">
            <w:r>
              <w:t xml:space="preserve">5. </w:t>
            </w:r>
            <w:r w:rsidRPr="00686778">
              <w:t>Darbs ar vārdnīcu. Vārdnīcas uzbūve. Dažādas vārdnīcas. Tehniskās terminoloģijas vārdnīcas</w:t>
            </w:r>
            <w:r w:rsidR="00A87090">
              <w:t xml:space="preserve"> S2</w:t>
            </w:r>
          </w:p>
          <w:p w14:paraId="051E1147" w14:textId="39266C82" w:rsidR="00686778" w:rsidRDefault="00686778" w:rsidP="00916D56">
            <w:r>
              <w:t xml:space="preserve">6. </w:t>
            </w:r>
            <w:r w:rsidR="00213EA7" w:rsidRPr="00213EA7">
              <w:t>Terminu vārdnīcas. Terminogrāfija. Datora izmantošana informācijas uzkrāšanai. Datora izmantošana tulkošanā.</w:t>
            </w:r>
            <w:r w:rsidR="00A87090">
              <w:t>S2</w:t>
            </w:r>
          </w:p>
          <w:p w14:paraId="71C4A3ED" w14:textId="60AFFA79" w:rsidR="00213EA7" w:rsidRDefault="00213EA7" w:rsidP="00916D56">
            <w:r>
              <w:t xml:space="preserve">7. </w:t>
            </w:r>
            <w:r w:rsidRPr="00213EA7">
              <w:t>Dažādu leksisko slāņu tulkojuma īpatnības. Polisēmija un sinonīmija kā tulkošanas problēmas</w:t>
            </w:r>
            <w:r w:rsidR="00A87090">
              <w:t xml:space="preserve"> S2</w:t>
            </w:r>
          </w:p>
          <w:p w14:paraId="0CA1B015" w14:textId="25E6487D" w:rsidR="00213EA7" w:rsidRDefault="00213EA7" w:rsidP="00916D56">
            <w:r>
              <w:t xml:space="preserve">8. </w:t>
            </w:r>
            <w:r w:rsidRPr="00213EA7">
              <w:t>Atšķirības avota un mērķvalodu sistēmās</w:t>
            </w:r>
            <w:r>
              <w:t xml:space="preserve">. </w:t>
            </w:r>
            <w:r w:rsidRPr="00213EA7">
              <w:t>Frazeoloģijas tulkojums</w:t>
            </w:r>
            <w:r w:rsidR="00A87090">
              <w:t xml:space="preserve"> S2</w:t>
            </w:r>
          </w:p>
          <w:p w14:paraId="6D5759F3" w14:textId="3860B56B" w:rsidR="00454C85" w:rsidRPr="00454C85" w:rsidRDefault="00454C85" w:rsidP="00454C85">
            <w:r w:rsidRPr="00454C85">
              <w:t xml:space="preserve">Patstāvīgais darbs </w:t>
            </w:r>
            <w:r>
              <w:t>1-8</w:t>
            </w:r>
          </w:p>
          <w:p w14:paraId="0E77B4DC" w14:textId="443DF36B" w:rsidR="00454C85" w:rsidRDefault="00454C85" w:rsidP="00454C85">
            <w:r w:rsidRPr="00454C85">
              <w:t>Gatavošanās semināriem. Gatavojoties diskusijām, studējošie lasa zinātnisko literatūru un papildliteratūru par konkrēto tēmu</w:t>
            </w:r>
            <w:r>
              <w:t>, veic tulkujumus</w:t>
            </w:r>
            <w:r w:rsidR="00E958AB">
              <w:t>.</w:t>
            </w:r>
          </w:p>
          <w:p w14:paraId="58BE343D" w14:textId="4361C1A5" w:rsidR="00213EA7" w:rsidRDefault="00213EA7" w:rsidP="00916D56">
            <w:pPr>
              <w:rPr>
                <w:lang w:eastAsia="ru-RU"/>
              </w:rPr>
            </w:pPr>
            <w:r>
              <w:t xml:space="preserve">9. </w:t>
            </w:r>
            <w:r w:rsidRPr="00213EA7">
              <w:rPr>
                <w:lang w:eastAsia="ru-RU"/>
              </w:rPr>
              <w:t>Informatīvu un zinātnisku tekstu tulkošanas īpatnības un stratēģija</w:t>
            </w:r>
            <w:r>
              <w:t>s</w:t>
            </w:r>
            <w:r w:rsidR="00A87090">
              <w:t xml:space="preserve"> L2</w:t>
            </w:r>
          </w:p>
          <w:p w14:paraId="6826EC91" w14:textId="1E2BF3A6" w:rsidR="00213EA7" w:rsidRDefault="00213EA7" w:rsidP="00916D56">
            <w:r>
              <w:t>10.</w:t>
            </w:r>
            <w:r w:rsidR="004B0E32">
              <w:t xml:space="preserve"> </w:t>
            </w:r>
            <w:r w:rsidR="004B0E32" w:rsidRPr="004B0E32">
              <w:t>Tehniskā un  zinātniskā tulkojuma saturs, mērķi un uzdevumi. Zinātniskās un tehniskās valodas terminu specifika. Tehnisko tekstu gramatiskās īpatnības.</w:t>
            </w:r>
            <w:r w:rsidR="00A87090">
              <w:t xml:space="preserve"> S2</w:t>
            </w:r>
          </w:p>
          <w:p w14:paraId="43670837" w14:textId="7F04345D" w:rsidR="004B0E32" w:rsidRDefault="004B0E32" w:rsidP="00916D56">
            <w:r>
              <w:t xml:space="preserve">11. </w:t>
            </w:r>
            <w:r w:rsidRPr="004B0E32">
              <w:t>Tehnisko tekstu leksiskās īpatnības. Tehnisko un zinātnisko tulkojumu veidi.</w:t>
            </w:r>
            <w:r w:rsidR="00A87090">
              <w:t>S2</w:t>
            </w:r>
          </w:p>
          <w:p w14:paraId="27D25F4B" w14:textId="12F89050" w:rsidR="004B0E32" w:rsidRDefault="004B0E32" w:rsidP="00916D56">
            <w:r>
              <w:t xml:space="preserve">12. </w:t>
            </w:r>
            <w:r w:rsidRPr="004B0E32">
              <w:t>Zinātnisko tekstu tulkošana: dabaszinātnes. Zinātnisko tekstu tulkošana: sociālās zinātnes un humanitāro zinātņu cikls. Zinātnisko un tehnisko terminu vārdnīcas.</w:t>
            </w:r>
            <w:r w:rsidR="00A87090">
              <w:t>S2</w:t>
            </w:r>
          </w:p>
          <w:p w14:paraId="15DA63F0" w14:textId="06C3FE73" w:rsidR="004B0E32" w:rsidRDefault="004B0E32" w:rsidP="00916D56">
            <w:r>
              <w:t xml:space="preserve">13. </w:t>
            </w:r>
            <w:r w:rsidRPr="004B0E32">
              <w:t>Ekonomiska rakstura teksta analīze, tulkošana, salīdzināšana ar publicēto variantu</w:t>
            </w:r>
            <w:r w:rsidR="00A87090">
              <w:t xml:space="preserve"> L2</w:t>
            </w:r>
          </w:p>
          <w:p w14:paraId="63EC8284" w14:textId="21B575E9" w:rsidR="004B0E32" w:rsidRDefault="004B0E32" w:rsidP="00916D56">
            <w:r>
              <w:t xml:space="preserve">14. </w:t>
            </w:r>
            <w:r w:rsidRPr="004B0E32">
              <w:t>Ekonomisko un darījumu tekstu veidi. Ekonomiskā un darījumu terminoloģija. Ekonomisko tekstu tulkošanas specifika. Vārdnīcu izmantošana ekonomisko tekstu tulkošanā</w:t>
            </w:r>
            <w:r w:rsidR="00A87090">
              <w:t xml:space="preserve"> S2</w:t>
            </w:r>
          </w:p>
          <w:p w14:paraId="38C5B998" w14:textId="14F5378C" w:rsidR="004B0E32" w:rsidRDefault="004B0E32" w:rsidP="00916D56">
            <w:r>
              <w:t>15.</w:t>
            </w:r>
            <w:r w:rsidR="00C11F07">
              <w:t xml:space="preserve"> </w:t>
            </w:r>
            <w:r w:rsidR="00C11F07" w:rsidRPr="00C11F07">
              <w:t>Praktisko iemaņu attīstība ekonomisko tekstu tulkošanā</w:t>
            </w:r>
            <w:r w:rsidR="00C11F07">
              <w:t xml:space="preserve">. </w:t>
            </w:r>
            <w:r w:rsidR="00C11F07" w:rsidRPr="00C11F07">
              <w:t>Kļūdaina tulkojuma rediģēšana</w:t>
            </w:r>
            <w:r w:rsidR="00A87090">
              <w:t xml:space="preserve"> S2</w:t>
            </w:r>
          </w:p>
          <w:p w14:paraId="3101121E" w14:textId="0B60B743" w:rsidR="00C11F07" w:rsidRDefault="00C11F07" w:rsidP="00916D56">
            <w:r>
              <w:t xml:space="preserve">16. </w:t>
            </w:r>
            <w:r w:rsidRPr="00C11F07">
              <w:t>Lietišķu instrukciju tulkošana, salīdzināšana ar publicēto tulkojumu</w:t>
            </w:r>
            <w:r>
              <w:t xml:space="preserve"> </w:t>
            </w:r>
            <w:r w:rsidR="00A87090">
              <w:t>S2</w:t>
            </w:r>
          </w:p>
          <w:p w14:paraId="5683B5D3" w14:textId="743439F8" w:rsidR="00454C85" w:rsidRPr="00454C85" w:rsidRDefault="00454C85" w:rsidP="00454C85">
            <w:r w:rsidRPr="00454C85">
              <w:t xml:space="preserve">Patstāvīgais darbs </w:t>
            </w:r>
            <w:r>
              <w:t>9-16</w:t>
            </w:r>
          </w:p>
          <w:p w14:paraId="18632A95" w14:textId="17B01BB4" w:rsidR="00454C85" w:rsidRDefault="00454C85" w:rsidP="00454C85">
            <w:r w:rsidRPr="00454C85">
              <w:t>Gatavošanās semināriem. Gatavojoties diskusijām, studējošie lasa zinātnisko literatūru un papildliteratūru par konkrēto tēmu, veic tulkujumus</w:t>
            </w:r>
            <w:r w:rsidR="00E958AB">
              <w:t>.</w:t>
            </w:r>
          </w:p>
          <w:p w14:paraId="7EC9EC9B" w14:textId="1EB28E2A" w:rsidR="00C11F07" w:rsidRDefault="00C11F07" w:rsidP="00916D56">
            <w:r>
              <w:t xml:space="preserve">17. </w:t>
            </w:r>
            <w:r w:rsidRPr="00C11F07">
              <w:t>Reklāmas, sludinājuma teksta analīze, tulkošana, salīdzināšana ar publicēto variantu</w:t>
            </w:r>
            <w:r w:rsidR="00A87090">
              <w:t xml:space="preserve"> S2</w:t>
            </w:r>
          </w:p>
          <w:p w14:paraId="104844E7" w14:textId="6BF8C0F7" w:rsidR="00C11F07" w:rsidRDefault="00C11F07" w:rsidP="00916D56">
            <w:r>
              <w:t xml:space="preserve">18. </w:t>
            </w:r>
            <w:r w:rsidRPr="00C11F07">
              <w:t>IT teksta tulkošana, salīdzināšana ar publicēto tulkojumu</w:t>
            </w:r>
            <w:r w:rsidR="00A87090">
              <w:t xml:space="preserve"> S2</w:t>
            </w:r>
          </w:p>
          <w:p w14:paraId="28743B8C" w14:textId="289D7B8F" w:rsidR="002D618F" w:rsidRDefault="00C11F07" w:rsidP="00916D56">
            <w:r>
              <w:t xml:space="preserve">19. </w:t>
            </w:r>
            <w:r w:rsidR="002D618F" w:rsidRPr="002D618F">
              <w:t>Publicistiska teksta analīze, tulkošana, salīdzināšana ar publicēto variantu, apspriešana</w:t>
            </w:r>
            <w:r w:rsidR="00A87090">
              <w:t xml:space="preserve"> S2</w:t>
            </w:r>
          </w:p>
          <w:p w14:paraId="59E5C6FC" w14:textId="7AD7BB9A" w:rsidR="00C11F07" w:rsidRDefault="002D618F" w:rsidP="00916D56">
            <w:r>
              <w:t>20.</w:t>
            </w:r>
            <w:r w:rsidR="00C11F07">
              <w:t xml:space="preserve"> </w:t>
            </w:r>
            <w:r w:rsidRPr="002D618F">
              <w:t>Publicistisko avotu klasifikācija. Publicistisko tekstu žanri. Publicistisko tekstu tulkojuma specifika. Publicistisko tekstu tulkošanas problēmas un to atrisinājuma veidi.</w:t>
            </w:r>
            <w:r w:rsidR="00A87090">
              <w:t xml:space="preserve"> L2</w:t>
            </w:r>
          </w:p>
          <w:p w14:paraId="07389A9D" w14:textId="5875E0EE" w:rsidR="002D618F" w:rsidRDefault="002D618F" w:rsidP="00916D56">
            <w:r>
              <w:t xml:space="preserve">21. </w:t>
            </w:r>
            <w:r w:rsidRPr="002D618F">
              <w:t>Populārzinātniskie teksti, teksti par zinātni un izglītību: tulkošanas grūtību identificēšana un iespējamo risinājumu analīze</w:t>
            </w:r>
            <w:r w:rsidR="00A87090">
              <w:t xml:space="preserve"> S2</w:t>
            </w:r>
          </w:p>
          <w:p w14:paraId="1A97AE04" w14:textId="59AC75E7" w:rsidR="002D618F" w:rsidRDefault="002D618F" w:rsidP="00916D56">
            <w:r>
              <w:t xml:space="preserve">22. </w:t>
            </w:r>
            <w:r w:rsidRPr="002D618F">
              <w:t>Aizguvumi, to lietojuma lietderība tulkojumos atkarība no teksta tipa un lasītāju mērķauditorijas</w:t>
            </w:r>
            <w:r w:rsidR="00715F7D">
              <w:t xml:space="preserve"> S2</w:t>
            </w:r>
          </w:p>
          <w:p w14:paraId="0840DCBB" w14:textId="0E0BAE71" w:rsidR="002D618F" w:rsidRDefault="002D618F" w:rsidP="00916D56">
            <w:r>
              <w:t xml:space="preserve">23 </w:t>
            </w:r>
            <w:r w:rsidRPr="002D618F">
              <w:t>Praktiska dažādu publicistisko tekstu tulkošana: elektronisko plašsaziņas līdzekļu valodas īpatnības. Ziņas ka teksts: tulkošanas grūtību identificēšana un iespējamo risinājumu analīze</w:t>
            </w:r>
            <w:r>
              <w:t>.</w:t>
            </w:r>
            <w:r w:rsidR="00715F7D">
              <w:t>S2</w:t>
            </w:r>
          </w:p>
          <w:p w14:paraId="374D2DED" w14:textId="12A0CFDD" w:rsidR="002D618F" w:rsidRDefault="002D618F" w:rsidP="00916D56">
            <w:r>
              <w:lastRenderedPageBreak/>
              <w:t>24.</w:t>
            </w:r>
            <w:r w:rsidR="00647972">
              <w:t xml:space="preserve"> </w:t>
            </w:r>
            <w:r w:rsidR="00647972" w:rsidRPr="00647972">
              <w:t>Juridiskās valodas veidošana. Juridisko terminu specifika, būtiskākās kļūdas tulkojot, līdzības un atšķirības</w:t>
            </w:r>
            <w:r w:rsidR="00A87090">
              <w:t>. L2</w:t>
            </w:r>
          </w:p>
          <w:p w14:paraId="0D969E69" w14:textId="6582D683" w:rsidR="00454C85" w:rsidRPr="00454C85" w:rsidRDefault="00454C85" w:rsidP="00454C85">
            <w:r w:rsidRPr="00454C85">
              <w:t xml:space="preserve">Patstāvīgais darbs </w:t>
            </w:r>
            <w:r>
              <w:t>16-24</w:t>
            </w:r>
          </w:p>
          <w:p w14:paraId="3E531E89" w14:textId="5A2374F9" w:rsidR="00454C85" w:rsidRDefault="00454C85" w:rsidP="00454C85">
            <w:r w:rsidRPr="00454C85">
              <w:t>Gatavošanās semināriem. Gatavojoties diskusijām, studējošie lasa zinātnisko literatūru un papildliteratūru par konkrēto tēmu, veic tulkujumus</w:t>
            </w:r>
            <w:r w:rsidR="00E958AB">
              <w:t>.</w:t>
            </w:r>
          </w:p>
          <w:p w14:paraId="2BB7BABF" w14:textId="1D4B5138" w:rsidR="00647972" w:rsidRDefault="00647972" w:rsidP="00916D56">
            <w:r>
              <w:t>25</w:t>
            </w:r>
            <w:r w:rsidR="00E958AB">
              <w:t>.</w:t>
            </w:r>
            <w:r>
              <w:t xml:space="preserve"> T</w:t>
            </w:r>
            <w:r w:rsidRPr="00647972">
              <w:t>ieslietu dokumentu tulkošana. Tieslietu dokumentu salīdzināšana. Darbs ar juridiskajām vārdnīcām. Praktisko iemaņu attīstīšana juridisko tekstu tulkošanā.</w:t>
            </w:r>
            <w:r w:rsidR="00715F7D">
              <w:t xml:space="preserve"> S2</w:t>
            </w:r>
          </w:p>
          <w:p w14:paraId="508705E0" w14:textId="0C17D2A9" w:rsidR="00647972" w:rsidRDefault="00647972" w:rsidP="00916D56">
            <w:r>
              <w:t xml:space="preserve">26.  </w:t>
            </w:r>
            <w:r w:rsidR="004C413F" w:rsidRPr="004C413F">
              <w:t>Mutiskā tulkošana kā komunikācijas akts. Ieskats mutiskās tulkošanas teorētiskajos pamatos: mutiskās tulkošanas veidi un fāzes</w:t>
            </w:r>
            <w:r w:rsidR="00715F7D">
              <w:t xml:space="preserve"> S2</w:t>
            </w:r>
          </w:p>
          <w:p w14:paraId="306F8B7E" w14:textId="61A118E3" w:rsidR="004C413F" w:rsidRDefault="004C413F" w:rsidP="00916D56">
            <w:r>
              <w:t xml:space="preserve">27. </w:t>
            </w:r>
            <w:r w:rsidRPr="004C413F">
              <w:t>Mutvārdu tulkojuma procesa shēma. Mutiskās tulkošanas tehnika. Konsekutīvā tulkošana: specifika un elementi. Sinhronā tulkošana: specifika un elementi.</w:t>
            </w:r>
            <w:r w:rsidR="00A87090">
              <w:t xml:space="preserve"> L2</w:t>
            </w:r>
          </w:p>
          <w:p w14:paraId="202EB0D3" w14:textId="7E126477" w:rsidR="004C413F" w:rsidRDefault="004C413F" w:rsidP="00916D56">
            <w:r>
              <w:t xml:space="preserve">28. </w:t>
            </w:r>
            <w:r w:rsidRPr="004C413F">
              <w:t>. Mutvārdu ziņojuma raksturīgākās iezīmes (oratora prasme, runas iekšējā loģika, vēstījuma mērķis). Mutvārdu tulkojuma analīzes metodes (zināšanu izmantojums, tulka pozīcija, tēlainā domāšana, tulkojamā teksta un tulkojuma stils). Mutiskās tulkošanas problēmas</w:t>
            </w:r>
            <w:r w:rsidR="00715F7D">
              <w:t xml:space="preserve"> S2</w:t>
            </w:r>
          </w:p>
          <w:p w14:paraId="67C54E6C" w14:textId="007AAE7A" w:rsidR="004C413F" w:rsidRDefault="004C413F" w:rsidP="00916D56">
            <w:r>
              <w:t xml:space="preserve">29. </w:t>
            </w:r>
            <w:r w:rsidRPr="004C413F">
              <w:t>Mācību vingrinājumu gradācija (teksta oriģināla sapratne un pārformulēšana, audioteksta uztveršana pēc noklausīšanās, divu tekstu – oriģināla un tulkojuma – jēdzieniskās vienības</w:t>
            </w:r>
            <w:r w:rsidR="00715F7D">
              <w:t xml:space="preserve"> S2</w:t>
            </w:r>
          </w:p>
          <w:p w14:paraId="54974CED" w14:textId="307000CD" w:rsidR="004C413F" w:rsidRDefault="004C413F" w:rsidP="00916D56">
            <w:r>
              <w:t xml:space="preserve">30. </w:t>
            </w:r>
            <w:r w:rsidRPr="004C413F">
              <w:t>Tulka profesionālās īpašības.Pāreja no vienas valodas uz otru.  Pārtulkojamie un nepārtulkojamie vārdi</w:t>
            </w:r>
            <w:r w:rsidR="00715F7D">
              <w:t xml:space="preserve"> S2</w:t>
            </w:r>
          </w:p>
          <w:p w14:paraId="0F1A7F6F" w14:textId="29AE370E" w:rsidR="004C413F" w:rsidRDefault="004C413F" w:rsidP="00916D56">
            <w:r>
              <w:t xml:space="preserve">31. </w:t>
            </w:r>
            <w:r w:rsidRPr="004C413F">
              <w:t>Sinhronais tulkojums ( iepazīšanās līmenī). Rakstiskais teksts mutvārdu tulkojumā.</w:t>
            </w:r>
            <w:r>
              <w:t xml:space="preserve"> </w:t>
            </w:r>
            <w:r w:rsidR="00715F7D">
              <w:t>S2</w:t>
            </w:r>
          </w:p>
          <w:p w14:paraId="61E7B650" w14:textId="369FE1CF" w:rsidR="004C413F" w:rsidRPr="00495B12" w:rsidRDefault="004C413F" w:rsidP="00916D56">
            <w:r>
              <w:t xml:space="preserve">32. </w:t>
            </w:r>
            <w:r w:rsidRPr="004C413F">
              <w:t>Tulkojuma vērtēšanas kritēriji</w:t>
            </w:r>
            <w:r w:rsidR="00715F7D">
              <w:t xml:space="preserve">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7704F0" w14:textId="77777777" w:rsidR="00EB01D0" w:rsidRPr="00EB01D0" w:rsidRDefault="00EB01D0" w:rsidP="00EB01D0">
            <w:permStart w:id="580019727" w:edGrp="everyone"/>
            <w:r w:rsidRPr="00EB01D0">
              <w:t>Eco Umberto Experiences in translation. Toronto Italian Studies, 2001</w:t>
            </w:r>
          </w:p>
          <w:p w14:paraId="100525B6" w14:textId="77777777" w:rsidR="00EB01D0" w:rsidRPr="00EB01D0" w:rsidRDefault="00EB01D0" w:rsidP="00EB01D0">
            <w:r w:rsidRPr="00EB01D0">
              <w:t>Gile Daniel Basic Concepts and Models for Interpreter and Translator Training: Revised Edition. John Benjamins Publishing Company, 2009</w:t>
            </w:r>
          </w:p>
          <w:p w14:paraId="30846546" w14:textId="77777777" w:rsidR="00EB01D0" w:rsidRPr="00EB01D0" w:rsidRDefault="00EB01D0" w:rsidP="00EB01D0">
            <w:r w:rsidRPr="00EB01D0">
              <w:t>Nolan, J. Interpretation. Techniques and Exercises. Clevendon, 2005</w:t>
            </w:r>
          </w:p>
          <w:p w14:paraId="2B9581C8" w14:textId="7D2DB55D" w:rsidR="00ED5B09" w:rsidRDefault="00EB01D0" w:rsidP="00EB01D0">
            <w:r w:rsidRPr="00EB01D0">
              <w:t>Roderick, J Conference Interpreting Explained, Manchester, 2002</w:t>
            </w:r>
          </w:p>
          <w:p w14:paraId="3178F9C6" w14:textId="77777777" w:rsidR="00EB01D0" w:rsidRPr="00EB01D0" w:rsidRDefault="00EB01D0" w:rsidP="00EB01D0">
            <w:r w:rsidRPr="00EB01D0">
              <w:t>Влахов С. Флорин  С. Непереводимое в переводе, Р-Валент, 2012</w:t>
            </w:r>
          </w:p>
          <w:p w14:paraId="5D93A61F" w14:textId="0912E724" w:rsidR="00EB01D0" w:rsidRPr="00ED5B09" w:rsidRDefault="00EB01D0" w:rsidP="00EB01D0">
            <w:r w:rsidRPr="00EB01D0">
              <w:t>Галь Нора Слово живое и мертвое, Москва, 2016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6654CB1" w14:textId="77777777" w:rsidR="00EB01D0" w:rsidRPr="00EB01D0" w:rsidRDefault="00EB01D0" w:rsidP="00EB01D0">
            <w:permStart w:id="1596548908" w:edGrp="everyone"/>
            <w:r w:rsidRPr="00EB01D0">
              <w:t>Sīle Aija Veckrācis Jānis Tulkojumu redakcionālā pinveide  Zinātne, Rīga 2021</w:t>
            </w:r>
          </w:p>
          <w:p w14:paraId="673BF505" w14:textId="77777777" w:rsidR="00EB01D0" w:rsidRPr="00EB01D0" w:rsidRDefault="00EB01D0" w:rsidP="00EB01D0">
            <w:r w:rsidRPr="00EB01D0">
              <w:t>Veisbergs Konferenču tulkošana  Rīga, 2016</w:t>
            </w:r>
          </w:p>
          <w:p w14:paraId="0233AF0A" w14:textId="77777777" w:rsidR="00EB01D0" w:rsidRPr="00EB01D0" w:rsidRDefault="00EB01D0" w:rsidP="00EB01D0">
            <w:r w:rsidRPr="00EB01D0">
              <w:t>Zauberga, I. Theoretical Tools for Professional Translators. – Rīga: Latvijas Universitāte, 2004</w:t>
            </w:r>
          </w:p>
          <w:p w14:paraId="28D1F413" w14:textId="77777777" w:rsidR="00EB01D0" w:rsidRPr="00EB01D0" w:rsidRDefault="00EB01D0" w:rsidP="00EB01D0">
            <w:r w:rsidRPr="00EB01D0">
              <w:t>Мухортов Д.С. Првктика перевода: английский – русский, URSS, 2021</w:t>
            </w:r>
          </w:p>
          <w:p w14:paraId="198D5698" w14:textId="77777777" w:rsidR="00EB01D0" w:rsidRPr="00EB01D0" w:rsidRDefault="00EB01D0" w:rsidP="00EB01D0">
            <w:r w:rsidRPr="00EB01D0">
              <w:t>Рецкер Теория перевода и переводческая практика Москва, 2007</w:t>
            </w:r>
          </w:p>
          <w:p w14:paraId="52226813" w14:textId="5E3FC8F4" w:rsidR="00525213" w:rsidRPr="0093308E" w:rsidRDefault="00EB01D0" w:rsidP="007534EA">
            <w:r w:rsidRPr="00EB01D0">
              <w:t>Чернов Г. Теория и практика синхронного перевода, URSS, 2019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860AFFE" w14:textId="4FA3A583" w:rsidR="00525213" w:rsidRDefault="00012C08" w:rsidP="007534EA">
            <w:permStart w:id="2104519286" w:edGrp="everyone"/>
            <w:r w:rsidRPr="00012C08">
              <w:t>International Information Centre for Terminology (</w:t>
            </w:r>
            <w:hyperlink r:id="rId8" w:history="1">
              <w:r w:rsidRPr="002E21B5">
                <w:rPr>
                  <w:rStyle w:val="Hyperlink"/>
                </w:rPr>
                <w:t>http://www.infoterm.info/</w:t>
              </w:r>
            </w:hyperlink>
            <w:r w:rsidRPr="00012C08">
              <w:t>)</w:t>
            </w:r>
          </w:p>
          <w:p w14:paraId="54117EC9" w14:textId="4C5247E6" w:rsidR="00CC389B" w:rsidRDefault="00532F14" w:rsidP="007534EA">
            <w:hyperlink r:id="rId9" w:history="1">
              <w:r w:rsidR="00CC389B" w:rsidRPr="002E21B5">
                <w:rPr>
                  <w:rStyle w:val="Hyperlink"/>
                </w:rPr>
                <w:t>https://iate.europa.eu/home</w:t>
              </w:r>
            </w:hyperlink>
          </w:p>
          <w:p w14:paraId="2294249C" w14:textId="0FAF4EE8" w:rsidR="00CC389B" w:rsidRDefault="00CC389B" w:rsidP="007534EA">
            <w:r w:rsidRPr="00CC389B">
              <w:t>Forensic Linguistics Institute (http://www.thetext.co.uk/)</w:t>
            </w:r>
          </w:p>
          <w:permEnd w:id="2104519286"/>
          <w:p w14:paraId="2F1F9FE9" w14:textId="0CC2CDE0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65BF103" w:rsidR="00525213" w:rsidRPr="0093308E" w:rsidRDefault="00827C96" w:rsidP="007534EA">
            <w:permStart w:id="1906538136" w:edGrp="everyone"/>
            <w:r>
              <w:t xml:space="preserve"> </w:t>
            </w:r>
            <w:r w:rsidR="00C367C2" w:rsidRPr="00255DED">
              <w:t xml:space="preserve">Studiju kurss adresēts akadēmiskās maģistra </w:t>
            </w:r>
            <w:r w:rsidR="00C367C2" w:rsidRPr="00C367C2">
              <w:t xml:space="preserve">studiju programmas "Filoloģija  un valodu prakses"  1. st. g. studējošajiem. Studiju kurss tiek docēts un apgūts krievu </w:t>
            </w:r>
            <w:r w:rsidR="00C367C2">
              <w:t xml:space="preserve">un latviešu </w:t>
            </w:r>
            <w:r w:rsidR="00C367C2" w:rsidRPr="00C367C2">
              <w:t>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BE975" w14:textId="77777777" w:rsidR="00532F14" w:rsidRDefault="00532F14" w:rsidP="007534EA">
      <w:r>
        <w:separator/>
      </w:r>
    </w:p>
  </w:endnote>
  <w:endnote w:type="continuationSeparator" w:id="0">
    <w:p w14:paraId="2F1D624C" w14:textId="77777777" w:rsidR="00532F14" w:rsidRDefault="00532F1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5D3FB" w14:textId="77777777" w:rsidR="00532F14" w:rsidRDefault="00532F14" w:rsidP="007534EA">
      <w:r>
        <w:separator/>
      </w:r>
    </w:p>
  </w:footnote>
  <w:footnote w:type="continuationSeparator" w:id="0">
    <w:p w14:paraId="35DA0481" w14:textId="77777777" w:rsidR="00532F14" w:rsidRDefault="00532F1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8802">
    <w:abstractNumId w:val="2"/>
  </w:num>
  <w:num w:numId="2" w16cid:durableId="1668512471">
    <w:abstractNumId w:val="4"/>
  </w:num>
  <w:num w:numId="3" w16cid:durableId="861551360">
    <w:abstractNumId w:val="0"/>
  </w:num>
  <w:num w:numId="4" w16cid:durableId="861825488">
    <w:abstractNumId w:val="3"/>
  </w:num>
  <w:num w:numId="5" w16cid:durableId="128407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12C08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558F9"/>
    <w:rsid w:val="0017059B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3EA7"/>
    <w:rsid w:val="002177C1"/>
    <w:rsid w:val="00232205"/>
    <w:rsid w:val="00240D9B"/>
    <w:rsid w:val="00257890"/>
    <w:rsid w:val="00272088"/>
    <w:rsid w:val="002831C0"/>
    <w:rsid w:val="002C1B85"/>
    <w:rsid w:val="002C1EA4"/>
    <w:rsid w:val="002D26FA"/>
    <w:rsid w:val="002D618F"/>
    <w:rsid w:val="002E1D5A"/>
    <w:rsid w:val="002E5F8E"/>
    <w:rsid w:val="00300185"/>
    <w:rsid w:val="00303975"/>
    <w:rsid w:val="003242B3"/>
    <w:rsid w:val="00337CF9"/>
    <w:rsid w:val="003629CF"/>
    <w:rsid w:val="00362B40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4C85"/>
    <w:rsid w:val="004633B3"/>
    <w:rsid w:val="00482FC2"/>
    <w:rsid w:val="0049086B"/>
    <w:rsid w:val="00495B12"/>
    <w:rsid w:val="00496691"/>
    <w:rsid w:val="004A560D"/>
    <w:rsid w:val="004A57E0"/>
    <w:rsid w:val="004B0E32"/>
    <w:rsid w:val="004B5043"/>
    <w:rsid w:val="004C413F"/>
    <w:rsid w:val="004D22E2"/>
    <w:rsid w:val="004D356E"/>
    <w:rsid w:val="00515EA9"/>
    <w:rsid w:val="005226EC"/>
    <w:rsid w:val="00522D4B"/>
    <w:rsid w:val="00525213"/>
    <w:rsid w:val="0052677A"/>
    <w:rsid w:val="00532F14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47972"/>
    <w:rsid w:val="00655E76"/>
    <w:rsid w:val="00656B02"/>
    <w:rsid w:val="00660967"/>
    <w:rsid w:val="00667018"/>
    <w:rsid w:val="00686778"/>
    <w:rsid w:val="0069338F"/>
    <w:rsid w:val="00697EEE"/>
    <w:rsid w:val="006C0C68"/>
    <w:rsid w:val="006C517B"/>
    <w:rsid w:val="006E1AA5"/>
    <w:rsid w:val="007018EF"/>
    <w:rsid w:val="00715F7D"/>
    <w:rsid w:val="0072031C"/>
    <w:rsid w:val="00724ECA"/>
    <w:rsid w:val="00732EA4"/>
    <w:rsid w:val="00732F99"/>
    <w:rsid w:val="007333CA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5C82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6151C"/>
    <w:rsid w:val="00863539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1754"/>
    <w:rsid w:val="00A6366E"/>
    <w:rsid w:val="00A77980"/>
    <w:rsid w:val="00A8127C"/>
    <w:rsid w:val="00A87090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1F07"/>
    <w:rsid w:val="00C2381A"/>
    <w:rsid w:val="00C26F3E"/>
    <w:rsid w:val="00C367C2"/>
    <w:rsid w:val="00C53F7F"/>
    <w:rsid w:val="00C543D4"/>
    <w:rsid w:val="00C73DD5"/>
    <w:rsid w:val="00C91DAC"/>
    <w:rsid w:val="00CB7B41"/>
    <w:rsid w:val="00CC06B2"/>
    <w:rsid w:val="00CC389B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146A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D99"/>
    <w:rsid w:val="00E33F4D"/>
    <w:rsid w:val="00E36E84"/>
    <w:rsid w:val="00E54033"/>
    <w:rsid w:val="00E6096C"/>
    <w:rsid w:val="00E82F3C"/>
    <w:rsid w:val="00E83FA4"/>
    <w:rsid w:val="00E84A4C"/>
    <w:rsid w:val="00E93940"/>
    <w:rsid w:val="00E958AB"/>
    <w:rsid w:val="00EA0BB0"/>
    <w:rsid w:val="00EA1A34"/>
    <w:rsid w:val="00EA2E61"/>
    <w:rsid w:val="00EB01D0"/>
    <w:rsid w:val="00EB4D5A"/>
    <w:rsid w:val="00ED5B09"/>
    <w:rsid w:val="00EE16F0"/>
    <w:rsid w:val="00EE24FC"/>
    <w:rsid w:val="00EE6661"/>
    <w:rsid w:val="00EF0764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12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term.info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ate.europa.eu/home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05906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1250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6208</Words>
  <Characters>3540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3</cp:revision>
  <cp:lastPrinted>2018-11-16T11:31:00Z</cp:lastPrinted>
  <dcterms:created xsi:type="dcterms:W3CDTF">2022-07-02T11:08:00Z</dcterms:created>
  <dcterms:modified xsi:type="dcterms:W3CDTF">2022-07-02T11:17:00Z</dcterms:modified>
</cp:coreProperties>
</file>