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7974D" w14:textId="77777777" w:rsidR="00663345" w:rsidRPr="00804DEE" w:rsidRDefault="00944ED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r w:rsidRPr="00804DEE">
        <w:rPr>
          <w:b/>
          <w:color w:val="000000"/>
          <w:sz w:val="28"/>
          <w:szCs w:val="28"/>
        </w:rPr>
        <w:t>DAUGAVPILS UNIVERSITĀTES</w:t>
      </w:r>
    </w:p>
    <w:p w14:paraId="561451B1" w14:textId="77777777" w:rsidR="00663345" w:rsidRPr="00804DEE" w:rsidRDefault="00944ED8">
      <w:pPr>
        <w:jc w:val="center"/>
        <w:rPr>
          <w:b/>
          <w:sz w:val="28"/>
          <w:szCs w:val="28"/>
        </w:rPr>
      </w:pPr>
      <w:r w:rsidRPr="00804DEE">
        <w:rPr>
          <w:b/>
          <w:sz w:val="28"/>
          <w:szCs w:val="28"/>
        </w:rPr>
        <w:t>STUDIJU KURSA APRAKSTS</w:t>
      </w:r>
    </w:p>
    <w:p w14:paraId="648EE2A4" w14:textId="77777777" w:rsidR="00663345" w:rsidRPr="00804DEE" w:rsidRDefault="00663345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663345" w:rsidRPr="00804DEE" w14:paraId="5475477F" w14:textId="77777777">
        <w:tc>
          <w:tcPr>
            <w:tcW w:w="4584" w:type="dxa"/>
          </w:tcPr>
          <w:p w14:paraId="5899AAA2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1A33E8C3" w14:textId="7208F472" w:rsidR="00663345" w:rsidRPr="00804DEE" w:rsidRDefault="00317420" w:rsidP="00C17B06">
            <w:r>
              <w:t>Ievads</w:t>
            </w:r>
            <w:r w:rsidR="00622A9C">
              <w:t xml:space="preserve"> </w:t>
            </w:r>
            <w:r w:rsidR="00803F92">
              <w:t>angļu literatūrzinātnē</w:t>
            </w:r>
            <w:r w:rsidR="00DE5235">
              <w:t xml:space="preserve"> </w:t>
            </w:r>
            <w:bookmarkStart w:id="0" w:name="_GoBack"/>
            <w:bookmarkEnd w:id="0"/>
          </w:p>
        </w:tc>
      </w:tr>
      <w:tr w:rsidR="00663345" w:rsidRPr="00804DEE" w14:paraId="4469BD17" w14:textId="77777777">
        <w:tc>
          <w:tcPr>
            <w:tcW w:w="4584" w:type="dxa"/>
          </w:tcPr>
          <w:p w14:paraId="3244B7F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1153517C" w14:textId="77777777" w:rsidR="00663345" w:rsidRPr="00804DEE" w:rsidRDefault="00944ED8">
            <w:r w:rsidRPr="00804DEE">
              <w:t xml:space="preserve">     </w:t>
            </w:r>
          </w:p>
        </w:tc>
      </w:tr>
      <w:tr w:rsidR="00663345" w:rsidRPr="00804DEE" w14:paraId="749C1BB2" w14:textId="77777777">
        <w:tc>
          <w:tcPr>
            <w:tcW w:w="4584" w:type="dxa"/>
          </w:tcPr>
          <w:p w14:paraId="2787FA4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2699C80B" w14:textId="22B4E16F" w:rsidR="00663345" w:rsidRPr="00804DEE" w:rsidRDefault="00944ED8">
            <w:pPr>
              <w:rPr>
                <w:b/>
              </w:rPr>
            </w:pPr>
            <w:r w:rsidRPr="00804DEE">
              <w:t xml:space="preserve">Valodniecība un literatūrzinātne </w:t>
            </w:r>
          </w:p>
        </w:tc>
      </w:tr>
      <w:tr w:rsidR="00663345" w:rsidRPr="00804DEE" w14:paraId="637071EE" w14:textId="77777777">
        <w:tc>
          <w:tcPr>
            <w:tcW w:w="4584" w:type="dxa"/>
          </w:tcPr>
          <w:p w14:paraId="23DF635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4BF3CF9C" w14:textId="77777777" w:rsidR="00663345" w:rsidRPr="00804DEE" w:rsidRDefault="00944ED8">
            <w:r w:rsidRPr="00804DEE">
              <w:t>6</w:t>
            </w:r>
          </w:p>
        </w:tc>
      </w:tr>
      <w:tr w:rsidR="00663345" w:rsidRPr="00804DEE" w14:paraId="467D331F" w14:textId="77777777">
        <w:tc>
          <w:tcPr>
            <w:tcW w:w="4584" w:type="dxa"/>
          </w:tcPr>
          <w:p w14:paraId="6BCFA4A1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17EBA748" w14:textId="4320968F" w:rsidR="00663345" w:rsidRPr="00804DEE" w:rsidRDefault="00230803">
            <w:r w:rsidRPr="00804DEE">
              <w:t>2</w:t>
            </w:r>
          </w:p>
        </w:tc>
      </w:tr>
      <w:tr w:rsidR="00663345" w:rsidRPr="00804DEE" w14:paraId="619F7326" w14:textId="77777777">
        <w:tc>
          <w:tcPr>
            <w:tcW w:w="4584" w:type="dxa"/>
          </w:tcPr>
          <w:p w14:paraId="4C1F0E6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 w:rsidRPr="00804DEE"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5E78F6C3" w14:textId="1648861B" w:rsidR="00663345" w:rsidRPr="00804DEE" w:rsidRDefault="00230803">
            <w:r w:rsidRPr="00804DEE">
              <w:t>3</w:t>
            </w:r>
            <w:r w:rsidR="00944ED8" w:rsidRPr="00804DEE">
              <w:t xml:space="preserve"> </w:t>
            </w:r>
          </w:p>
        </w:tc>
      </w:tr>
      <w:tr w:rsidR="00663345" w:rsidRPr="00804DEE" w14:paraId="4292B5B1" w14:textId="77777777">
        <w:tc>
          <w:tcPr>
            <w:tcW w:w="4584" w:type="dxa"/>
          </w:tcPr>
          <w:p w14:paraId="3D11709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611A21E2" w14:textId="6BB20BA9" w:rsidR="00663345" w:rsidRPr="00804DEE" w:rsidRDefault="00230803">
            <w:r w:rsidRPr="00804DEE">
              <w:t>32</w:t>
            </w:r>
            <w:r w:rsidR="00944ED8" w:rsidRPr="00804DEE">
              <w:t xml:space="preserve"> </w:t>
            </w:r>
          </w:p>
        </w:tc>
      </w:tr>
      <w:tr w:rsidR="00663345" w:rsidRPr="00804DEE" w14:paraId="50052E56" w14:textId="77777777">
        <w:tc>
          <w:tcPr>
            <w:tcW w:w="4584" w:type="dxa"/>
          </w:tcPr>
          <w:p w14:paraId="115111EF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E29AE00" w14:textId="53C15B9A" w:rsidR="00663345" w:rsidRPr="00804DEE" w:rsidRDefault="00944ED8">
            <w:r w:rsidRPr="00804DEE">
              <w:t xml:space="preserve"> </w:t>
            </w:r>
          </w:p>
        </w:tc>
      </w:tr>
      <w:tr w:rsidR="00663345" w:rsidRPr="00804DEE" w14:paraId="17BBD942" w14:textId="77777777">
        <w:tc>
          <w:tcPr>
            <w:tcW w:w="4584" w:type="dxa"/>
          </w:tcPr>
          <w:p w14:paraId="71CF684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3CE0D0ED" w14:textId="3365A834" w:rsidR="00663345" w:rsidRPr="00804DEE" w:rsidRDefault="00663345"/>
        </w:tc>
      </w:tr>
      <w:tr w:rsidR="00663345" w:rsidRPr="00804DEE" w14:paraId="6D45E952" w14:textId="77777777">
        <w:tc>
          <w:tcPr>
            <w:tcW w:w="4584" w:type="dxa"/>
          </w:tcPr>
          <w:p w14:paraId="1C8A858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0932647E" w14:textId="5DF29B6B" w:rsidR="00663345" w:rsidRPr="00804DEE" w:rsidRDefault="002404CE">
            <w:r>
              <w:t>32</w:t>
            </w:r>
          </w:p>
        </w:tc>
      </w:tr>
      <w:tr w:rsidR="00663345" w:rsidRPr="00804DEE" w14:paraId="59D3F9EC" w14:textId="77777777">
        <w:tc>
          <w:tcPr>
            <w:tcW w:w="4584" w:type="dxa"/>
          </w:tcPr>
          <w:p w14:paraId="2E14EDC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73F35A16" w14:textId="77777777" w:rsidR="00663345" w:rsidRPr="00804DEE" w:rsidRDefault="00944ED8">
            <w:r w:rsidRPr="00804DEE">
              <w:t xml:space="preserve"> </w:t>
            </w:r>
          </w:p>
        </w:tc>
      </w:tr>
      <w:tr w:rsidR="00663345" w:rsidRPr="00804DEE" w14:paraId="31AD3ACD" w14:textId="77777777">
        <w:tc>
          <w:tcPr>
            <w:tcW w:w="4584" w:type="dxa"/>
          </w:tcPr>
          <w:p w14:paraId="3427BD5C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04DEE"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7398381A" w14:textId="3F283619" w:rsidR="00663345" w:rsidRPr="00804DEE" w:rsidRDefault="00230803">
            <w:r w:rsidRPr="00804DEE">
              <w:t>48</w:t>
            </w:r>
            <w:r w:rsidR="00944ED8" w:rsidRPr="00804DEE">
              <w:t xml:space="preserve"> </w:t>
            </w:r>
          </w:p>
        </w:tc>
      </w:tr>
      <w:tr w:rsidR="00663345" w:rsidRPr="00804DEE" w14:paraId="1BC6AA3D" w14:textId="77777777">
        <w:tc>
          <w:tcPr>
            <w:tcW w:w="9577" w:type="dxa"/>
            <w:gridSpan w:val="2"/>
          </w:tcPr>
          <w:p w14:paraId="5DB59FF7" w14:textId="77777777" w:rsidR="00663345" w:rsidRPr="00804DEE" w:rsidRDefault="00663345"/>
        </w:tc>
      </w:tr>
      <w:tr w:rsidR="00663345" w:rsidRPr="00804DEE" w14:paraId="01BDC568" w14:textId="77777777">
        <w:tc>
          <w:tcPr>
            <w:tcW w:w="9577" w:type="dxa"/>
            <w:gridSpan w:val="2"/>
          </w:tcPr>
          <w:p w14:paraId="2F7DA207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autors(-i)</w:t>
            </w:r>
          </w:p>
        </w:tc>
      </w:tr>
      <w:tr w:rsidR="00663345" w:rsidRPr="00804DEE" w14:paraId="1170A2BA" w14:textId="77777777">
        <w:tc>
          <w:tcPr>
            <w:tcW w:w="9577" w:type="dxa"/>
            <w:gridSpan w:val="2"/>
          </w:tcPr>
          <w:p w14:paraId="22EDA21B" w14:textId="3A1507D9" w:rsidR="00EB0F1D" w:rsidRPr="00804DEE" w:rsidRDefault="00944ED8">
            <w:r w:rsidRPr="00804DEE">
              <w:t>Dr.philol. Sandra Meškova</w:t>
            </w:r>
          </w:p>
        </w:tc>
      </w:tr>
      <w:tr w:rsidR="00663345" w:rsidRPr="00804DEE" w14:paraId="3986EA6A" w14:textId="77777777">
        <w:tc>
          <w:tcPr>
            <w:tcW w:w="9577" w:type="dxa"/>
            <w:gridSpan w:val="2"/>
          </w:tcPr>
          <w:p w14:paraId="291F86E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Kursa docētājs(-i)</w:t>
            </w:r>
          </w:p>
        </w:tc>
      </w:tr>
      <w:tr w:rsidR="00663345" w:rsidRPr="00804DEE" w14:paraId="13B7D2CB" w14:textId="77777777">
        <w:tc>
          <w:tcPr>
            <w:tcW w:w="9577" w:type="dxa"/>
            <w:gridSpan w:val="2"/>
          </w:tcPr>
          <w:p w14:paraId="2F2BBCFC" w14:textId="77777777" w:rsidR="00141CD8" w:rsidRDefault="00944ED8">
            <w:r w:rsidRPr="00804DEE">
              <w:t xml:space="preserve">Dr.philol. Sandra Meškova, </w:t>
            </w:r>
          </w:p>
          <w:p w14:paraId="07DBBB94" w14:textId="2D09D361" w:rsidR="00663345" w:rsidRPr="00804DEE" w:rsidRDefault="00B9278B">
            <w:r>
              <w:t>Dr.philol. Irina Presņakova</w:t>
            </w:r>
          </w:p>
        </w:tc>
      </w:tr>
      <w:tr w:rsidR="00663345" w:rsidRPr="00804DEE" w14:paraId="3F80E3D6" w14:textId="77777777">
        <w:tc>
          <w:tcPr>
            <w:tcW w:w="9577" w:type="dxa"/>
            <w:gridSpan w:val="2"/>
          </w:tcPr>
          <w:p w14:paraId="0E1E67C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Priekšzināšanas</w:t>
            </w:r>
          </w:p>
        </w:tc>
      </w:tr>
      <w:tr w:rsidR="00663345" w:rsidRPr="00804DEE" w14:paraId="064ADDDD" w14:textId="77777777">
        <w:tc>
          <w:tcPr>
            <w:tcW w:w="9577" w:type="dxa"/>
            <w:gridSpan w:val="2"/>
          </w:tcPr>
          <w:p w14:paraId="4EB163B4" w14:textId="77777777" w:rsidR="00663345" w:rsidRPr="00804DEE" w:rsidRDefault="00944ED8">
            <w:r w:rsidRPr="00804DEE">
              <w:t xml:space="preserve">        </w:t>
            </w:r>
          </w:p>
        </w:tc>
      </w:tr>
      <w:tr w:rsidR="00663345" w:rsidRPr="00804DEE" w14:paraId="62F0438D" w14:textId="77777777">
        <w:tc>
          <w:tcPr>
            <w:tcW w:w="9577" w:type="dxa"/>
            <w:gridSpan w:val="2"/>
          </w:tcPr>
          <w:p w14:paraId="012E293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663345" w:rsidRPr="00804DEE" w14:paraId="36E51A82" w14:textId="77777777">
        <w:tc>
          <w:tcPr>
            <w:tcW w:w="9577" w:type="dxa"/>
            <w:gridSpan w:val="2"/>
          </w:tcPr>
          <w:p w14:paraId="47DFADF4" w14:textId="5A375106" w:rsidR="002404CE" w:rsidRDefault="002404CE">
            <w:r>
              <w:t>Studiju k</w:t>
            </w:r>
            <w:r w:rsidRPr="002404CE">
              <w:t xml:space="preserve">urss sniedz zināšanas un izpratni par būtiskākajām pieejām literatūras pētniecībā un to izmantošanu tekstu </w:t>
            </w:r>
            <w:r>
              <w:t>interpretācijā</w:t>
            </w:r>
            <w:r w:rsidRPr="002404CE">
              <w:t xml:space="preserve"> saistībā ar literāro žanru, virzienu un </w:t>
            </w:r>
            <w:r>
              <w:t xml:space="preserve">tekstu </w:t>
            </w:r>
            <w:r w:rsidRPr="002404CE">
              <w:t xml:space="preserve">poētikas īpatnībām. Kursa ietvaros studējošie apgūst dažādu pieeju izmantojumu prozas, dramaturģijas un dzejas tekstu </w:t>
            </w:r>
            <w:r>
              <w:t>interpretācijā</w:t>
            </w:r>
            <w:r w:rsidRPr="002404CE">
              <w:t>.</w:t>
            </w:r>
          </w:p>
          <w:p w14:paraId="6087C9B9" w14:textId="66DB2638" w:rsidR="000C037B" w:rsidRDefault="00944ED8">
            <w:pPr>
              <w:rPr>
                <w:rFonts w:ascii="Times" w:hAnsi="Times"/>
              </w:rPr>
            </w:pPr>
            <w:r w:rsidRPr="00804DEE">
              <w:t xml:space="preserve">Studiju kursa mērķis: </w:t>
            </w:r>
            <w:r w:rsidR="00BC7822">
              <w:t xml:space="preserve">veidot </w:t>
            </w:r>
            <w:r w:rsidR="00BC7822">
              <w:rPr>
                <w:rFonts w:ascii="Times" w:hAnsi="Times"/>
              </w:rPr>
              <w:t xml:space="preserve">sistematizētu izpratni par </w:t>
            </w:r>
            <w:r w:rsidR="002404CE">
              <w:t>literatūrzinātnes pamatkategorijām, galvenajiem jēdzieniem, pilnveidot studējošo spēju piel</w:t>
            </w:r>
            <w:r w:rsidR="00DE5235">
              <w:t>ietot apgūtās zināšanas anglofon</w:t>
            </w:r>
            <w:r w:rsidR="002404CE">
              <w:t>ās literatūras tekstu interpretācijā</w:t>
            </w:r>
            <w:r w:rsidR="00B23D59">
              <w:rPr>
                <w:rFonts w:ascii="Times" w:hAnsi="Times"/>
              </w:rPr>
              <w:t>.</w:t>
            </w:r>
            <w:r w:rsidR="002404CE">
              <w:t xml:space="preserve"> </w:t>
            </w:r>
            <w:r w:rsidR="00B23D59">
              <w:rPr>
                <w:rFonts w:ascii="Times" w:hAnsi="Times"/>
              </w:rPr>
              <w:t xml:space="preserve"> </w:t>
            </w:r>
            <w:r w:rsidR="00817AE2" w:rsidRPr="00804DEE">
              <w:rPr>
                <w:rFonts w:ascii="Times" w:hAnsi="Times"/>
              </w:rPr>
              <w:t xml:space="preserve"> </w:t>
            </w:r>
          </w:p>
          <w:p w14:paraId="2696C754" w14:textId="77777777" w:rsidR="00663345" w:rsidRPr="00804DEE" w:rsidRDefault="00944ED8">
            <w:r w:rsidRPr="00804DEE">
              <w:t>Kursa uzdevumi:</w:t>
            </w:r>
          </w:p>
          <w:p w14:paraId="0ED804A1" w14:textId="24392E53" w:rsidR="00B23D59" w:rsidRDefault="00944ED8">
            <w:r w:rsidRPr="00804DEE">
              <w:t xml:space="preserve">1. </w:t>
            </w:r>
            <w:r w:rsidR="00B23D59">
              <w:t xml:space="preserve">Pilnveidot studējošo zināšanas par </w:t>
            </w:r>
            <w:r w:rsidR="00B1712C">
              <w:t xml:space="preserve">literatūras veidiem un žanriem, dažādu žanru tekstu poētikas īpatnībām </w:t>
            </w:r>
            <w:r w:rsidR="007E4184">
              <w:t xml:space="preserve">būtiskāko </w:t>
            </w:r>
            <w:r w:rsidR="00B1712C">
              <w:t>literāro virzienu ietvaros</w:t>
            </w:r>
            <w:r w:rsidR="009B364A">
              <w:t xml:space="preserve">. </w:t>
            </w:r>
          </w:p>
          <w:p w14:paraId="7737F314" w14:textId="4340177A" w:rsidR="007E4184" w:rsidRDefault="007E4184">
            <w:r>
              <w:t>2</w:t>
            </w:r>
            <w:r w:rsidR="00EB0F1D">
              <w:t xml:space="preserve">. </w:t>
            </w:r>
            <w:r>
              <w:t>Pilnveidot</w:t>
            </w:r>
            <w:r w:rsidR="00EB0F1D">
              <w:t xml:space="preserve"> studējošo </w:t>
            </w:r>
            <w:r>
              <w:t xml:space="preserve">zināšanas </w:t>
            </w:r>
            <w:r w:rsidRPr="002404CE">
              <w:t xml:space="preserve">par būtiskākajām pieejām literatūras pētniecībā </w:t>
            </w:r>
            <w:r>
              <w:t xml:space="preserve">un izpratni par to </w:t>
            </w:r>
            <w:r w:rsidRPr="002404CE">
              <w:t xml:space="preserve">izmantošanu tekstu </w:t>
            </w:r>
            <w:r>
              <w:t>interpretācijā</w:t>
            </w:r>
            <w:r w:rsidRPr="002404CE">
              <w:t xml:space="preserve"> saistībā ar literāro žanru, virzienu un </w:t>
            </w:r>
            <w:r>
              <w:t xml:space="preserve">tekstu </w:t>
            </w:r>
            <w:r w:rsidRPr="002404CE">
              <w:t>poētikas īpatnībām</w:t>
            </w:r>
            <w:r>
              <w:t>.</w:t>
            </w:r>
          </w:p>
          <w:p w14:paraId="5EF9F97D" w14:textId="011B2D5F" w:rsidR="00663345" w:rsidRPr="00804DEE" w:rsidRDefault="007E4184" w:rsidP="007E4184">
            <w:r>
              <w:t>3.</w:t>
            </w:r>
            <w:r w:rsidR="004C4F08">
              <w:t xml:space="preserve"> Nodrošināt studējošajiem </w:t>
            </w:r>
            <w:r w:rsidR="0092293E">
              <w:t xml:space="preserve">iespēju </w:t>
            </w:r>
            <w:r w:rsidR="004C4F08">
              <w:t xml:space="preserve">attīstīt prasmes </w:t>
            </w:r>
            <w:r>
              <w:t>pi</w:t>
            </w:r>
            <w:r w:rsidR="00DE5235">
              <w:t>elietot dažādas pieejas anglofon</w:t>
            </w:r>
            <w:r>
              <w:t>ās literatūras (prozas, dramaturģijas, dzejas) tekstu interpretācijā</w:t>
            </w:r>
            <w:r w:rsidR="00F262B7" w:rsidRPr="00804DEE">
              <w:rPr>
                <w:rFonts w:ascii="Times" w:hAnsi="Times"/>
              </w:rPr>
              <w:t>, pilnveidot akadēmiskās runas, diskusijas un rakstu iemaņas</w:t>
            </w:r>
            <w:r>
              <w:t xml:space="preserve"> svešvalodā (angļu valodā)</w:t>
            </w:r>
            <w:r w:rsidR="00F262B7" w:rsidRPr="00804DEE">
              <w:rPr>
                <w:rFonts w:ascii="Times" w:hAnsi="Times"/>
              </w:rPr>
              <w:t xml:space="preserve">. </w:t>
            </w:r>
          </w:p>
        </w:tc>
      </w:tr>
      <w:tr w:rsidR="00663345" w:rsidRPr="00804DEE" w14:paraId="67AA9B65" w14:textId="77777777">
        <w:tc>
          <w:tcPr>
            <w:tcW w:w="9577" w:type="dxa"/>
            <w:gridSpan w:val="2"/>
          </w:tcPr>
          <w:p w14:paraId="0E36CEDD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663345" w:rsidRPr="00804DEE" w14:paraId="6E0D327E" w14:textId="77777777">
        <w:tc>
          <w:tcPr>
            <w:tcW w:w="9577" w:type="dxa"/>
            <w:gridSpan w:val="2"/>
          </w:tcPr>
          <w:p w14:paraId="17186ADA" w14:textId="3C490C06" w:rsidR="00663345" w:rsidRPr="00804DEE" w:rsidRDefault="007E4184">
            <w:r>
              <w:t>Praktisko darbu nodarbības P 32</w:t>
            </w:r>
            <w:r w:rsidR="0092293E">
              <w:t xml:space="preserve"> st., </w:t>
            </w:r>
            <w:r w:rsidR="00944ED8" w:rsidRPr="00804DEE">
              <w:t xml:space="preserve">patstāvīgais darbs </w:t>
            </w:r>
            <w:r w:rsidR="0092293E">
              <w:t xml:space="preserve">Pd </w:t>
            </w:r>
            <w:r w:rsidR="00F262B7" w:rsidRPr="00804DEE">
              <w:t>48</w:t>
            </w:r>
            <w:r w:rsidR="00944ED8" w:rsidRPr="00804DEE">
              <w:t xml:space="preserve"> st.</w:t>
            </w:r>
          </w:p>
          <w:p w14:paraId="23D58BC6" w14:textId="277C2B5A" w:rsidR="00663345" w:rsidRDefault="0092293E">
            <w:r>
              <w:t xml:space="preserve">1. </w:t>
            </w:r>
            <w:r w:rsidR="00B9278B">
              <w:t xml:space="preserve">Mūsdienu izpratne par </w:t>
            </w:r>
            <w:r w:rsidR="00B9278B" w:rsidRPr="00B9278B">
              <w:t>literatūru kā kultūras segmentu un diskursu, literāru darbu un tekstu</w:t>
            </w:r>
            <w:r w:rsidR="00151735">
              <w:t xml:space="preserve">. </w:t>
            </w:r>
            <w:r w:rsidR="00B9278B">
              <w:t>P</w:t>
            </w:r>
            <w:r w:rsidR="004352FD">
              <w:t>2</w:t>
            </w:r>
          </w:p>
          <w:p w14:paraId="7F84F070" w14:textId="38CE532C" w:rsidR="00151735" w:rsidRDefault="00E74563">
            <w:r>
              <w:t xml:space="preserve">2. </w:t>
            </w:r>
            <w:r w:rsidR="00B9278B" w:rsidRPr="00B9278B">
              <w:t>Literārā virziena un žanra jēdzieni. Literāro virzienu daudzveidība un vēsturiskā attīstība</w:t>
            </w:r>
            <w:r>
              <w:t>.</w:t>
            </w:r>
            <w:r w:rsidR="00B9278B">
              <w:t xml:space="preserve"> P6</w:t>
            </w:r>
          </w:p>
          <w:p w14:paraId="5440E9C2" w14:textId="1EDC9BCE" w:rsidR="00151735" w:rsidRDefault="00FA0F48">
            <w:r>
              <w:t>3</w:t>
            </w:r>
            <w:r w:rsidR="00151735">
              <w:t xml:space="preserve">. </w:t>
            </w:r>
            <w:r w:rsidR="00B9278B" w:rsidRPr="00B9278B">
              <w:t>Mūsdienu izpra</w:t>
            </w:r>
            <w:r w:rsidR="005E1398">
              <w:t>tne par literārajiem žanriem un žanru</w:t>
            </w:r>
            <w:r w:rsidR="00B9278B" w:rsidRPr="00B9278B">
              <w:t xml:space="preserve"> poētiku</w:t>
            </w:r>
            <w:r w:rsidR="00151735">
              <w:t>.</w:t>
            </w:r>
            <w:r w:rsidR="00C23B9E">
              <w:t xml:space="preserve"> </w:t>
            </w:r>
            <w:r w:rsidR="00B9278B">
              <w:t>Dzejas, dramaturģijas, prozas žanri un to poētika. P12</w:t>
            </w:r>
          </w:p>
          <w:p w14:paraId="2C5C5A9E" w14:textId="39B6CD62" w:rsidR="00151735" w:rsidRPr="00804DEE" w:rsidRDefault="00FA0F48" w:rsidP="005E1398">
            <w:r>
              <w:t>4</w:t>
            </w:r>
            <w:r w:rsidR="00151735">
              <w:t xml:space="preserve">. </w:t>
            </w:r>
            <w:r w:rsidR="00B9278B" w:rsidRPr="00B9278B">
              <w:t xml:space="preserve">Pieejas literāra teksta </w:t>
            </w:r>
            <w:r w:rsidR="005E1398">
              <w:t>interpretācijai</w:t>
            </w:r>
            <w:r w:rsidR="00B9278B" w:rsidRPr="00B9278B">
              <w:t>: vēsturiskā, formālā, hermenētiskā, poststrukturālā, dzimtes un postkoloniālā</w:t>
            </w:r>
            <w:r w:rsidR="00151735">
              <w:t>.</w:t>
            </w:r>
            <w:r w:rsidR="00961C2B">
              <w:t xml:space="preserve"> </w:t>
            </w:r>
            <w:r w:rsidR="00B9278B">
              <w:t>P1</w:t>
            </w:r>
            <w:r w:rsidR="007D4D96">
              <w:t>2</w:t>
            </w:r>
            <w:r w:rsidR="00B9278B">
              <w:t xml:space="preserve"> </w:t>
            </w:r>
          </w:p>
        </w:tc>
      </w:tr>
      <w:tr w:rsidR="00663345" w:rsidRPr="00804DEE" w14:paraId="25ACC4FC" w14:textId="77777777">
        <w:tc>
          <w:tcPr>
            <w:tcW w:w="9577" w:type="dxa"/>
            <w:gridSpan w:val="2"/>
          </w:tcPr>
          <w:p w14:paraId="0B570D7A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Studiju rezultāti</w:t>
            </w:r>
          </w:p>
        </w:tc>
      </w:tr>
      <w:tr w:rsidR="00663345" w:rsidRPr="00804DEE" w14:paraId="4447737C" w14:textId="77777777">
        <w:tc>
          <w:tcPr>
            <w:tcW w:w="9577" w:type="dxa"/>
            <w:gridSpan w:val="2"/>
          </w:tcPr>
          <w:p w14:paraId="700DABD8" w14:textId="77777777" w:rsidR="00663345" w:rsidRPr="00804DEE" w:rsidRDefault="00663345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663345" w:rsidRPr="00804DEE" w14:paraId="5C53CF75" w14:textId="77777777">
              <w:tc>
                <w:tcPr>
                  <w:tcW w:w="9351" w:type="dxa"/>
                </w:tcPr>
                <w:p w14:paraId="5786756E" w14:textId="77777777" w:rsidR="00663345" w:rsidRPr="00804DEE" w:rsidRDefault="00944ED8">
                  <w:r w:rsidRPr="00804DEE">
                    <w:t>ZINĀŠANAS</w:t>
                  </w:r>
                </w:p>
              </w:tc>
            </w:tr>
            <w:tr w:rsidR="00663345" w:rsidRPr="00804DEE" w14:paraId="2AC0B4E7" w14:textId="77777777">
              <w:tc>
                <w:tcPr>
                  <w:tcW w:w="9351" w:type="dxa"/>
                </w:tcPr>
                <w:p w14:paraId="10AC0E6E" w14:textId="7258D0BB" w:rsidR="00320306" w:rsidRPr="00804DEE" w:rsidRDefault="00944ED8" w:rsidP="00320306">
                  <w:r w:rsidRPr="00804DEE">
                    <w:t xml:space="preserve">1. </w:t>
                  </w:r>
                  <w:r w:rsidR="00320306" w:rsidRPr="00804DEE">
                    <w:t xml:space="preserve">Demonstrē literatūras svarīgāko jēdzienu, likumsakarību un procesu izpratni, pārzina </w:t>
                  </w:r>
                  <w:r w:rsidR="00DE5235">
                    <w:t>anglofon</w:t>
                  </w:r>
                  <w:r w:rsidR="00375BDA">
                    <w:t xml:space="preserve">ās </w:t>
                  </w:r>
                  <w:r w:rsidR="00320306" w:rsidRPr="00804DEE">
                    <w:t xml:space="preserve">literatūras attīstības tendences, žanru </w:t>
                  </w:r>
                  <w:r w:rsidR="005E1398">
                    <w:t xml:space="preserve">sistēmu un </w:t>
                  </w:r>
                  <w:r w:rsidR="00320306" w:rsidRPr="00804DEE">
                    <w:t xml:space="preserve">transformāciju, </w:t>
                  </w:r>
                  <w:r w:rsidR="008E3385">
                    <w:t xml:space="preserve">žanru </w:t>
                  </w:r>
                  <w:r w:rsidR="00320306" w:rsidRPr="00804DEE">
                    <w:t xml:space="preserve">poētikas </w:t>
                  </w:r>
                  <w:r w:rsidR="00AA6AE2">
                    <w:t>īpatnības</w:t>
                  </w:r>
                  <w:r w:rsidR="0077038C" w:rsidRPr="00804DEE">
                    <w:t>.</w:t>
                  </w:r>
                </w:p>
                <w:p w14:paraId="0760E1BD" w14:textId="1A3D8C23" w:rsidR="00663345" w:rsidRPr="00804DEE" w:rsidRDefault="00944ED8" w:rsidP="008E3385">
                  <w:r w:rsidRPr="00804DEE">
                    <w:t xml:space="preserve">2. </w:t>
                  </w:r>
                  <w:r w:rsidR="0077038C" w:rsidRPr="00804DEE">
                    <w:t xml:space="preserve">Analizē, sintezē un kritiski izvērtē literatūrzinātnes </w:t>
                  </w:r>
                  <w:r w:rsidR="008E3385">
                    <w:t xml:space="preserve">attīstības </w:t>
                  </w:r>
                  <w:r w:rsidR="0077038C" w:rsidRPr="00804DEE">
                    <w:t>tendences sabiedrībā un pētniecībā</w:t>
                  </w:r>
                  <w:r w:rsidRPr="00804DEE">
                    <w:t>.</w:t>
                  </w:r>
                </w:p>
              </w:tc>
            </w:tr>
            <w:tr w:rsidR="00663345" w:rsidRPr="00804DEE" w14:paraId="25190321" w14:textId="77777777">
              <w:tc>
                <w:tcPr>
                  <w:tcW w:w="9351" w:type="dxa"/>
                </w:tcPr>
                <w:p w14:paraId="3DE8BFF6" w14:textId="77777777" w:rsidR="00663345" w:rsidRPr="00804DEE" w:rsidRDefault="00944ED8">
                  <w:pPr>
                    <w:rPr>
                      <w:highlight w:val="yellow"/>
                    </w:rPr>
                  </w:pPr>
                  <w:r w:rsidRPr="00804DEE">
                    <w:t>PRASMES</w:t>
                  </w:r>
                </w:p>
              </w:tc>
            </w:tr>
            <w:tr w:rsidR="00663345" w:rsidRPr="00804DEE" w14:paraId="62FAE951" w14:textId="77777777">
              <w:tc>
                <w:tcPr>
                  <w:tcW w:w="9351" w:type="dxa"/>
                </w:tcPr>
                <w:p w14:paraId="209B5612" w14:textId="58375022" w:rsidR="001278CD" w:rsidRPr="00804DEE" w:rsidRDefault="001278CD">
                  <w:r w:rsidRPr="00804DEE">
                    <w:t>3</w:t>
                  </w:r>
                  <w:r w:rsidR="00944ED8" w:rsidRPr="00804DEE">
                    <w:t xml:space="preserve">. </w:t>
                  </w:r>
                  <w:r w:rsidRPr="00804DEE">
                    <w:t>Izmantojot apgūtās zināšanas, formulē un analītiski apraksta informāciju, problēmas un risinājumus filoloģijas zinātnē, tos izskaidro, argumentēti par tiem diskutē un izklāsta idejas mutvārdos un rakstveidā.</w:t>
                  </w:r>
                </w:p>
                <w:p w14:paraId="4A02A82F" w14:textId="0EA245CB" w:rsidR="00663345" w:rsidRPr="00804DEE" w:rsidRDefault="001278CD" w:rsidP="008E3385">
                  <w:r w:rsidRPr="00804DEE">
                    <w:t>4</w:t>
                  </w:r>
                  <w:r w:rsidR="00944ED8" w:rsidRPr="00804DEE">
                    <w:t xml:space="preserve">. </w:t>
                  </w:r>
                  <w:r w:rsidRPr="00804DEE">
                    <w:t xml:space="preserve">Spēj pārliecinoši un kritiski izmantot informācijas tehnoloģijas pētniecībā un komunikācijā; meklē un apkopo informāciju; apstrādā un kritiski izvērtē informāciju par </w:t>
                  </w:r>
                  <w:r w:rsidR="00DE5235">
                    <w:t xml:space="preserve">anglofonās </w:t>
                  </w:r>
                  <w:r w:rsidRPr="00804DEE">
                    <w:t>literatūras attīstības tendencēm</w:t>
                  </w:r>
                  <w:r w:rsidR="008E3385">
                    <w:t xml:space="preserve"> vēsturiskā un sinhronā skatījumā</w:t>
                  </w:r>
                  <w:r w:rsidRPr="00804DEE">
                    <w:t xml:space="preserve">. </w:t>
                  </w:r>
                </w:p>
              </w:tc>
            </w:tr>
            <w:tr w:rsidR="00663345" w:rsidRPr="00804DEE" w14:paraId="752377D8" w14:textId="77777777">
              <w:trPr>
                <w:trHeight w:val="203"/>
              </w:trPr>
              <w:tc>
                <w:tcPr>
                  <w:tcW w:w="9351" w:type="dxa"/>
                </w:tcPr>
                <w:p w14:paraId="4ED5A4E3" w14:textId="77777777" w:rsidR="00663345" w:rsidRPr="00804DEE" w:rsidRDefault="00944ED8">
                  <w:pPr>
                    <w:rPr>
                      <w:highlight w:val="yellow"/>
                    </w:rPr>
                  </w:pPr>
                  <w:r w:rsidRPr="00804DEE">
                    <w:t>KOMPETENCE</w:t>
                  </w:r>
                </w:p>
              </w:tc>
            </w:tr>
            <w:tr w:rsidR="00663345" w:rsidRPr="00804DEE" w14:paraId="3083238E" w14:textId="77777777">
              <w:tc>
                <w:tcPr>
                  <w:tcW w:w="9351" w:type="dxa"/>
                </w:tcPr>
                <w:p w14:paraId="38D1B0E5" w14:textId="43729B46" w:rsidR="001278CD" w:rsidRPr="00804DEE" w:rsidRDefault="001278CD">
                  <w:r w:rsidRPr="00804DEE">
                    <w:t>5. Spēj patstāvīgi iegūt, atlasīt, analizēt un izmantot informāciju, pieņemt lēmumus un risināt problēmas literatūras studiju jomā.</w:t>
                  </w:r>
                </w:p>
                <w:p w14:paraId="23849635" w14:textId="78F36892" w:rsidR="00663345" w:rsidRPr="00804DEE" w:rsidRDefault="0048629B">
                  <w:pPr>
                    <w:rPr>
                      <w:highlight w:val="yellow"/>
                    </w:rPr>
                  </w:pPr>
                  <w:r w:rsidRPr="00804DEE">
                    <w:t xml:space="preserve">6. </w:t>
                  </w:r>
                  <w:r w:rsidR="00944ED8" w:rsidRPr="00804DEE">
                    <w:t>Spēj kritiski un loģiski risināt teorētiskus un praktiskus jautājumus, ģenerē idejas, izvēlas problēmu risināšanas stratēģijas un piedāvā jaunus risinājumus, prasmīgi komunicē un sadarbojas gan individuāli, gan komandā.</w:t>
                  </w:r>
                </w:p>
              </w:tc>
            </w:tr>
          </w:tbl>
          <w:p w14:paraId="31F7D02F" w14:textId="77777777" w:rsidR="00663345" w:rsidRPr="00804DEE" w:rsidRDefault="00663345"/>
          <w:p w14:paraId="0AFA6D80" w14:textId="77777777" w:rsidR="00663345" w:rsidRPr="00804DEE" w:rsidRDefault="00663345"/>
        </w:tc>
      </w:tr>
      <w:tr w:rsidR="00663345" w:rsidRPr="00804DEE" w14:paraId="46C35019" w14:textId="77777777">
        <w:tc>
          <w:tcPr>
            <w:tcW w:w="9577" w:type="dxa"/>
            <w:gridSpan w:val="2"/>
          </w:tcPr>
          <w:p w14:paraId="0426276E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Studējošo patstāvīgo darbu organizācijas un uzdevumu raksturojums</w:t>
            </w:r>
          </w:p>
        </w:tc>
      </w:tr>
      <w:tr w:rsidR="00663345" w:rsidRPr="00804DEE" w14:paraId="59D243CE" w14:textId="77777777">
        <w:tc>
          <w:tcPr>
            <w:tcW w:w="9577" w:type="dxa"/>
            <w:gridSpan w:val="2"/>
          </w:tcPr>
          <w:p w14:paraId="4DE49E35" w14:textId="6B9C5B28" w:rsidR="00663345" w:rsidRPr="00804DEE" w:rsidRDefault="004A1873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</w:t>
            </w:r>
            <w:r w:rsidR="0055292B" w:rsidRPr="00804DEE">
              <w:rPr>
                <w:rFonts w:ascii="Times" w:hAnsi="Times"/>
              </w:rPr>
              <w:t xml:space="preserve">padziļināti studē nodarbībām piedāvāto materiālu, </w:t>
            </w:r>
            <w:r w:rsidRPr="00804DEE">
              <w:rPr>
                <w:rFonts w:ascii="Times" w:hAnsi="Times"/>
              </w:rPr>
              <w:t xml:space="preserve">patstāvīgi iepazīstas ar teorētisko papildliteratūru un </w:t>
            </w:r>
            <w:r w:rsidR="003A75DE">
              <w:t xml:space="preserve">literārajiem tekstiem un </w:t>
            </w:r>
            <w:r w:rsidRPr="00804DEE">
              <w:rPr>
                <w:rFonts w:ascii="Times" w:hAnsi="Times"/>
              </w:rPr>
              <w:t xml:space="preserve">demonstrē patstāvīgā darba rezultātus </w:t>
            </w:r>
            <w:r w:rsidR="008E3385">
              <w:t>praktisko darbu</w:t>
            </w:r>
            <w:r w:rsidR="00933695">
              <w:rPr>
                <w:rFonts w:ascii="Times" w:hAnsi="Times"/>
              </w:rPr>
              <w:t xml:space="preserve">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</w:t>
            </w:r>
            <w:r w:rsidR="004A0BF7" w:rsidRPr="00804DEE">
              <w:rPr>
                <w:rFonts w:ascii="Times" w:hAnsi="Times"/>
              </w:rPr>
              <w:t>starppārbaudījumos</w:t>
            </w:r>
            <w:r w:rsidRPr="00804DEE">
              <w:t xml:space="preserve"> un noslēguma </w:t>
            </w:r>
            <w:r w:rsidR="00AA6AE2">
              <w:t>pārbaudījumā</w:t>
            </w:r>
            <w:r w:rsidRPr="00804DEE">
              <w:rPr>
                <w:rFonts w:ascii="Times" w:hAnsi="Times"/>
              </w:rPr>
              <w:t>.</w:t>
            </w:r>
          </w:p>
          <w:p w14:paraId="14C5400E" w14:textId="77777777" w:rsidR="004A1873" w:rsidRPr="00804DEE" w:rsidRDefault="004A1873"/>
          <w:p w14:paraId="0BB0048E" w14:textId="77777777" w:rsidR="004A1873" w:rsidRPr="00804DEE" w:rsidRDefault="004A0BF7">
            <w:r w:rsidRPr="00804DEE">
              <w:t>Starppārbaudījumi:</w:t>
            </w:r>
          </w:p>
          <w:p w14:paraId="62CA7537" w14:textId="4293F885" w:rsidR="004A0BF7" w:rsidRPr="00804DEE" w:rsidRDefault="004A0BF7">
            <w:r w:rsidRPr="00804DEE">
              <w:t xml:space="preserve">1. </w:t>
            </w:r>
            <w:r w:rsidR="003B3CAC">
              <w:t>Kontroldarbs</w:t>
            </w:r>
            <w:r w:rsidR="00AA6AE2">
              <w:t xml:space="preserve"> (I) par </w:t>
            </w:r>
            <w:r w:rsidR="003B3CAC">
              <w:t>centrālajiem virzieniem anglofonajā literatūrā.</w:t>
            </w:r>
          </w:p>
          <w:p w14:paraId="522D9EEE" w14:textId="28F5283E" w:rsidR="009A795A" w:rsidRPr="00804DEE" w:rsidRDefault="009A795A">
            <w:r w:rsidRPr="00804DEE">
              <w:t xml:space="preserve">2. </w:t>
            </w:r>
            <w:r w:rsidR="00CC1662">
              <w:t>Kontroldarbs (II) par literārajiem žanriem un žanru poētiku.</w:t>
            </w:r>
          </w:p>
          <w:p w14:paraId="64123F70" w14:textId="175E3AE4" w:rsidR="009A795A" w:rsidRPr="00804DEE" w:rsidRDefault="009A795A">
            <w:r w:rsidRPr="00804DEE">
              <w:t>3. Ierosmju publicēšana forumā Moodle vidē par</w:t>
            </w:r>
            <w:r w:rsidR="00165F16">
              <w:t xml:space="preserve"> </w:t>
            </w:r>
            <w:r w:rsidR="0067486A">
              <w:t xml:space="preserve">docētāja formulētu problēmu saistībā ar </w:t>
            </w:r>
            <w:r w:rsidR="00CC1662">
              <w:t>dažādu pieeju izmantošanu anglofonās literatūras tekstu interpretācijā (uz izlasītu tekstu bāzes).</w:t>
            </w:r>
          </w:p>
          <w:p w14:paraId="5528CDBD" w14:textId="7D9B0C95" w:rsidR="009A795A" w:rsidRDefault="009A795A">
            <w:r w:rsidRPr="00804DEE">
              <w:t>4.</w:t>
            </w:r>
            <w:r w:rsidR="00CC1662">
              <w:t xml:space="preserve"> Mutvārdu prezentācijas un diskusija par noteiktu pieeju izmantošanu anglofonās literatūras tekstu interpretācijā (uz izlasītu tekstu bāzes).</w:t>
            </w:r>
          </w:p>
          <w:p w14:paraId="067A601B" w14:textId="77777777" w:rsidR="00AA6AE2" w:rsidRDefault="00AA6AE2"/>
          <w:p w14:paraId="569629E6" w14:textId="0AF8652D" w:rsidR="00AA6AE2" w:rsidRPr="00804DEE" w:rsidRDefault="00AA6AE2" w:rsidP="00CC1662">
            <w:r>
              <w:t xml:space="preserve">Noslēguma pārbaudījums: </w:t>
            </w:r>
            <w:r w:rsidR="00CC1662">
              <w:t>pārspriedums – literārā teksta interpretācija, izmantojot studējošā izraudzītu pieeju.</w:t>
            </w:r>
          </w:p>
        </w:tc>
      </w:tr>
      <w:tr w:rsidR="00663345" w:rsidRPr="00804DEE" w14:paraId="37A0DD9B" w14:textId="77777777">
        <w:tc>
          <w:tcPr>
            <w:tcW w:w="9577" w:type="dxa"/>
            <w:gridSpan w:val="2"/>
          </w:tcPr>
          <w:p w14:paraId="72801B36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663345" w:rsidRPr="00804DEE" w14:paraId="20420ACC" w14:textId="77777777">
        <w:tc>
          <w:tcPr>
            <w:tcW w:w="9577" w:type="dxa"/>
            <w:gridSpan w:val="2"/>
          </w:tcPr>
          <w:p w14:paraId="316247DF" w14:textId="442821FA" w:rsidR="00663345" w:rsidRPr="00804DEE" w:rsidRDefault="00944ED8">
            <w:r w:rsidRPr="00804DEE">
              <w:t>Studiju kursa vērtējumu veido vidējā svērtā atzīme par starppārbaudījumiem</w:t>
            </w:r>
            <w:r w:rsidR="003A75DE">
              <w:t xml:space="preserve"> (30%)</w:t>
            </w:r>
            <w:r w:rsidRPr="00804DEE">
              <w:t xml:space="preserve">, aktīvu līdzdalību </w:t>
            </w:r>
            <w:r w:rsidR="003A75DE">
              <w:t>praktisko darbu</w:t>
            </w:r>
            <w:r w:rsidRPr="00804DEE">
              <w:t xml:space="preserve"> nodarbībās</w:t>
            </w:r>
            <w:r w:rsidR="003A75DE">
              <w:t xml:space="preserve"> (30%)</w:t>
            </w:r>
            <w:r w:rsidRPr="00804DEE">
              <w:t xml:space="preserve"> un </w:t>
            </w:r>
            <w:r w:rsidR="009D6EEE" w:rsidRPr="00804DEE">
              <w:t xml:space="preserve">noslēguma </w:t>
            </w:r>
            <w:r w:rsidR="00165F16">
              <w:t>pārbaudījumu</w:t>
            </w:r>
            <w:r w:rsidR="003A75DE">
              <w:t xml:space="preserve"> (40%)</w:t>
            </w:r>
            <w:r w:rsidR="009D6EEE" w:rsidRPr="00804DEE">
              <w:t>.</w:t>
            </w:r>
          </w:p>
          <w:p w14:paraId="65ABF44C" w14:textId="77777777" w:rsidR="009D6EEE" w:rsidRPr="00804DEE" w:rsidRDefault="009D6EEE"/>
          <w:p w14:paraId="2FD7A65A" w14:textId="77777777" w:rsidR="00663345" w:rsidRPr="00804DEE" w:rsidRDefault="00944ED8">
            <w:r w:rsidRPr="00804DEE">
              <w:t>STUDIJU REZULTĀTU VĒRTĒŠANAS KRITĒRIJI</w:t>
            </w:r>
          </w:p>
          <w:p w14:paraId="7F158DFA" w14:textId="3804513E" w:rsidR="00663345" w:rsidRPr="00804DEE" w:rsidRDefault="00944ED8">
            <w:r w:rsidRPr="00804DEE">
              <w:t>Studiju kursa apguve tā noslēgumā tiek vērtēta 10 ballu skalā saskaņā ar Latvijas Republikas normatīvajiem aktiem un atbilstoši "Nolikumam</w:t>
            </w:r>
            <w:r w:rsidRPr="00804DEE">
              <w:br/>
              <w:t>par studijām Daugavpils Universitātē" (apstiprināts DU Senāta sēdē 17.12.2018., protokols Nr. 15),vadoties pēc šādiem kritērijiem:iegūto zināšanu apjoms un kvalit</w:t>
            </w:r>
            <w:r w:rsidR="00165F16">
              <w:t>āte</w:t>
            </w:r>
            <w:r w:rsidRPr="00804DEE">
              <w:t>, iegūtās prasmes un kompetences atbilstoši plānotajiem studiju rezultātiem.</w:t>
            </w:r>
          </w:p>
          <w:p w14:paraId="78F4B45E" w14:textId="77777777" w:rsidR="00663345" w:rsidRPr="00804DEE" w:rsidRDefault="00663345"/>
          <w:p w14:paraId="5EB8606D" w14:textId="77777777" w:rsidR="00663345" w:rsidRPr="00804DEE" w:rsidRDefault="00944ED8">
            <w:r w:rsidRPr="00804DEE">
              <w:lastRenderedPageBreak/>
              <w:t>STUDIJU REZULTĀTU VĒRTĒŠANA</w:t>
            </w:r>
          </w:p>
          <w:p w14:paraId="62580D30" w14:textId="77777777" w:rsidR="00663345" w:rsidRPr="00804DEE" w:rsidRDefault="00663345"/>
          <w:tbl>
            <w:tblPr>
              <w:tblStyle w:val="a1"/>
              <w:tblW w:w="637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512"/>
              <w:gridCol w:w="432"/>
              <w:gridCol w:w="433"/>
              <w:gridCol w:w="418"/>
              <w:gridCol w:w="425"/>
              <w:gridCol w:w="425"/>
              <w:gridCol w:w="426"/>
              <w:gridCol w:w="306"/>
            </w:tblGrid>
            <w:tr w:rsidR="00744DF0" w:rsidRPr="00804DEE" w14:paraId="3795BC11" w14:textId="77777777" w:rsidTr="00744DF0">
              <w:trPr>
                <w:gridAfter w:val="1"/>
                <w:wAfter w:w="306" w:type="dxa"/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66FED13D" w14:textId="77777777" w:rsidR="00744DF0" w:rsidRPr="00804DEE" w:rsidRDefault="00744DF0"/>
                <w:p w14:paraId="58ADF317" w14:textId="77777777" w:rsidR="00744DF0" w:rsidRPr="00804DEE" w:rsidRDefault="00744DF0">
                  <w:r w:rsidRPr="00804DEE">
                    <w:t>Pārbaudījumu veidi</w:t>
                  </w:r>
                </w:p>
              </w:tc>
              <w:tc>
                <w:tcPr>
                  <w:tcW w:w="2559" w:type="dxa"/>
                  <w:gridSpan w:val="6"/>
                  <w:shd w:val="clear" w:color="auto" w:fill="auto"/>
                </w:tcPr>
                <w:p w14:paraId="2453A2B5" w14:textId="77777777" w:rsidR="00744DF0" w:rsidRPr="00804DEE" w:rsidRDefault="00744DF0">
                  <w:r w:rsidRPr="00804DEE">
                    <w:t>Studiju rezultāti *</w:t>
                  </w:r>
                </w:p>
              </w:tc>
            </w:tr>
            <w:tr w:rsidR="00744DF0" w:rsidRPr="00804DEE" w14:paraId="0FEA0322" w14:textId="77777777" w:rsidTr="00744DF0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065CA881" w14:textId="77777777" w:rsidR="00744DF0" w:rsidRPr="00804DEE" w:rsidRDefault="00744DF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432" w:type="dxa"/>
                  <w:shd w:val="clear" w:color="auto" w:fill="auto"/>
                </w:tcPr>
                <w:p w14:paraId="2BB9058D" w14:textId="77777777" w:rsidR="00744DF0" w:rsidRPr="00804DEE" w:rsidRDefault="00744DF0">
                  <w:r w:rsidRPr="00804DEE">
                    <w:t>1.</w:t>
                  </w:r>
                </w:p>
              </w:tc>
              <w:tc>
                <w:tcPr>
                  <w:tcW w:w="433" w:type="dxa"/>
                  <w:shd w:val="clear" w:color="auto" w:fill="auto"/>
                </w:tcPr>
                <w:p w14:paraId="7416BDE6" w14:textId="77777777" w:rsidR="00744DF0" w:rsidRPr="00804DEE" w:rsidRDefault="00744DF0">
                  <w:r w:rsidRPr="00804DEE"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27800BEE" w14:textId="77777777" w:rsidR="00744DF0" w:rsidRPr="00804DEE" w:rsidRDefault="00744DF0">
                  <w:r w:rsidRPr="00804DEE">
                    <w:t>3.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656682C" w14:textId="77777777" w:rsidR="00744DF0" w:rsidRPr="00804DEE" w:rsidRDefault="00744DF0">
                  <w:r w:rsidRPr="00804DEE">
                    <w:t>4.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BE76175" w14:textId="77777777" w:rsidR="00744DF0" w:rsidRPr="00804DEE" w:rsidRDefault="00744DF0">
                  <w:r w:rsidRPr="00804DEE">
                    <w:t>5.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692C0EA" w14:textId="77777777" w:rsidR="00744DF0" w:rsidRPr="00804DEE" w:rsidRDefault="00744DF0">
                  <w:r w:rsidRPr="00804DEE">
                    <w:t>6.</w:t>
                  </w:r>
                </w:p>
              </w:tc>
              <w:tc>
                <w:tcPr>
                  <w:tcW w:w="306" w:type="dxa"/>
                  <w:vMerge w:val="restart"/>
                  <w:shd w:val="clear" w:color="auto" w:fill="auto"/>
                </w:tcPr>
                <w:p w14:paraId="66FF8AC7" w14:textId="7BD7F3D5" w:rsidR="00744DF0" w:rsidRPr="00804DEE" w:rsidRDefault="00744DF0"/>
              </w:tc>
            </w:tr>
            <w:tr w:rsidR="00744DF0" w:rsidRPr="00804DEE" w14:paraId="2BC6FD1E" w14:textId="77777777" w:rsidTr="00744DF0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F86E6CD" w14:textId="4E370BFE" w:rsidR="00744DF0" w:rsidRPr="00804DEE" w:rsidRDefault="00744DF0" w:rsidP="00FD7800">
                  <w:r w:rsidRPr="00804DEE">
                    <w:t xml:space="preserve">1. </w:t>
                  </w:r>
                  <w:r w:rsidR="00FD7800">
                    <w:t>Kontroldarbs</w:t>
                  </w:r>
                  <w:r w:rsidR="00AA6AE2">
                    <w:t xml:space="preserve"> I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155109D6" w14:textId="51FF0083" w:rsidR="00744DF0" w:rsidRPr="00804DEE" w:rsidRDefault="00D337E1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60F31588" w14:textId="446AF24B" w:rsidR="00744DF0" w:rsidRPr="00804DEE" w:rsidRDefault="00744DF0"/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88DE47C" w14:textId="3EC39534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6836056" w14:textId="703FD024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9137D50" w14:textId="5B20F6A1" w:rsidR="00744DF0" w:rsidRPr="00804DEE" w:rsidRDefault="00D337E1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1BBB3723" w14:textId="39746105" w:rsidR="00744DF0" w:rsidRPr="00804DEE" w:rsidRDefault="00744DF0"/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783F01B8" w14:textId="77777777" w:rsidR="00744DF0" w:rsidRPr="00804DEE" w:rsidRDefault="00744DF0"/>
              </w:tc>
            </w:tr>
            <w:tr w:rsidR="00744DF0" w:rsidRPr="00804DEE" w14:paraId="10960C99" w14:textId="77777777" w:rsidTr="00744DF0">
              <w:trPr>
                <w:trHeight w:val="35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BE92DCF" w14:textId="4F54B02B" w:rsidR="00744DF0" w:rsidRPr="00804DEE" w:rsidRDefault="00744DF0" w:rsidP="00FD7800">
                  <w:r w:rsidRPr="00804DEE">
                    <w:t xml:space="preserve">2. </w:t>
                  </w:r>
                  <w:r w:rsidR="00FD7800">
                    <w:t>Kontroldarbs II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B8F23BC" w14:textId="61799C4E" w:rsidR="00744DF0" w:rsidRPr="00804DEE" w:rsidRDefault="00D337E1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0D5AAC5B" w14:textId="40BAC738" w:rsidR="00744DF0" w:rsidRPr="00804DEE" w:rsidRDefault="00744DF0"/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A92D65A" w14:textId="5087FB53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E363CD9" w14:textId="0BC17459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21C917DE" w14:textId="179941F7" w:rsidR="00744DF0" w:rsidRPr="00804DEE" w:rsidRDefault="00D337E1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AA55A9E" w14:textId="58799758" w:rsidR="00744DF0" w:rsidRPr="00804DEE" w:rsidRDefault="00744DF0"/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7492375D" w14:textId="77777777" w:rsidR="00744DF0" w:rsidRPr="00804DEE" w:rsidRDefault="00744DF0"/>
              </w:tc>
            </w:tr>
            <w:tr w:rsidR="00744DF0" w:rsidRPr="00804DEE" w14:paraId="14357A21" w14:textId="77777777" w:rsidTr="00744DF0">
              <w:trPr>
                <w:trHeight w:val="265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76DF62A" w14:textId="5EB93FA8" w:rsidR="00744DF0" w:rsidRPr="00804DEE" w:rsidRDefault="00744DF0">
                  <w:r w:rsidRPr="00804DEE">
                    <w:t>3. Ierosmju publicēšana forumā Moodle vidē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00898606" w14:textId="0C599BFE" w:rsidR="00744DF0" w:rsidRPr="00804DEE" w:rsidRDefault="00D337E1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36E742B6" w14:textId="64C21F56" w:rsidR="00744DF0" w:rsidRPr="00804DEE" w:rsidRDefault="00D337E1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0F7123D" w14:textId="06390BB3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01839677" w14:textId="55828341" w:rsidR="00744DF0" w:rsidRPr="00804DEE" w:rsidRDefault="00D337E1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303000B7" w14:textId="0AF23B6B" w:rsidR="00744DF0" w:rsidRPr="00804DEE" w:rsidRDefault="00D337E1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3C9829C6" w14:textId="09DE3371" w:rsidR="00744DF0" w:rsidRPr="00804DEE" w:rsidRDefault="00D337E1">
                  <w:r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3487663D" w14:textId="77777777" w:rsidR="00744DF0" w:rsidRPr="00804DEE" w:rsidRDefault="00744DF0"/>
              </w:tc>
            </w:tr>
            <w:tr w:rsidR="00744DF0" w:rsidRPr="00804DEE" w14:paraId="18A8DDE6" w14:textId="77777777" w:rsidTr="00744DF0">
              <w:trPr>
                <w:trHeight w:val="269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29AFECF" w14:textId="5F50CA79" w:rsidR="00744DF0" w:rsidRPr="00804DEE" w:rsidRDefault="00744DF0">
                  <w:r w:rsidRPr="00804DEE">
                    <w:t xml:space="preserve">4. </w:t>
                  </w:r>
                  <w:r w:rsidR="00FD7800">
                    <w:t>Mutvārdu p</w:t>
                  </w:r>
                  <w:r w:rsidR="00AA6AE2">
                    <w:t>rezentācija</w:t>
                  </w:r>
                </w:p>
              </w:tc>
              <w:tc>
                <w:tcPr>
                  <w:tcW w:w="432" w:type="dxa"/>
                  <w:shd w:val="clear" w:color="auto" w:fill="auto"/>
                  <w:vAlign w:val="center"/>
                </w:tcPr>
                <w:p w14:paraId="6F2E2398" w14:textId="3D31C944" w:rsidR="00744DF0" w:rsidRPr="00804DEE" w:rsidRDefault="00107BE4">
                  <w:r>
                    <w:t>x</w:t>
                  </w:r>
                </w:p>
              </w:tc>
              <w:tc>
                <w:tcPr>
                  <w:tcW w:w="433" w:type="dxa"/>
                  <w:shd w:val="clear" w:color="auto" w:fill="auto"/>
                  <w:vAlign w:val="center"/>
                </w:tcPr>
                <w:p w14:paraId="58186CD0" w14:textId="3A030175" w:rsidR="00744DF0" w:rsidRPr="00804DEE" w:rsidRDefault="00107BE4">
                  <w:r>
                    <w:t>x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3C13454C" w14:textId="205BB17C" w:rsidR="00744DF0" w:rsidRPr="00804DEE" w:rsidRDefault="00107BE4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A56575D" w14:textId="78B49C90" w:rsidR="00744DF0" w:rsidRPr="00804DEE" w:rsidRDefault="00107BE4">
                  <w:r>
                    <w:t>x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D62740F" w14:textId="43E73B32" w:rsidR="00744DF0" w:rsidRPr="00804DEE" w:rsidRDefault="00107BE4">
                  <w:r>
                    <w:t>x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750B4527" w14:textId="18D6C2CF" w:rsidR="00744DF0" w:rsidRPr="00804DEE" w:rsidRDefault="00107BE4">
                  <w:r>
                    <w:t>x</w:t>
                  </w:r>
                </w:p>
              </w:tc>
              <w:tc>
                <w:tcPr>
                  <w:tcW w:w="306" w:type="dxa"/>
                  <w:vMerge/>
                  <w:shd w:val="clear" w:color="auto" w:fill="auto"/>
                  <w:vAlign w:val="center"/>
                </w:tcPr>
                <w:p w14:paraId="4C68E3FA" w14:textId="77777777" w:rsidR="00744DF0" w:rsidRPr="00804DEE" w:rsidRDefault="00744DF0"/>
              </w:tc>
            </w:tr>
          </w:tbl>
          <w:p w14:paraId="0D6A34F8" w14:textId="77777777" w:rsidR="00663345" w:rsidRPr="00804DEE" w:rsidRDefault="00663345"/>
          <w:p w14:paraId="3E7EC46B" w14:textId="77777777" w:rsidR="00663345" w:rsidRPr="00804DEE" w:rsidRDefault="00663345"/>
        </w:tc>
      </w:tr>
      <w:tr w:rsidR="00663345" w:rsidRPr="00804DEE" w14:paraId="768AFB27" w14:textId="77777777">
        <w:tc>
          <w:tcPr>
            <w:tcW w:w="9577" w:type="dxa"/>
            <w:gridSpan w:val="2"/>
          </w:tcPr>
          <w:p w14:paraId="20A50A5B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663345" w:rsidRPr="00804DEE" w14:paraId="74BCDDA0" w14:textId="77777777">
        <w:tc>
          <w:tcPr>
            <w:tcW w:w="9577" w:type="dxa"/>
            <w:gridSpan w:val="2"/>
          </w:tcPr>
          <w:p w14:paraId="5156B0F5" w14:textId="38AE6824" w:rsidR="0055292B" w:rsidRPr="00804DEE" w:rsidRDefault="00CA1031" w:rsidP="00744DF0">
            <w:r>
              <w:t>P</w:t>
            </w:r>
            <w:r w:rsidR="00C36999">
              <w:t xml:space="preserve"> </w:t>
            </w:r>
            <w:r>
              <w:t>32</w:t>
            </w:r>
            <w:r w:rsidR="00C36999">
              <w:t>,</w:t>
            </w:r>
            <w:r w:rsidR="0055292B" w:rsidRPr="00804DEE">
              <w:t xml:space="preserve"> Pd 48</w:t>
            </w:r>
          </w:p>
          <w:p w14:paraId="47720886" w14:textId="77777777" w:rsidR="00CA1031" w:rsidRDefault="00CA1031" w:rsidP="00CA1031">
            <w:r>
              <w:t xml:space="preserve">1. Mūsdienu izpratne par </w:t>
            </w:r>
            <w:r w:rsidRPr="00B9278B">
              <w:t>literatūru kā kultūras segmentu un diskursu, literāru darbu un tekstu</w:t>
            </w:r>
            <w:r>
              <w:t>. P2</w:t>
            </w:r>
          </w:p>
          <w:p w14:paraId="190873DE" w14:textId="025C39F7" w:rsidR="00A23DF2" w:rsidRDefault="00CA1031" w:rsidP="00CA1031">
            <w:r>
              <w:t>R.</w:t>
            </w:r>
            <w:r w:rsidR="00334AEC">
              <w:t xml:space="preserve"> Vel</w:t>
            </w:r>
            <w:r w:rsidR="00DE5235">
              <w:t>l</w:t>
            </w:r>
            <w:r w:rsidR="00334AEC">
              <w:t>eks par literatūras vēsturi</w:t>
            </w:r>
            <w:r>
              <w:t>, literatūra</w:t>
            </w:r>
            <w:r w:rsidR="00334AEC">
              <w:t>s kritiku, literatūras teoriju</w:t>
            </w:r>
            <w:r>
              <w:t>. R. Barts par litrārā darba un teksta šķīrumu. Hermenētiskā un poststrukturālā izpratne par tekstu.</w:t>
            </w:r>
            <w:r w:rsidR="00334AEC">
              <w:t xml:space="preserve"> Darbs ar teorētisku tekstu fragmentiem.</w:t>
            </w:r>
          </w:p>
          <w:p w14:paraId="18B674AD" w14:textId="77777777" w:rsidR="00CA1031" w:rsidRDefault="00CA1031" w:rsidP="00CA1031">
            <w:r>
              <w:t xml:space="preserve">2. </w:t>
            </w:r>
            <w:r w:rsidRPr="00B9278B">
              <w:t>Literārā virziena un žanra jēdzieni. Literāro virzienu daudzveidība un vēsturiskā attīstība</w:t>
            </w:r>
            <w:r>
              <w:t>. P6</w:t>
            </w:r>
          </w:p>
          <w:p w14:paraId="70E70E2C" w14:textId="5719446A" w:rsidR="00334AEC" w:rsidRDefault="00D10E1B" w:rsidP="00CA1031">
            <w:r>
              <w:t>Centrālie</w:t>
            </w:r>
            <w:r w:rsidR="00DE5235">
              <w:t xml:space="preserve"> literārie virzieni anglofon</w:t>
            </w:r>
            <w:r w:rsidR="00334AEC">
              <w:t>ajā literatūrā: klasicisms, romantisms, reālisms, naturālisms, modernisms, postmodernisms. Prezentācijas un diskusija.</w:t>
            </w:r>
          </w:p>
          <w:p w14:paraId="0AA223FD" w14:textId="77777777" w:rsidR="00334AEC" w:rsidRPr="00334AEC" w:rsidRDefault="00334AEC" w:rsidP="00334AEC">
            <w:r w:rsidRPr="00334AEC">
              <w:t>3. Mūsdienu izpratne par literāro žanru un žanram atbilstošo poētiku. Dzejas, dramaturģijas, prozas žanri un to poētika. P12</w:t>
            </w:r>
          </w:p>
          <w:p w14:paraId="39F73924" w14:textId="3AD2D25B" w:rsidR="00CA1031" w:rsidRDefault="00334AEC" w:rsidP="00CA1031">
            <w:pPr>
              <w:rPr>
                <w:lang w:eastAsia="lv-LV"/>
              </w:rPr>
            </w:pPr>
            <w:r>
              <w:t xml:space="preserve">3.1. </w:t>
            </w:r>
            <w:r>
              <w:rPr>
                <w:lang w:eastAsia="lv-LV"/>
              </w:rPr>
              <w:t>Eposs, galvenie dzejas žanri: elēģija, himna, oda, sonets, balāde u.c. Mīlas lirika. Materiālu apspriešana, prezentācijas un diskusija.</w:t>
            </w:r>
          </w:p>
          <w:p w14:paraId="44DCC699" w14:textId="71D5DCFE" w:rsidR="00334AEC" w:rsidRDefault="00334AEC" w:rsidP="00CA1031">
            <w:pPr>
              <w:rPr>
                <w:lang w:eastAsia="lv-LV"/>
              </w:rPr>
            </w:pPr>
            <w:r>
              <w:rPr>
                <w:lang w:eastAsia="lv-LV"/>
              </w:rPr>
              <w:t>3.2. Dzejas poētika: liriskais subjekts, tonis, tēlainība, tēlainās izteiksmes līdzekļi, ritms u.c. Soneta, elēģijas, mīlas dzejoļa analīze.</w:t>
            </w:r>
          </w:p>
          <w:p w14:paraId="348BF44F" w14:textId="4995313A" w:rsidR="00334AEC" w:rsidRDefault="00334AEC" w:rsidP="00CA1031">
            <w:pPr>
              <w:rPr>
                <w:lang w:eastAsia="lv-LV"/>
              </w:rPr>
            </w:pPr>
            <w:r>
              <w:rPr>
                <w:lang w:eastAsia="lv-LV"/>
              </w:rPr>
              <w:t>3.3. Galvenie dramaturģijas žanri: traģēdija, komēdija, traģikomēdija, vēsturiskā drāma, psiholoģiskā drāma, absurda drāma u.c. Materiālu apspriešana, prezentācijas un diskusija.</w:t>
            </w:r>
          </w:p>
          <w:p w14:paraId="1F3ACADA" w14:textId="518BC2D5" w:rsidR="00334AEC" w:rsidRDefault="00334AEC" w:rsidP="00334AEC">
            <w:pPr>
              <w:autoSpaceDE/>
              <w:autoSpaceDN/>
              <w:adjustRightInd/>
              <w:rPr>
                <w:lang w:eastAsia="lv-LV"/>
              </w:rPr>
            </w:pPr>
            <w:r>
              <w:rPr>
                <w:lang w:eastAsia="lv-LV"/>
              </w:rPr>
              <w:t>3.4. Drāmas poētika: konflikts, darbības kompozīcija, varonis dramaturģijā. Psiholoģiskas drāmas (T. Viljamsa vai cita) konflikta un varoņu analīze. Absurda drāmas specifika S. Beketa un H. Pintera daiļradē.</w:t>
            </w:r>
          </w:p>
          <w:p w14:paraId="79BE3433" w14:textId="73003210" w:rsidR="00334AEC" w:rsidRDefault="00334AEC" w:rsidP="00334AEC">
            <w:pPr>
              <w:autoSpaceDE/>
              <w:autoSpaceDN/>
              <w:adjustRightInd/>
              <w:rPr>
                <w:lang w:eastAsia="lv-LV"/>
              </w:rPr>
            </w:pPr>
            <w:r>
              <w:rPr>
                <w:lang w:eastAsia="lv-LV"/>
              </w:rPr>
              <w:t xml:space="preserve">3.5. </w:t>
            </w:r>
            <w:r w:rsidRPr="00334AEC">
              <w:rPr>
                <w:lang w:eastAsia="lv-LV"/>
              </w:rPr>
              <w:t>Galvenie prozas žanri: romāns, novele, stāsts u.c. Materiālu apspriešana, prezentācijas un diskusija</w:t>
            </w:r>
            <w:r>
              <w:rPr>
                <w:lang w:eastAsia="lv-LV"/>
              </w:rPr>
              <w:t>.</w:t>
            </w:r>
          </w:p>
          <w:p w14:paraId="63CD424C" w14:textId="58BD5F77" w:rsidR="00D10E1B" w:rsidRPr="00D10E1B" w:rsidRDefault="00334AEC" w:rsidP="00D10E1B">
            <w:pPr>
              <w:autoSpaceDE/>
              <w:autoSpaceDN/>
              <w:adjustRightInd/>
              <w:rPr>
                <w:lang w:eastAsia="lv-LV"/>
              </w:rPr>
            </w:pPr>
            <w:r>
              <w:rPr>
                <w:lang w:eastAsia="lv-LV"/>
              </w:rPr>
              <w:t xml:space="preserve">3.6. </w:t>
            </w:r>
            <w:r w:rsidR="00D10E1B" w:rsidRPr="00D10E1B">
              <w:rPr>
                <w:lang w:eastAsia="lv-LV"/>
              </w:rPr>
              <w:t xml:space="preserve">Prozas poētika: sižets, personāžu sistēma, telplaiks, vēstījums. Prozas poētikas elementu analīze stāstā/novelē </w:t>
            </w:r>
            <w:r w:rsidR="00D10E1B">
              <w:rPr>
                <w:lang w:eastAsia="lv-LV"/>
              </w:rPr>
              <w:t>(E. Hemingveja, E.A. Po vai cita</w:t>
            </w:r>
            <w:r w:rsidR="00D10E1B" w:rsidRPr="00D10E1B">
              <w:rPr>
                <w:lang w:eastAsia="lv-LV"/>
              </w:rPr>
              <w:t xml:space="preserve">). </w:t>
            </w:r>
          </w:p>
          <w:p w14:paraId="74933560" w14:textId="62185628" w:rsidR="00334AEC" w:rsidRDefault="00D10E1B" w:rsidP="00334AEC">
            <w:pPr>
              <w:autoSpaceDE/>
              <w:autoSpaceDN/>
              <w:adjustRightInd/>
              <w:rPr>
                <w:lang w:eastAsia="lv-LV"/>
              </w:rPr>
            </w:pPr>
            <w:r>
              <w:t xml:space="preserve">4. </w:t>
            </w:r>
            <w:r w:rsidRPr="00B9278B">
              <w:t>Pieejas literāra teksta analīzei: vēsturiskā, formālā, hermenētiskā, poststrukturālā, dzimtes un postkoloniālā</w:t>
            </w:r>
            <w:r>
              <w:t>. P12</w:t>
            </w:r>
          </w:p>
          <w:p w14:paraId="7B8E4FD0" w14:textId="5A22F972" w:rsidR="00334AEC" w:rsidRDefault="00D10E1B" w:rsidP="00CA1031">
            <w:r>
              <w:t xml:space="preserve">4.1. </w:t>
            </w:r>
            <w:r w:rsidR="00EC2528">
              <w:t xml:space="preserve">Vēsturiskā un biogrāfiskā pieeja literāram tekstam. Materiālu apspriešana, K. Šopinas stāsta “Desiree’s Baby” interpretācija. </w:t>
            </w:r>
          </w:p>
          <w:p w14:paraId="1E1F7A95" w14:textId="794E227F" w:rsidR="00CA1031" w:rsidRDefault="00D10E1B" w:rsidP="00CA1031">
            <w:pPr>
              <w:rPr>
                <w:lang w:eastAsia="lv-LV"/>
              </w:rPr>
            </w:pPr>
            <w:r>
              <w:t xml:space="preserve">4.2. </w:t>
            </w:r>
            <w:r>
              <w:rPr>
                <w:lang w:eastAsia="lv-LV"/>
              </w:rPr>
              <w:t xml:space="preserve">Anglo-amerikāņu “Jaunā kritika”. T.S. Eliota un A. Ričārdsa idejas, to izmantojums literārā teksta analīzē. Rakstu apspriešana, </w:t>
            </w:r>
            <w:r w:rsidR="00EC2528">
              <w:rPr>
                <w:lang w:eastAsia="lv-LV"/>
              </w:rPr>
              <w:t xml:space="preserve">angļu romantisma un modernisma </w:t>
            </w:r>
            <w:r>
              <w:rPr>
                <w:lang w:eastAsia="lv-LV"/>
              </w:rPr>
              <w:t xml:space="preserve">dzejas tekstu </w:t>
            </w:r>
            <w:r w:rsidR="00EC2528">
              <w:rPr>
                <w:lang w:eastAsia="lv-LV"/>
              </w:rPr>
              <w:t>interpretācija</w:t>
            </w:r>
            <w:r>
              <w:rPr>
                <w:lang w:eastAsia="lv-LV"/>
              </w:rPr>
              <w:t>.</w:t>
            </w:r>
          </w:p>
          <w:p w14:paraId="458E6509" w14:textId="424CCC12" w:rsidR="00EC2528" w:rsidRDefault="00D10E1B" w:rsidP="00D10E1B">
            <w:pPr>
              <w:autoSpaceDE/>
              <w:autoSpaceDN/>
              <w:adjustRightInd/>
              <w:rPr>
                <w:lang w:eastAsia="lv-LV"/>
              </w:rPr>
            </w:pPr>
            <w:r>
              <w:rPr>
                <w:lang w:eastAsia="lv-LV"/>
              </w:rPr>
              <w:t xml:space="preserve">4.3. </w:t>
            </w:r>
            <w:r w:rsidR="00EC2528">
              <w:rPr>
                <w:lang w:eastAsia="lv-LV"/>
              </w:rPr>
              <w:t>Hermenētika un recepcijas teorijas. Uz lasītāju orientētā pieeja literāram tekstam. Materiālu apspriešana, postkoloniālo autoru (L. Hjūza, N. Rosas, G. Soto, G. Jenas u.c.) dzejas un prozas tekstu interpretācija.</w:t>
            </w:r>
          </w:p>
          <w:p w14:paraId="1B7C08D5" w14:textId="4BB5C926" w:rsidR="00D10E1B" w:rsidRDefault="00EC2528" w:rsidP="003D30A8">
            <w:pPr>
              <w:autoSpaceDE/>
              <w:autoSpaceDN/>
              <w:adjustRightInd/>
              <w:rPr>
                <w:lang w:eastAsia="lv-LV"/>
              </w:rPr>
            </w:pPr>
            <w:r>
              <w:rPr>
                <w:lang w:eastAsia="lv-LV"/>
              </w:rPr>
              <w:t xml:space="preserve">4.4. </w:t>
            </w:r>
            <w:r w:rsidR="00D10E1B">
              <w:rPr>
                <w:lang w:eastAsia="lv-LV"/>
              </w:rPr>
              <w:t>Dekonstrukcija. Jeila dekonstrukcionisti. Rakstu apspriešana.</w:t>
            </w:r>
          </w:p>
          <w:p w14:paraId="4122F279" w14:textId="139B017F" w:rsidR="00D10E1B" w:rsidRPr="00804DEE" w:rsidRDefault="003D30A8" w:rsidP="003D30A8">
            <w:r>
              <w:rPr>
                <w:lang w:eastAsia="lv-LV"/>
              </w:rPr>
              <w:t>4.5</w:t>
            </w:r>
            <w:r w:rsidR="00D10E1B">
              <w:rPr>
                <w:lang w:eastAsia="lv-LV"/>
              </w:rPr>
              <w:t xml:space="preserve">. Psihoanalītiskā, dzimtes, postkoloniālā pieeja. Rakstu apspriešana, dzejas un/vai prozas tekstu </w:t>
            </w:r>
            <w:r>
              <w:rPr>
                <w:lang w:eastAsia="lv-LV"/>
              </w:rPr>
              <w:t>(</w:t>
            </w:r>
            <w:r w:rsidR="00AE648E">
              <w:rPr>
                <w:lang w:eastAsia="lv-LV"/>
              </w:rPr>
              <w:t xml:space="preserve">D.H.Lorenss “Sun”, </w:t>
            </w:r>
            <w:r>
              <w:rPr>
                <w:lang w:eastAsia="lv-LV"/>
              </w:rPr>
              <w:t>K. Mensfilda “Bliss”, A. Manro “Wild Swans”, M. Atvuda “This Is a Photograph of Me” vai citu) interpretācija</w:t>
            </w:r>
            <w:r w:rsidR="00D10E1B">
              <w:rPr>
                <w:lang w:eastAsia="lv-LV"/>
              </w:rPr>
              <w:t>.</w:t>
            </w:r>
          </w:p>
        </w:tc>
      </w:tr>
      <w:tr w:rsidR="00663345" w:rsidRPr="00804DEE" w14:paraId="6F058009" w14:textId="77777777">
        <w:tc>
          <w:tcPr>
            <w:tcW w:w="9577" w:type="dxa"/>
            <w:gridSpan w:val="2"/>
          </w:tcPr>
          <w:p w14:paraId="0C8F42E2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lastRenderedPageBreak/>
              <w:t>Obligāti izmantojamie informācijas avoti</w:t>
            </w:r>
          </w:p>
        </w:tc>
      </w:tr>
      <w:tr w:rsidR="00663345" w:rsidRPr="00804DEE" w14:paraId="38DE2FCA" w14:textId="77777777">
        <w:tc>
          <w:tcPr>
            <w:tcW w:w="9577" w:type="dxa"/>
            <w:gridSpan w:val="2"/>
          </w:tcPr>
          <w:p w14:paraId="1CF16375" w14:textId="267656FF" w:rsidR="00123F85" w:rsidRDefault="00123F85" w:rsidP="00A82ED1">
            <w:pPr>
              <w:jc w:val="both"/>
              <w:rPr>
                <w:iCs w:val="0"/>
                <w:sz w:val="22"/>
                <w:szCs w:val="22"/>
              </w:rPr>
            </w:pPr>
            <w:proofErr w:type="spellStart"/>
            <w:r>
              <w:rPr>
                <w:iCs w:val="0"/>
                <w:sz w:val="22"/>
                <w:szCs w:val="22"/>
              </w:rPr>
              <w:t>Bennet</w:t>
            </w:r>
            <w:proofErr w:type="spellEnd"/>
            <w:r w:rsidR="003230B3">
              <w:rPr>
                <w:iCs w:val="0"/>
                <w:sz w:val="22"/>
                <w:szCs w:val="22"/>
              </w:rPr>
              <w:t>,</w:t>
            </w:r>
            <w:r>
              <w:rPr>
                <w:iCs w:val="0"/>
                <w:sz w:val="22"/>
                <w:szCs w:val="22"/>
              </w:rPr>
              <w:t xml:space="preserve"> A., Royle N. An Introduction to Literature, Criticism and Theory. 2009</w:t>
            </w:r>
            <w:r w:rsidR="00C02146">
              <w:rPr>
                <w:iCs w:val="0"/>
                <w:sz w:val="22"/>
                <w:szCs w:val="22"/>
              </w:rPr>
              <w:t xml:space="preserve">. </w:t>
            </w:r>
            <w:r w:rsidR="00E346F6">
              <w:rPr>
                <w:iCs w:val="0"/>
                <w:sz w:val="22"/>
                <w:szCs w:val="22"/>
              </w:rPr>
              <w:t xml:space="preserve">Chapters 2, 3, 4, 7, 8, 10, </w:t>
            </w:r>
            <w:proofErr w:type="spellStart"/>
            <w:r w:rsidR="00E346F6">
              <w:rPr>
                <w:iCs w:val="0"/>
                <w:sz w:val="22"/>
                <w:szCs w:val="22"/>
              </w:rPr>
              <w:t>glossary</w:t>
            </w:r>
            <w:proofErr w:type="spellEnd"/>
            <w:r w:rsidR="00E346F6">
              <w:rPr>
                <w:iCs w:val="0"/>
                <w:sz w:val="22"/>
                <w:szCs w:val="22"/>
              </w:rPr>
              <w:t>.</w:t>
            </w:r>
          </w:p>
          <w:p w14:paraId="181472B7" w14:textId="3DA17892" w:rsidR="00BD1A29" w:rsidRPr="00BD1A29" w:rsidRDefault="00BD1A29" w:rsidP="00A82ED1">
            <w:pPr>
              <w:jc w:val="both"/>
              <w:rPr>
                <w:i/>
                <w:iCs w:val="0"/>
                <w:sz w:val="22"/>
                <w:szCs w:val="22"/>
              </w:rPr>
            </w:pPr>
            <w:proofErr w:type="spellStart"/>
            <w:r w:rsidRPr="00DD1736">
              <w:rPr>
                <w:iCs w:val="0"/>
                <w:sz w:val="22"/>
                <w:szCs w:val="22"/>
              </w:rPr>
              <w:t>Cuddon</w:t>
            </w:r>
            <w:proofErr w:type="spellEnd"/>
            <w:r w:rsidRPr="00DD1736">
              <w:rPr>
                <w:iCs w:val="0"/>
                <w:sz w:val="22"/>
                <w:szCs w:val="22"/>
              </w:rPr>
              <w:t>, J.A.</w:t>
            </w:r>
            <w:r w:rsidRPr="00C76DBC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C76DBC">
              <w:rPr>
                <w:i/>
                <w:iCs w:val="0"/>
                <w:sz w:val="22"/>
                <w:szCs w:val="22"/>
              </w:rPr>
              <w:t>Dictionary</w:t>
            </w:r>
            <w:proofErr w:type="spellEnd"/>
            <w:r w:rsidRPr="00C76DBC">
              <w:rPr>
                <w:i/>
                <w:iCs w:val="0"/>
                <w:sz w:val="22"/>
                <w:szCs w:val="22"/>
              </w:rPr>
              <w:t xml:space="preserve"> </w:t>
            </w:r>
            <w:proofErr w:type="spellStart"/>
            <w:r w:rsidRPr="00C76DBC">
              <w:rPr>
                <w:i/>
                <w:iCs w:val="0"/>
                <w:sz w:val="22"/>
                <w:szCs w:val="22"/>
              </w:rPr>
              <w:t>of</w:t>
            </w:r>
            <w:proofErr w:type="spellEnd"/>
            <w:r w:rsidRPr="00C76DBC">
              <w:rPr>
                <w:i/>
                <w:iCs w:val="0"/>
                <w:sz w:val="22"/>
                <w:szCs w:val="22"/>
              </w:rPr>
              <w:t xml:space="preserve"> Literary Terms and Literary Theory. </w:t>
            </w:r>
            <w:proofErr w:type="spellStart"/>
            <w:r w:rsidRPr="00CB7BBD">
              <w:rPr>
                <w:iCs w:val="0"/>
                <w:sz w:val="22"/>
                <w:szCs w:val="22"/>
              </w:rPr>
              <w:t>Wiley-Blackwell</w:t>
            </w:r>
            <w:proofErr w:type="spellEnd"/>
            <w:r w:rsidRPr="00CB7BBD">
              <w:rPr>
                <w:iCs w:val="0"/>
                <w:sz w:val="22"/>
                <w:szCs w:val="22"/>
              </w:rPr>
              <w:t>, 2012.</w:t>
            </w:r>
          </w:p>
          <w:p w14:paraId="3DA4B4A3" w14:textId="5DA1B26B" w:rsidR="00A82ED1" w:rsidRPr="00DD1736" w:rsidRDefault="00A82ED1" w:rsidP="00A82ED1">
            <w:pPr>
              <w:jc w:val="both"/>
              <w:rPr>
                <w:iCs w:val="0"/>
                <w:sz w:val="22"/>
                <w:szCs w:val="22"/>
              </w:rPr>
            </w:pPr>
            <w:r w:rsidRPr="001B142E">
              <w:rPr>
                <w:iCs w:val="0"/>
                <w:sz w:val="22"/>
                <w:szCs w:val="22"/>
              </w:rPr>
              <w:t>DiYanni, R.</w:t>
            </w:r>
            <w:r w:rsidR="00DD1736" w:rsidRPr="001B142E">
              <w:rPr>
                <w:iCs w:val="0"/>
                <w:sz w:val="22"/>
                <w:szCs w:val="22"/>
              </w:rPr>
              <w:t>, ed.</w:t>
            </w:r>
            <w:r w:rsidRPr="001B142E">
              <w:rPr>
                <w:i/>
                <w:iCs w:val="0"/>
                <w:sz w:val="22"/>
                <w:szCs w:val="22"/>
              </w:rPr>
              <w:t xml:space="preserve"> Literature: Reading Fiction, Poetry, Drama and the Essay. </w:t>
            </w:r>
            <w:r w:rsidRPr="001B142E">
              <w:rPr>
                <w:iCs w:val="0"/>
                <w:sz w:val="22"/>
                <w:szCs w:val="22"/>
              </w:rPr>
              <w:t>New York: McGr</w:t>
            </w:r>
            <w:r w:rsidR="00DD1736" w:rsidRPr="001B142E">
              <w:rPr>
                <w:iCs w:val="0"/>
                <w:sz w:val="22"/>
                <w:szCs w:val="22"/>
              </w:rPr>
              <w:t>aw-Hill Publishing Company, 2007</w:t>
            </w:r>
            <w:r w:rsidRPr="001B142E">
              <w:rPr>
                <w:iCs w:val="0"/>
                <w:sz w:val="22"/>
                <w:szCs w:val="22"/>
              </w:rPr>
              <w:t>.</w:t>
            </w:r>
            <w:r w:rsidR="00DD1736">
              <w:rPr>
                <w:iCs w:val="0"/>
                <w:sz w:val="22"/>
                <w:szCs w:val="22"/>
              </w:rPr>
              <w:t xml:space="preserve"> </w:t>
            </w:r>
          </w:p>
          <w:p w14:paraId="0C9FD2AF" w14:textId="24F438D3" w:rsidR="00800FF6" w:rsidRDefault="00800FF6" w:rsidP="00A82ED1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Harrison</w:t>
            </w:r>
            <w:proofErr w:type="spellEnd"/>
            <w:r w:rsidR="003230B3">
              <w:rPr>
                <w:sz w:val="22"/>
                <w:szCs w:val="22"/>
              </w:rPr>
              <w:t>,</w:t>
            </w:r>
            <w:r w:rsidR="00017C6E">
              <w:rPr>
                <w:sz w:val="22"/>
                <w:szCs w:val="22"/>
              </w:rPr>
              <w:t xml:space="preserve"> </w:t>
            </w:r>
            <w:proofErr w:type="spellStart"/>
            <w:r w:rsidR="00017C6E">
              <w:rPr>
                <w:sz w:val="22"/>
                <w:szCs w:val="22"/>
              </w:rPr>
              <w:t>Ch</w:t>
            </w:r>
            <w:proofErr w:type="spellEnd"/>
            <w:r w:rsidR="00017C6E">
              <w:rPr>
                <w:sz w:val="22"/>
                <w:szCs w:val="22"/>
              </w:rPr>
              <w:t xml:space="preserve">., Wood P. </w:t>
            </w:r>
            <w:r w:rsidR="00017C6E" w:rsidRPr="0026299A">
              <w:rPr>
                <w:i/>
                <w:iCs w:val="0"/>
                <w:sz w:val="22"/>
                <w:szCs w:val="22"/>
              </w:rPr>
              <w:t>Art in Theory 1900 – 1990. An Anthology of Changing Ideas</w:t>
            </w:r>
            <w:r w:rsidR="00017C6E">
              <w:rPr>
                <w:sz w:val="22"/>
                <w:szCs w:val="22"/>
              </w:rPr>
              <w:t xml:space="preserve">. Blackwell, 1995. pp. 130-135; 140-152; 432-450; </w:t>
            </w:r>
            <w:r w:rsidR="0026299A">
              <w:rPr>
                <w:sz w:val="22"/>
                <w:szCs w:val="22"/>
              </w:rPr>
              <w:t>549-553</w:t>
            </w:r>
            <w:r w:rsidR="00017C6E">
              <w:rPr>
                <w:sz w:val="22"/>
                <w:szCs w:val="22"/>
              </w:rPr>
              <w:t>;</w:t>
            </w:r>
            <w:r w:rsidR="0026299A">
              <w:rPr>
                <w:sz w:val="22"/>
                <w:szCs w:val="22"/>
              </w:rPr>
              <w:t xml:space="preserve"> 587-608;</w:t>
            </w:r>
            <w:r w:rsidR="00017C6E">
              <w:rPr>
                <w:sz w:val="22"/>
                <w:szCs w:val="22"/>
              </w:rPr>
              <w:t xml:space="preserve"> 993-1014.</w:t>
            </w:r>
          </w:p>
          <w:p w14:paraId="6AEC409D" w14:textId="3CD2BD18" w:rsidR="00C02146" w:rsidRPr="00C02146" w:rsidRDefault="00C02146" w:rsidP="00646E58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Mackay</w:t>
            </w:r>
            <w:r w:rsidR="003230B3">
              <w:rPr>
                <w:color w:val="000000"/>
                <w:sz w:val="22"/>
                <w:szCs w:val="22"/>
                <w:lang w:val="en-US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M. </w:t>
            </w:r>
            <w:r w:rsidRPr="00E346F6">
              <w:rPr>
                <w:rFonts w:ascii="Calibri" w:hAnsi="Calibri"/>
                <w:i/>
                <w:color w:val="000000"/>
                <w:sz w:val="22"/>
                <w:szCs w:val="22"/>
                <w:lang w:val="en-US"/>
              </w:rPr>
              <w:t>The Cambridge Introduction to the Novel</w:t>
            </w:r>
            <w:r>
              <w:rPr>
                <w:color w:val="000000"/>
                <w:sz w:val="22"/>
                <w:szCs w:val="22"/>
                <w:lang w:val="en-US"/>
              </w:rPr>
              <w:t>. Cambridge UP, 2011. pp. 1-15; 21-33; 39-59.</w:t>
            </w:r>
          </w:p>
          <w:p w14:paraId="11E5424E" w14:textId="63F6D482" w:rsidR="00E346F6" w:rsidRDefault="00E346F6" w:rsidP="00646E58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Montgomery M.</w:t>
            </w:r>
            <w:r w:rsidR="00CB7BBD">
              <w:rPr>
                <w:sz w:val="22"/>
                <w:szCs w:val="22"/>
                <w:lang w:val="en-GB"/>
              </w:rPr>
              <w:t xml:space="preserve"> et al.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Pr="00E346F6">
              <w:rPr>
                <w:i/>
                <w:sz w:val="22"/>
                <w:szCs w:val="22"/>
                <w:lang w:val="en-GB"/>
              </w:rPr>
              <w:t>Ways of Reading</w:t>
            </w:r>
            <w:r>
              <w:rPr>
                <w:sz w:val="22"/>
                <w:szCs w:val="22"/>
                <w:lang w:val="en-GB"/>
              </w:rPr>
              <w:t xml:space="preserve">. </w:t>
            </w:r>
            <w:r w:rsidR="00CB7BBD">
              <w:rPr>
                <w:sz w:val="22"/>
                <w:szCs w:val="22"/>
                <w:lang w:val="en-GB"/>
              </w:rPr>
              <w:t>3</w:t>
            </w:r>
            <w:r w:rsidR="00CB7BBD" w:rsidRPr="00CB7BBD">
              <w:rPr>
                <w:sz w:val="22"/>
                <w:szCs w:val="22"/>
                <w:vertAlign w:val="superscript"/>
                <w:lang w:val="en-GB"/>
              </w:rPr>
              <w:t>rd</w:t>
            </w:r>
            <w:r w:rsidR="00CB7BBD">
              <w:rPr>
                <w:sz w:val="22"/>
                <w:szCs w:val="22"/>
                <w:lang w:val="en-GB"/>
              </w:rPr>
              <w:t xml:space="preserve"> edition. Routledge, 2007. Chapters 4, 10, 16, 17, 20, 24.</w:t>
            </w:r>
          </w:p>
          <w:p w14:paraId="77AC9C62" w14:textId="43E4D52B" w:rsidR="00663345" w:rsidRDefault="00646E58" w:rsidP="00AC582D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Nicholls</w:t>
            </w:r>
            <w:r w:rsidR="003230B3">
              <w:rPr>
                <w:sz w:val="22"/>
                <w:szCs w:val="22"/>
                <w:lang w:val="en-GB"/>
              </w:rPr>
              <w:t>,</w:t>
            </w:r>
            <w:r>
              <w:rPr>
                <w:sz w:val="22"/>
                <w:szCs w:val="22"/>
                <w:lang w:val="en-GB"/>
              </w:rPr>
              <w:t xml:space="preserve"> P. </w:t>
            </w:r>
            <w:r w:rsidRPr="00646E58">
              <w:rPr>
                <w:i/>
                <w:iCs w:val="0"/>
                <w:sz w:val="22"/>
                <w:szCs w:val="22"/>
                <w:lang w:val="en-GB"/>
              </w:rPr>
              <w:t>Modernisms. A Literary Guide</w:t>
            </w:r>
            <w:r>
              <w:rPr>
                <w:sz w:val="22"/>
                <w:szCs w:val="22"/>
                <w:lang w:val="en-GB"/>
              </w:rPr>
              <w:t>. University of Ca</w:t>
            </w:r>
            <w:r w:rsidR="00DD1736">
              <w:rPr>
                <w:sz w:val="22"/>
                <w:szCs w:val="22"/>
                <w:lang w:val="en-GB"/>
              </w:rPr>
              <w:t>lifornia Press, 1995. Pp. 5-62</w:t>
            </w:r>
            <w:r>
              <w:rPr>
                <w:sz w:val="22"/>
                <w:szCs w:val="22"/>
                <w:lang w:val="en-GB"/>
              </w:rPr>
              <w:t>.</w:t>
            </w:r>
          </w:p>
          <w:p w14:paraId="02094665" w14:textId="7C1A4E53" w:rsidR="001B142E" w:rsidRPr="00E346F6" w:rsidRDefault="005B20B0" w:rsidP="00AC582D">
            <w:pPr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The Routledge Dictionary of Literary Terms. Eds. P. Childs, R. Fowler. Routledge, 2006. </w:t>
            </w:r>
          </w:p>
        </w:tc>
      </w:tr>
      <w:tr w:rsidR="00663345" w:rsidRPr="00804DEE" w14:paraId="1CF06661" w14:textId="77777777">
        <w:tc>
          <w:tcPr>
            <w:tcW w:w="9577" w:type="dxa"/>
            <w:gridSpan w:val="2"/>
          </w:tcPr>
          <w:p w14:paraId="3EDC1A79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Papildus informācijas avoti</w:t>
            </w:r>
          </w:p>
        </w:tc>
      </w:tr>
      <w:tr w:rsidR="00663345" w:rsidRPr="00804DEE" w14:paraId="0547BC84" w14:textId="77777777">
        <w:tc>
          <w:tcPr>
            <w:tcW w:w="9577" w:type="dxa"/>
            <w:gridSpan w:val="2"/>
          </w:tcPr>
          <w:p w14:paraId="36F029C9" w14:textId="07A54D89" w:rsidR="00C76DBC" w:rsidRDefault="00C76DBC" w:rsidP="00C76DBC">
            <w:pPr>
              <w:jc w:val="both"/>
              <w:rPr>
                <w:iCs w:val="0"/>
                <w:sz w:val="22"/>
                <w:szCs w:val="22"/>
              </w:rPr>
            </w:pPr>
            <w:proofErr w:type="spellStart"/>
            <w:r w:rsidRPr="001B142E">
              <w:rPr>
                <w:iCs w:val="0"/>
                <w:sz w:val="22"/>
                <w:szCs w:val="22"/>
              </w:rPr>
              <w:t>Culler</w:t>
            </w:r>
            <w:proofErr w:type="spellEnd"/>
            <w:r w:rsidRPr="001B142E">
              <w:rPr>
                <w:iCs w:val="0"/>
                <w:sz w:val="22"/>
                <w:szCs w:val="22"/>
              </w:rPr>
              <w:t>, J.</w:t>
            </w:r>
            <w:r w:rsidRPr="001B142E">
              <w:rPr>
                <w:i/>
                <w:iCs w:val="0"/>
                <w:sz w:val="22"/>
                <w:szCs w:val="22"/>
              </w:rPr>
              <w:t xml:space="preserve"> On Deconstruction. Theory and Criticism after Structuralism. </w:t>
            </w:r>
            <w:r w:rsidRPr="001B142E">
              <w:rPr>
                <w:iCs w:val="0"/>
                <w:sz w:val="22"/>
                <w:szCs w:val="22"/>
              </w:rPr>
              <w:t xml:space="preserve">Ithaca: Cornell University Press, 2008. </w:t>
            </w:r>
            <w:proofErr w:type="spellStart"/>
            <w:r w:rsidR="00BD1A29">
              <w:rPr>
                <w:iCs w:val="0"/>
                <w:sz w:val="22"/>
                <w:szCs w:val="22"/>
              </w:rPr>
              <w:t>Chapters</w:t>
            </w:r>
            <w:proofErr w:type="spellEnd"/>
            <w:r w:rsidR="00BD1A29">
              <w:rPr>
                <w:iCs w:val="0"/>
                <w:sz w:val="22"/>
                <w:szCs w:val="22"/>
              </w:rPr>
              <w:t xml:space="preserve"> 1, 3.</w:t>
            </w:r>
          </w:p>
          <w:p w14:paraId="56C3890E" w14:textId="07989FF4" w:rsidR="00C43084" w:rsidRPr="001B142E" w:rsidRDefault="00C76DBC" w:rsidP="00C76DBC">
            <w:pPr>
              <w:jc w:val="both"/>
              <w:rPr>
                <w:iCs w:val="0"/>
                <w:sz w:val="22"/>
                <w:szCs w:val="22"/>
                <w:lang w:val="en-GB"/>
              </w:rPr>
            </w:pPr>
            <w:r w:rsidRPr="001B142E">
              <w:rPr>
                <w:iCs w:val="0"/>
                <w:sz w:val="22"/>
                <w:szCs w:val="22"/>
                <w:lang w:val="en-US"/>
              </w:rPr>
              <w:t>Hawkes, T.</w:t>
            </w:r>
            <w:r w:rsidRPr="001B142E">
              <w:rPr>
                <w:i/>
                <w:iCs w:val="0"/>
                <w:sz w:val="22"/>
                <w:szCs w:val="22"/>
                <w:lang w:val="en-US"/>
              </w:rPr>
              <w:t xml:space="preserve"> </w:t>
            </w:r>
            <w:r w:rsidRPr="001B142E">
              <w:rPr>
                <w:i/>
                <w:iCs w:val="0"/>
                <w:sz w:val="22"/>
                <w:szCs w:val="22"/>
                <w:lang w:val="en-GB"/>
              </w:rPr>
              <w:t xml:space="preserve">Structuralism and Semiotics (New Accents). </w:t>
            </w:r>
            <w:r w:rsidRPr="001B142E">
              <w:rPr>
                <w:iCs w:val="0"/>
                <w:sz w:val="22"/>
                <w:szCs w:val="22"/>
                <w:lang w:val="en-GB"/>
              </w:rPr>
              <w:t>London and New York: Routledge, 2003.</w:t>
            </w:r>
            <w:r w:rsidR="00B92BFF">
              <w:rPr>
                <w:iCs w:val="0"/>
                <w:sz w:val="22"/>
                <w:szCs w:val="22"/>
                <w:lang w:val="en-GB"/>
              </w:rPr>
              <w:t xml:space="preserve"> Pp. 44-99; 125-133.</w:t>
            </w:r>
          </w:p>
          <w:p w14:paraId="367FCE33" w14:textId="22B99062" w:rsidR="00C76DBC" w:rsidRPr="005B20B0" w:rsidRDefault="00C43084" w:rsidP="00C76DBC">
            <w:pPr>
              <w:jc w:val="both"/>
              <w:rPr>
                <w:sz w:val="22"/>
                <w:szCs w:val="22"/>
                <w:lang w:val="en-GB"/>
              </w:rPr>
            </w:pPr>
            <w:proofErr w:type="spellStart"/>
            <w:r w:rsidRPr="001B142E">
              <w:rPr>
                <w:iCs w:val="0"/>
                <w:sz w:val="22"/>
                <w:szCs w:val="22"/>
                <w:lang w:val="en-GB"/>
              </w:rPr>
              <w:t>Klarer</w:t>
            </w:r>
            <w:proofErr w:type="spellEnd"/>
            <w:r w:rsidR="003230B3">
              <w:rPr>
                <w:iCs w:val="0"/>
                <w:sz w:val="22"/>
                <w:szCs w:val="22"/>
                <w:lang w:val="en-GB"/>
              </w:rPr>
              <w:t>,</w:t>
            </w:r>
            <w:r w:rsidRPr="001B142E">
              <w:rPr>
                <w:iCs w:val="0"/>
                <w:sz w:val="22"/>
                <w:szCs w:val="22"/>
                <w:lang w:val="en-GB"/>
              </w:rPr>
              <w:t xml:space="preserve"> M. </w:t>
            </w:r>
            <w:r w:rsidR="00C76DBC" w:rsidRPr="001B142E">
              <w:rPr>
                <w:i/>
                <w:iCs w:val="0"/>
                <w:sz w:val="22"/>
                <w:szCs w:val="22"/>
                <w:lang w:val="en-GB"/>
              </w:rPr>
              <w:t xml:space="preserve"> </w:t>
            </w:r>
            <w:r w:rsidR="005B20B0">
              <w:rPr>
                <w:i/>
                <w:iCs w:val="0"/>
                <w:sz w:val="22"/>
                <w:szCs w:val="22"/>
                <w:lang w:val="en-GB"/>
              </w:rPr>
              <w:t xml:space="preserve">An Introduction to Literary Studies. </w:t>
            </w:r>
            <w:r w:rsidR="005B20B0">
              <w:rPr>
                <w:sz w:val="22"/>
                <w:szCs w:val="22"/>
                <w:lang w:val="en-GB"/>
              </w:rPr>
              <w:t>Routledge, 2004. Chapters 1, 2, 4.</w:t>
            </w:r>
          </w:p>
          <w:p w14:paraId="01A77516" w14:textId="77777777" w:rsidR="00D50349" w:rsidRDefault="00C76DBC" w:rsidP="00C76DBC">
            <w:pPr>
              <w:jc w:val="both"/>
              <w:rPr>
                <w:iCs w:val="0"/>
                <w:sz w:val="22"/>
                <w:szCs w:val="22"/>
              </w:rPr>
            </w:pPr>
            <w:r w:rsidRPr="001B142E">
              <w:rPr>
                <w:iCs w:val="0"/>
                <w:sz w:val="22"/>
                <w:szCs w:val="22"/>
              </w:rPr>
              <w:t>Prince, G.</w:t>
            </w:r>
            <w:r w:rsidRPr="001B142E">
              <w:rPr>
                <w:i/>
                <w:iCs w:val="0"/>
                <w:sz w:val="22"/>
                <w:szCs w:val="22"/>
              </w:rPr>
              <w:t xml:space="preserve"> Dictionary of Narratology. </w:t>
            </w:r>
            <w:proofErr w:type="spellStart"/>
            <w:r w:rsidRPr="001B142E">
              <w:rPr>
                <w:iCs w:val="0"/>
                <w:sz w:val="22"/>
                <w:szCs w:val="22"/>
              </w:rPr>
              <w:t>Lincoln&amp;London</w:t>
            </w:r>
            <w:proofErr w:type="spellEnd"/>
            <w:r w:rsidRPr="001B142E">
              <w:rPr>
                <w:iCs w:val="0"/>
                <w:sz w:val="22"/>
                <w:szCs w:val="22"/>
              </w:rPr>
              <w:t xml:space="preserve">: </w:t>
            </w:r>
            <w:proofErr w:type="spellStart"/>
            <w:r w:rsidRPr="001B142E">
              <w:rPr>
                <w:iCs w:val="0"/>
                <w:sz w:val="22"/>
                <w:szCs w:val="22"/>
              </w:rPr>
              <w:t>University</w:t>
            </w:r>
            <w:proofErr w:type="spellEnd"/>
            <w:r w:rsidRPr="001B142E">
              <w:rPr>
                <w:iCs w:val="0"/>
                <w:sz w:val="22"/>
                <w:szCs w:val="22"/>
              </w:rPr>
              <w:t xml:space="preserve"> </w:t>
            </w:r>
            <w:proofErr w:type="spellStart"/>
            <w:r w:rsidRPr="001B142E">
              <w:rPr>
                <w:iCs w:val="0"/>
                <w:sz w:val="22"/>
                <w:szCs w:val="22"/>
              </w:rPr>
              <w:t>of</w:t>
            </w:r>
            <w:proofErr w:type="spellEnd"/>
            <w:r w:rsidRPr="001B142E">
              <w:rPr>
                <w:iCs w:val="0"/>
                <w:sz w:val="22"/>
                <w:szCs w:val="22"/>
              </w:rPr>
              <w:t xml:space="preserve"> Nebraska </w:t>
            </w:r>
            <w:proofErr w:type="spellStart"/>
            <w:r w:rsidRPr="001B142E">
              <w:rPr>
                <w:iCs w:val="0"/>
                <w:sz w:val="22"/>
                <w:szCs w:val="22"/>
              </w:rPr>
              <w:t>Press</w:t>
            </w:r>
            <w:proofErr w:type="spellEnd"/>
            <w:r w:rsidRPr="001B142E">
              <w:rPr>
                <w:iCs w:val="0"/>
                <w:sz w:val="22"/>
                <w:szCs w:val="22"/>
              </w:rPr>
              <w:t>, 2003.</w:t>
            </w:r>
          </w:p>
          <w:p w14:paraId="51A36ADF" w14:textId="770942E1" w:rsidR="00DA1585" w:rsidRPr="005B20B0" w:rsidRDefault="00DA1585" w:rsidP="00C76DBC">
            <w:pPr>
              <w:jc w:val="both"/>
              <w:rPr>
                <w:iCs w:val="0"/>
                <w:sz w:val="22"/>
                <w:szCs w:val="22"/>
              </w:rPr>
            </w:pPr>
            <w:proofErr w:type="spellStart"/>
            <w:r w:rsidRPr="00DA1585">
              <w:rPr>
                <w:i/>
                <w:sz w:val="22"/>
                <w:szCs w:val="22"/>
              </w:rPr>
              <w:t>The</w:t>
            </w:r>
            <w:proofErr w:type="spellEnd"/>
            <w:r w:rsidRPr="00DA158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A1585">
              <w:rPr>
                <w:i/>
                <w:sz w:val="22"/>
                <w:szCs w:val="22"/>
              </w:rPr>
              <w:t>Cambridge</w:t>
            </w:r>
            <w:proofErr w:type="spellEnd"/>
            <w:r w:rsidRPr="00DA158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A1585">
              <w:rPr>
                <w:i/>
                <w:sz w:val="22"/>
                <w:szCs w:val="22"/>
              </w:rPr>
              <w:t>History</w:t>
            </w:r>
            <w:proofErr w:type="spellEnd"/>
            <w:r w:rsidRPr="00DA158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A1585">
              <w:rPr>
                <w:i/>
                <w:sz w:val="22"/>
                <w:szCs w:val="22"/>
              </w:rPr>
              <w:t>of</w:t>
            </w:r>
            <w:proofErr w:type="spellEnd"/>
            <w:r w:rsidRPr="00DA158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A1585">
              <w:rPr>
                <w:i/>
                <w:sz w:val="22"/>
                <w:szCs w:val="22"/>
              </w:rPr>
              <w:t>Literary</w:t>
            </w:r>
            <w:proofErr w:type="spellEnd"/>
            <w:r w:rsidRPr="00DA158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A1585">
              <w:rPr>
                <w:i/>
                <w:sz w:val="22"/>
                <w:szCs w:val="22"/>
              </w:rPr>
              <w:t>Criticism</w:t>
            </w:r>
            <w:proofErr w:type="spellEnd"/>
            <w:r>
              <w:rPr>
                <w:iCs w:val="0"/>
                <w:sz w:val="22"/>
                <w:szCs w:val="22"/>
              </w:rPr>
              <w:t xml:space="preserve">. </w:t>
            </w:r>
            <w:proofErr w:type="spellStart"/>
            <w:r>
              <w:rPr>
                <w:iCs w:val="0"/>
                <w:sz w:val="22"/>
                <w:szCs w:val="22"/>
              </w:rPr>
              <w:t>Rutgers</w:t>
            </w:r>
            <w:proofErr w:type="spellEnd"/>
            <w:r>
              <w:rPr>
                <w:iCs w:val="0"/>
                <w:sz w:val="22"/>
                <w:szCs w:val="22"/>
              </w:rPr>
              <w:t xml:space="preserve"> UP, 2013. </w:t>
            </w:r>
            <w:proofErr w:type="spellStart"/>
            <w:r>
              <w:rPr>
                <w:iCs w:val="0"/>
                <w:sz w:val="22"/>
                <w:szCs w:val="22"/>
              </w:rPr>
              <w:t>Vol</w:t>
            </w:r>
            <w:proofErr w:type="spellEnd"/>
            <w:r>
              <w:rPr>
                <w:iCs w:val="0"/>
                <w:sz w:val="22"/>
                <w:szCs w:val="22"/>
              </w:rPr>
              <w:t xml:space="preserve">. 6, 7, 8. </w:t>
            </w:r>
          </w:p>
        </w:tc>
      </w:tr>
      <w:tr w:rsidR="00663345" w:rsidRPr="00804DEE" w14:paraId="25AF8B21" w14:textId="77777777">
        <w:tc>
          <w:tcPr>
            <w:tcW w:w="9577" w:type="dxa"/>
            <w:gridSpan w:val="2"/>
          </w:tcPr>
          <w:p w14:paraId="2C17BCB7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663345" w:rsidRPr="00804DEE" w14:paraId="767B43C0" w14:textId="77777777">
        <w:tc>
          <w:tcPr>
            <w:tcW w:w="9577" w:type="dxa"/>
            <w:gridSpan w:val="2"/>
          </w:tcPr>
          <w:p w14:paraId="1D05C3F6" w14:textId="77777777" w:rsidR="00A23DF2" w:rsidRPr="00804DEE" w:rsidRDefault="00A23DF2" w:rsidP="00A23DF2">
            <w:pPr>
              <w:contextualSpacing/>
              <w:jc w:val="both"/>
              <w:rPr>
                <w:lang w:eastAsia="lv-LV"/>
              </w:rPr>
            </w:pPr>
            <w:r w:rsidRPr="00804DEE">
              <w:rPr>
                <w:lang w:eastAsia="lv-LV"/>
              </w:rPr>
              <w:t>Cambridge Journals Online - www.cambridge.org</w:t>
            </w:r>
          </w:p>
          <w:p w14:paraId="15B3DE4E" w14:textId="491273DF" w:rsidR="00663345" w:rsidRDefault="0059768F">
            <w:pPr>
              <w:rPr>
                <w:rStyle w:val="Hyperlink"/>
              </w:rPr>
            </w:pPr>
            <w:hyperlink r:id="rId8" w:history="1">
              <w:r w:rsidR="00A23DF2" w:rsidRPr="00804DEE">
                <w:rPr>
                  <w:rStyle w:val="Hyperlink"/>
                </w:rPr>
                <w:t>http://www.jstor.org/</w:t>
              </w:r>
            </w:hyperlink>
          </w:p>
          <w:p w14:paraId="268E23D0" w14:textId="02AB6302" w:rsidR="00E7100B" w:rsidRDefault="0059768F" w:rsidP="00E7100B">
            <w:pPr>
              <w:rPr>
                <w:rStyle w:val="Hyperlink"/>
              </w:rPr>
            </w:pPr>
            <w:hyperlink r:id="rId9" w:history="1">
              <w:r w:rsidR="00E7100B" w:rsidRPr="003F3ECA">
                <w:rPr>
                  <w:rStyle w:val="Hyperlink"/>
                </w:rPr>
                <w:t>https://essenglish.org/messenger/</w:t>
              </w:r>
            </w:hyperlink>
          </w:p>
          <w:p w14:paraId="0401EA05" w14:textId="7D744BF7" w:rsidR="00E7100B" w:rsidRDefault="0059768F" w:rsidP="00E7100B">
            <w:hyperlink r:id="rId10" w:history="1">
              <w:r w:rsidR="00E7100B" w:rsidRPr="003F3ECA">
                <w:rPr>
                  <w:rStyle w:val="Hyperlink"/>
                </w:rPr>
                <w:t>https://www.poetryfoundation.org</w:t>
              </w:r>
            </w:hyperlink>
          </w:p>
          <w:p w14:paraId="63F419C9" w14:textId="252106E6" w:rsidR="00E7100B" w:rsidRDefault="00E7100B">
            <w:proofErr w:type="spellStart"/>
            <w:r>
              <w:t>Journal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Art </w:t>
            </w:r>
            <w:proofErr w:type="spellStart"/>
            <w:r>
              <w:t>Studies</w:t>
            </w:r>
            <w:proofErr w:type="spellEnd"/>
          </w:p>
          <w:p w14:paraId="5A7931E0" w14:textId="7D65140A" w:rsidR="001F704D" w:rsidRPr="00804DEE" w:rsidRDefault="00910524" w:rsidP="00DD1736">
            <w:r>
              <w:t xml:space="preserve">Docētāja izstrādātie materiāli </w:t>
            </w:r>
            <w:proofErr w:type="spellStart"/>
            <w:r>
              <w:t>Moodle</w:t>
            </w:r>
            <w:proofErr w:type="spellEnd"/>
            <w:r>
              <w:t xml:space="preserve"> vidē</w:t>
            </w:r>
          </w:p>
        </w:tc>
      </w:tr>
      <w:tr w:rsidR="00663345" w:rsidRPr="00804DEE" w14:paraId="2F78FE39" w14:textId="77777777">
        <w:tc>
          <w:tcPr>
            <w:tcW w:w="9577" w:type="dxa"/>
            <w:gridSpan w:val="2"/>
          </w:tcPr>
          <w:p w14:paraId="71E313BC" w14:textId="77777777" w:rsidR="00663345" w:rsidRPr="00804DEE" w:rsidRDefault="00944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 w:rsidRPr="00804DEE">
              <w:rPr>
                <w:b/>
                <w:i/>
                <w:color w:val="000000"/>
              </w:rPr>
              <w:t>Piezīmes</w:t>
            </w:r>
          </w:p>
        </w:tc>
      </w:tr>
      <w:tr w:rsidR="00663345" w:rsidRPr="00804DEE" w14:paraId="35AFC34C" w14:textId="77777777">
        <w:tc>
          <w:tcPr>
            <w:tcW w:w="9577" w:type="dxa"/>
            <w:gridSpan w:val="2"/>
          </w:tcPr>
          <w:p w14:paraId="4FBD8BFA" w14:textId="3FC8C9D1" w:rsidR="00663345" w:rsidRPr="00804DEE" w:rsidRDefault="00944ED8">
            <w:r w:rsidRPr="00804DEE">
              <w:t xml:space="preserve"> </w:t>
            </w:r>
            <w:r w:rsidR="00C76DBC" w:rsidRPr="00AB76E4">
              <w:rPr>
                <w:lang w:eastAsia="lv-LV"/>
              </w:rPr>
              <w:t>Studiju kurss tiek docēts un apgūts angļu valodā.</w:t>
            </w:r>
          </w:p>
        </w:tc>
      </w:tr>
    </w:tbl>
    <w:p w14:paraId="32E40D68" w14:textId="77777777" w:rsidR="00663345" w:rsidRPr="00804DEE" w:rsidRDefault="00663345"/>
    <w:sectPr w:rsidR="00663345" w:rsidRPr="00804DEE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A9A0D" w14:textId="77777777" w:rsidR="0059768F" w:rsidRDefault="0059768F">
      <w:r>
        <w:separator/>
      </w:r>
    </w:p>
  </w:endnote>
  <w:endnote w:type="continuationSeparator" w:id="0">
    <w:p w14:paraId="26490A82" w14:textId="77777777" w:rsidR="0059768F" w:rsidRDefault="0059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F2EAD" w14:textId="77777777" w:rsidR="00E346F6" w:rsidRDefault="00E346F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17420">
      <w:rPr>
        <w:noProof/>
        <w:color w:val="000000"/>
      </w:rPr>
      <w:t>2</w:t>
    </w:r>
    <w:r>
      <w:rPr>
        <w:color w:val="000000"/>
      </w:rPr>
      <w:fldChar w:fldCharType="end"/>
    </w:r>
  </w:p>
  <w:p w14:paraId="59EEA11A" w14:textId="77777777" w:rsidR="00E346F6" w:rsidRDefault="00E346F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011A4" w14:textId="77777777" w:rsidR="0059768F" w:rsidRDefault="0059768F">
      <w:r>
        <w:separator/>
      </w:r>
    </w:p>
  </w:footnote>
  <w:footnote w:type="continuationSeparator" w:id="0">
    <w:p w14:paraId="3CE3F3DC" w14:textId="77777777" w:rsidR="0059768F" w:rsidRDefault="00597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1444C" w14:textId="77777777" w:rsidR="00E346F6" w:rsidRDefault="00E346F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7B15D559" w14:textId="77777777" w:rsidR="00E346F6" w:rsidRDefault="00E346F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0FA6AAF3" w14:textId="77777777" w:rsidR="00E346F6" w:rsidRDefault="00E346F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E504C"/>
    <w:multiLevelType w:val="hybridMultilevel"/>
    <w:tmpl w:val="A4084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B1537"/>
    <w:multiLevelType w:val="hybridMultilevel"/>
    <w:tmpl w:val="BCFA3EDC"/>
    <w:lvl w:ilvl="0" w:tplc="B798E8C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2205984"/>
    <w:multiLevelType w:val="hybridMultilevel"/>
    <w:tmpl w:val="13F4EB7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A43E7"/>
    <w:multiLevelType w:val="hybridMultilevel"/>
    <w:tmpl w:val="C0B42EF4"/>
    <w:lvl w:ilvl="0" w:tplc="DD0214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345"/>
    <w:rsid w:val="00013F63"/>
    <w:rsid w:val="00017C6E"/>
    <w:rsid w:val="00047DA7"/>
    <w:rsid w:val="0006211D"/>
    <w:rsid w:val="00065785"/>
    <w:rsid w:val="00096E7C"/>
    <w:rsid w:val="000A776D"/>
    <w:rsid w:val="000C037B"/>
    <w:rsid w:val="000C2E05"/>
    <w:rsid w:val="00107BE4"/>
    <w:rsid w:val="00123F85"/>
    <w:rsid w:val="001278CD"/>
    <w:rsid w:val="00127D1F"/>
    <w:rsid w:val="00141CD8"/>
    <w:rsid w:val="00151735"/>
    <w:rsid w:val="00165F16"/>
    <w:rsid w:val="00167774"/>
    <w:rsid w:val="00185FC1"/>
    <w:rsid w:val="0018791E"/>
    <w:rsid w:val="00190EFD"/>
    <w:rsid w:val="001B142E"/>
    <w:rsid w:val="001C1A1A"/>
    <w:rsid w:val="001F704D"/>
    <w:rsid w:val="00210787"/>
    <w:rsid w:val="002248D2"/>
    <w:rsid w:val="00230803"/>
    <w:rsid w:val="002404CE"/>
    <w:rsid w:val="0026299A"/>
    <w:rsid w:val="00310127"/>
    <w:rsid w:val="00317420"/>
    <w:rsid w:val="00320306"/>
    <w:rsid w:val="003230B3"/>
    <w:rsid w:val="00334AEC"/>
    <w:rsid w:val="00353706"/>
    <w:rsid w:val="00360C4E"/>
    <w:rsid w:val="00375BDA"/>
    <w:rsid w:val="00380C4F"/>
    <w:rsid w:val="003A75DE"/>
    <w:rsid w:val="003B1EA1"/>
    <w:rsid w:val="003B3CAC"/>
    <w:rsid w:val="003D01F2"/>
    <w:rsid w:val="003D15E2"/>
    <w:rsid w:val="003D30A8"/>
    <w:rsid w:val="00421C04"/>
    <w:rsid w:val="004352FD"/>
    <w:rsid w:val="00452EFB"/>
    <w:rsid w:val="00475C5D"/>
    <w:rsid w:val="0048629B"/>
    <w:rsid w:val="00491047"/>
    <w:rsid w:val="004A0BF7"/>
    <w:rsid w:val="004A1873"/>
    <w:rsid w:val="004C4F08"/>
    <w:rsid w:val="0055292B"/>
    <w:rsid w:val="0059768F"/>
    <w:rsid w:val="005A2F48"/>
    <w:rsid w:val="005B20B0"/>
    <w:rsid w:val="005E1398"/>
    <w:rsid w:val="005F0DFB"/>
    <w:rsid w:val="00610DAE"/>
    <w:rsid w:val="00622A9C"/>
    <w:rsid w:val="00646E58"/>
    <w:rsid w:val="00651921"/>
    <w:rsid w:val="00663345"/>
    <w:rsid w:val="0067486A"/>
    <w:rsid w:val="006910BF"/>
    <w:rsid w:val="006F5DC5"/>
    <w:rsid w:val="00744DF0"/>
    <w:rsid w:val="0077038C"/>
    <w:rsid w:val="007A4CED"/>
    <w:rsid w:val="007C3538"/>
    <w:rsid w:val="007D4D96"/>
    <w:rsid w:val="007D521B"/>
    <w:rsid w:val="007E4184"/>
    <w:rsid w:val="00800FF6"/>
    <w:rsid w:val="00803F92"/>
    <w:rsid w:val="00804DEE"/>
    <w:rsid w:val="00817AE2"/>
    <w:rsid w:val="00841EF8"/>
    <w:rsid w:val="00863171"/>
    <w:rsid w:val="00867FDD"/>
    <w:rsid w:val="008E3385"/>
    <w:rsid w:val="00910524"/>
    <w:rsid w:val="009161A1"/>
    <w:rsid w:val="0092293E"/>
    <w:rsid w:val="00933695"/>
    <w:rsid w:val="00944ED8"/>
    <w:rsid w:val="00960E34"/>
    <w:rsid w:val="00961C2B"/>
    <w:rsid w:val="00982D2C"/>
    <w:rsid w:val="00986583"/>
    <w:rsid w:val="009A795A"/>
    <w:rsid w:val="009B364A"/>
    <w:rsid w:val="009C59C2"/>
    <w:rsid w:val="009D69D5"/>
    <w:rsid w:val="009D6EEE"/>
    <w:rsid w:val="00A10872"/>
    <w:rsid w:val="00A23DF2"/>
    <w:rsid w:val="00A377B0"/>
    <w:rsid w:val="00A82ED1"/>
    <w:rsid w:val="00AA4D17"/>
    <w:rsid w:val="00AA6AE2"/>
    <w:rsid w:val="00AB714F"/>
    <w:rsid w:val="00AC32E9"/>
    <w:rsid w:val="00AC582D"/>
    <w:rsid w:val="00AC7C05"/>
    <w:rsid w:val="00AE648E"/>
    <w:rsid w:val="00B1712C"/>
    <w:rsid w:val="00B23D59"/>
    <w:rsid w:val="00B51C47"/>
    <w:rsid w:val="00B712D1"/>
    <w:rsid w:val="00B9278B"/>
    <w:rsid w:val="00B92BFF"/>
    <w:rsid w:val="00B943E4"/>
    <w:rsid w:val="00BC7822"/>
    <w:rsid w:val="00BD1A29"/>
    <w:rsid w:val="00BD5EE9"/>
    <w:rsid w:val="00C02146"/>
    <w:rsid w:val="00C04621"/>
    <w:rsid w:val="00C1738E"/>
    <w:rsid w:val="00C17B06"/>
    <w:rsid w:val="00C23B9E"/>
    <w:rsid w:val="00C36999"/>
    <w:rsid w:val="00C41443"/>
    <w:rsid w:val="00C43084"/>
    <w:rsid w:val="00C76DBC"/>
    <w:rsid w:val="00CA1031"/>
    <w:rsid w:val="00CA1BED"/>
    <w:rsid w:val="00CA370F"/>
    <w:rsid w:val="00CB7BBD"/>
    <w:rsid w:val="00CC1662"/>
    <w:rsid w:val="00CD3D0C"/>
    <w:rsid w:val="00CE01EB"/>
    <w:rsid w:val="00D10E1B"/>
    <w:rsid w:val="00D16437"/>
    <w:rsid w:val="00D337E1"/>
    <w:rsid w:val="00D50349"/>
    <w:rsid w:val="00D97CD9"/>
    <w:rsid w:val="00DA1585"/>
    <w:rsid w:val="00DA768E"/>
    <w:rsid w:val="00DD1736"/>
    <w:rsid w:val="00DE3A9E"/>
    <w:rsid w:val="00DE5235"/>
    <w:rsid w:val="00E30AAB"/>
    <w:rsid w:val="00E346F6"/>
    <w:rsid w:val="00E64E26"/>
    <w:rsid w:val="00E7100B"/>
    <w:rsid w:val="00E72574"/>
    <w:rsid w:val="00E74563"/>
    <w:rsid w:val="00EB0F1D"/>
    <w:rsid w:val="00EC0D4A"/>
    <w:rsid w:val="00EC2528"/>
    <w:rsid w:val="00ED40B3"/>
    <w:rsid w:val="00EF141E"/>
    <w:rsid w:val="00F231DC"/>
    <w:rsid w:val="00F262B7"/>
    <w:rsid w:val="00F42C3A"/>
    <w:rsid w:val="00F568A6"/>
    <w:rsid w:val="00FA0F48"/>
    <w:rsid w:val="00FA6D22"/>
    <w:rsid w:val="00FB6140"/>
    <w:rsid w:val="00FD5D80"/>
    <w:rsid w:val="00FD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6D817EC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</w:pPr>
    <w:rPr>
      <w:bCs/>
      <w:iCs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b/>
      <w:iCs w:val="0"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ColorfulList-Accent1">
    <w:name w:val="Colorful List Accent 1"/>
    <w:basedOn w:val="TableNormal"/>
    <w:uiPriority w:val="72"/>
    <w:semiHidden/>
    <w:unhideWhenUsed/>
    <w:rsid w:val="000A776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77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4D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tor.or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poetryfoundation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senglish.org/messenge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6220</Words>
  <Characters>3546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3</cp:revision>
  <dcterms:created xsi:type="dcterms:W3CDTF">2022-06-20T13:35:00Z</dcterms:created>
  <dcterms:modified xsi:type="dcterms:W3CDTF">2022-07-13T14:54:00Z</dcterms:modified>
</cp:coreProperties>
</file>