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FD2" w:rsidRPr="008E7807" w:rsidRDefault="008B7FD2" w:rsidP="008B7FD2">
      <w:pPr>
        <w:pStyle w:val="Header"/>
        <w:jc w:val="center"/>
        <w:rPr>
          <w:b/>
          <w:sz w:val="28"/>
        </w:rPr>
      </w:pPr>
      <w:r w:rsidRPr="008E7807">
        <w:rPr>
          <w:b/>
          <w:sz w:val="28"/>
        </w:rPr>
        <w:t>DAUGAVPILS UNIVERSITĀTES</w:t>
      </w:r>
    </w:p>
    <w:p w:rsidR="008B7FD2" w:rsidRPr="008E7807" w:rsidRDefault="008B7FD2" w:rsidP="008B7FD2">
      <w:pPr>
        <w:jc w:val="center"/>
        <w:rPr>
          <w:rFonts w:ascii="Times New Roman" w:hAnsi="Times New Roman" w:cs="Times New Roman"/>
          <w:b/>
          <w:sz w:val="28"/>
          <w:lang w:val="de-DE"/>
        </w:rPr>
      </w:pPr>
      <w:r w:rsidRPr="008E7807">
        <w:rPr>
          <w:rFonts w:ascii="Times New Roman" w:hAnsi="Times New Roman" w:cs="Times New Roman"/>
          <w:b/>
          <w:sz w:val="28"/>
        </w:rPr>
        <w:t>STUDIJU KURSA APRAKSTS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20"/>
        <w:gridCol w:w="4930"/>
      </w:tblGrid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br w:type="page"/>
            </w:r>
            <w:r w:rsidRPr="00763259">
              <w:br w:type="page"/>
            </w:r>
            <w:r w:rsidRPr="00763259">
              <w:br w:type="page"/>
            </w:r>
            <w:r w:rsidRPr="00763259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8B7FD2" w:rsidRPr="00763259" w:rsidRDefault="00A63245" w:rsidP="001C58F6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F019EF">
              <w:rPr>
                <w:rFonts w:ascii="Times New Roman" w:hAnsi="Times New Roman" w:cs="Times New Roman"/>
                <w:sz w:val="24"/>
                <w:szCs w:val="24"/>
              </w:rPr>
              <w:t>Francijas</w:t>
            </w:r>
            <w:r w:rsidRPr="00F01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019EF" w:rsidRPr="00F019EF">
              <w:rPr>
                <w:rFonts w:ascii="Times New Roman" w:hAnsi="Times New Roman" w:cs="Times New Roman"/>
                <w:sz w:val="24"/>
                <w:szCs w:val="24"/>
              </w:rPr>
              <w:t>ultūrstudijas</w:t>
            </w:r>
            <w:proofErr w:type="spellEnd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Studiju kursa kods (DUIS)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38758163" w:edGrp="everyone"/>
            <w:permEnd w:id="38758163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  <w:bCs/>
              <w:iCs/>
              <w:sz w:val="24"/>
              <w:szCs w:val="24"/>
            </w:rPr>
            <w:id w:val="966628093"/>
            <w:placeholder>
              <w:docPart w:val="E59C9287568049A583EA92A92CCEC93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8B7FD2" w:rsidRPr="00BA035A" w:rsidRDefault="009F5B8B" w:rsidP="00F019EF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  <w:highlight w:val="yellow"/>
                  </w:rPr>
                </w:pPr>
                <w:r w:rsidRPr="009F5B8B"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  <w:t>Valodniecība un literatūrzinātne</w:t>
                </w:r>
              </w:p>
            </w:tc>
          </w:sdtContent>
        </w:sdt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Kursa līmenis</w:t>
            </w:r>
          </w:p>
        </w:tc>
        <w:tc>
          <w:tcPr>
            <w:tcW w:w="4820" w:type="dxa"/>
          </w:tcPr>
          <w:p w:rsidR="008B7FD2" w:rsidRPr="00763259" w:rsidRDefault="00135047" w:rsidP="001C58F6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  <w:rPr>
                <w:u w:val="single"/>
              </w:rPr>
            </w:pPr>
            <w:r w:rsidRPr="00763259">
              <w:t>Kredītpunkti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2106735522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ermEnd w:id="2106735522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  <w:rPr>
                <w:u w:val="single"/>
              </w:rPr>
            </w:pPr>
            <w:r w:rsidRPr="00763259">
              <w:t>ECTS kredītpunkti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permStart w:id="426385853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ermEnd w:id="426385853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Kopējais kontaktstundu skaits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203648340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permEnd w:id="1203648340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Lekciju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072563284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ermEnd w:id="1072563284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Semināru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50087086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ermEnd w:id="50087086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Praktisko darbu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311586743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permEnd w:id="1311586743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Laboratorijas darbu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463365947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ermEnd w:id="463365947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  <w:rPr>
                <w:lang w:eastAsia="lv-LV"/>
              </w:rPr>
            </w:pPr>
            <w:r w:rsidRPr="00763259">
              <w:rPr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357975088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permEnd w:id="357975088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r w:rsidRPr="00763259">
              <w:rPr>
                <w:rFonts w:ascii="Times New Roman" w:hAnsi="Times New Roman" w:cs="Times New Roman"/>
                <w:b/>
                <w:sz w:val="24"/>
                <w:szCs w:val="24"/>
              </w:rPr>
              <w:t>Kursa autors(-i)</w:t>
            </w:r>
          </w:p>
        </w:tc>
      </w:tr>
      <w:tr w:rsidR="008B7FD2" w:rsidRPr="00763259" w:rsidTr="001C58F6">
        <w:permStart w:id="605750115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-1546211152"/>
            <w:placeholder>
              <w:docPart w:val="41FF2F89FE69415F8F245725685693B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21754265"/>
                <w:placeholder>
                  <w:docPart w:val="489CDF4962E04FD6B3E45BCAD5C13D4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</w:rPr>
                    <w:id w:val="1090509200"/>
                    <w:placeholder>
                      <w:docPart w:val="7D4555A6FE11454184923C2A07BA44FE"/>
                    </w:placeholder>
                  </w:sdtPr>
                  <w:sdtEndPr/>
                  <w:sdtContent>
                    <w:tc>
                      <w:tcPr>
                        <w:tcW w:w="9039" w:type="dxa"/>
                        <w:gridSpan w:val="2"/>
                      </w:tcPr>
                      <w:p w:rsidR="008B7FD2" w:rsidRDefault="008B7FD2" w:rsidP="001C58F6">
                        <w:pPr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Mag. philol., lekt. Sergejs </w:t>
                        </w:r>
                        <w:proofErr w:type="spellStart"/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Poļanskis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8B7FD2" w:rsidRPr="00763259" w:rsidRDefault="008B7FD2" w:rsidP="001C58F6">
                        <w:pPr>
                          <w:jc w:val="both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lang w:eastAsia="lv-LV"/>
                          </w:rPr>
                        </w:pPr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Prof. Mag. tulk., </w:t>
                        </w:r>
                        <w:proofErr w:type="spellStart"/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asist</w:t>
                        </w:r>
                        <w:proofErr w:type="spellEnd"/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 Jeļena </w:t>
                        </w:r>
                        <w:proofErr w:type="spellStart"/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Antoņeviča</w:t>
                        </w:r>
                        <w:proofErr w:type="spellEnd"/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</w:sdtContent>
                </w:sdt>
              </w:sdtContent>
            </w:sdt>
          </w:sdtContent>
        </w:sdt>
        <w:permEnd w:id="605750115" w:displacedByCustomXml="prev"/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r w:rsidRPr="00763259">
              <w:rPr>
                <w:rFonts w:ascii="Times New Roman" w:hAnsi="Times New Roman" w:cs="Times New Roman"/>
                <w:b/>
                <w:sz w:val="24"/>
                <w:szCs w:val="24"/>
              </w:rPr>
              <w:t>Kursa docētājs(-i)</w:t>
            </w:r>
          </w:p>
        </w:tc>
      </w:tr>
      <w:tr w:rsidR="008B7FD2" w:rsidRPr="00763259" w:rsidTr="001C58F6">
        <w:permStart w:id="998783945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1630975421"/>
            <w:placeholder>
              <w:docPart w:val="1041EDBF4954455082FD5AB25A11748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16266380"/>
                <w:placeholder>
                  <w:docPart w:val="60C365BE7C09457582DA839F7852E3E5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:rsidR="008B7FD2" w:rsidRDefault="008B7FD2" w:rsidP="001C58F6">
                    <w:pPr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Mag. philol., lekt. Sergejs </w:t>
                    </w:r>
                    <w:proofErr w:type="spellStart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Poļanskis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;</w:t>
                    </w: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8B7FD2" w:rsidRPr="00763259" w:rsidRDefault="008B7FD2" w:rsidP="001C58F6">
                    <w:pPr>
                      <w:autoSpaceDE w:val="0"/>
                      <w:autoSpaceDN w:val="0"/>
                      <w:adjustRightInd w:val="0"/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</w:pP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Prof. Mag. tulk., </w:t>
                    </w:r>
                    <w:proofErr w:type="spellStart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asist</w:t>
                    </w:r>
                    <w:proofErr w:type="spellEnd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.  Jeļena </w:t>
                    </w:r>
                    <w:proofErr w:type="spellStart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Antoņeviča</w:t>
                    </w:r>
                    <w:proofErr w:type="spellEnd"/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  </w:t>
                    </w:r>
                  </w:p>
                </w:tc>
              </w:sdtContent>
            </w:sdt>
          </w:sdtContent>
        </w:sdt>
        <w:permEnd w:id="998783945" w:displacedByCustomXml="prev"/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Priekšzināšanas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F019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1537226323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(kursa kods) Franču valoda </w:t>
            </w:r>
            <w:r w:rsidR="00F019E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ermEnd w:id="1537226323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 xml:space="preserve">Studiju kursa anotācija 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A17BE6" w:rsidRDefault="003D6A99" w:rsidP="003D6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ermStart w:id="737695987" w:edGrp="everyone"/>
            <w:r w:rsidRPr="003D6A99">
              <w:rPr>
                <w:rFonts w:ascii="Times New Roman" w:hAnsi="Times New Roman" w:cs="Times New Roman"/>
                <w:sz w:val="24"/>
                <w:szCs w:val="24"/>
              </w:rPr>
              <w:t>Studiju kurss „</w:t>
            </w:r>
            <w:r w:rsidR="00A63245">
              <w:rPr>
                <w:rFonts w:ascii="Times New Roman" w:hAnsi="Times New Roman" w:cs="Times New Roman"/>
                <w:sz w:val="24"/>
                <w:szCs w:val="24"/>
              </w:rPr>
              <w:t xml:space="preserve">Francijas </w:t>
            </w:r>
            <w:proofErr w:type="spellStart"/>
            <w:r w:rsidR="00A6324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bookmarkStart w:id="0" w:name="_GoBack"/>
            <w:bookmarkEnd w:id="0"/>
            <w:r w:rsidRPr="003D6A99">
              <w:rPr>
                <w:rFonts w:ascii="Times New Roman" w:hAnsi="Times New Roman" w:cs="Times New Roman"/>
                <w:sz w:val="24"/>
                <w:szCs w:val="24"/>
              </w:rPr>
              <w:t>ultūrstudijas</w:t>
            </w:r>
            <w:proofErr w:type="spellEnd"/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” iepazīstina studējošos ar Francijas politisko, administratīvo un sabiedrisko dzīvi,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literatūru, 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>mākslu, tradīcijām. Studiju kurss paplašina studējošo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zināšanas par Francijas </w:t>
            </w:r>
            <w:r w:rsidR="00BA035A">
              <w:rPr>
                <w:rFonts w:ascii="Times New Roman" w:hAnsi="Times New Roman" w:cs="Times New Roman"/>
                <w:sz w:val="24"/>
                <w:szCs w:val="24"/>
              </w:rPr>
              <w:t xml:space="preserve">literatūru, 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>vēsturi un franču izglītības sistēmu. Studiju kursa gaitā paaugstinās studentu vispārīgo zināšanu līmenis, kā arī tiek attīstītas viņu komunikācijas prasmes.</w:t>
            </w:r>
          </w:p>
          <w:p w:rsidR="008B7FD2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BE6">
              <w:rPr>
                <w:rFonts w:ascii="Times New Roman" w:hAnsi="Times New Roman" w:cs="Times New Roman"/>
                <w:sz w:val="24"/>
                <w:szCs w:val="24"/>
              </w:rPr>
              <w:t xml:space="preserve">Kursa aprakstā piedāvātie obligātie informācijas avoti  studiju procesā izmantojami fragmentāri pēc docētāja  norādījuma.  </w:t>
            </w:r>
            <w:permEnd w:id="737695987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Studiju kursa kalendārais plāns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921677803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Lekcijas (L) 2 st., praktiskie darbi (P) 62 st., patstāvīgais darbs (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) 96 st.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Ievads: kursa mērķi un uzdevumi, prioritātes, mācību metodes un darba formas – 2 L</w:t>
            </w:r>
          </w:p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Ģimenes Francijā, franču tradīcijas, svētki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Marsels Prusts „A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recherche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temps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perdu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5B46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954DA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1954DA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Francijas sabiedrība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3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Reliģija Francijā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Pols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Eluārs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Capitale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douleur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Franču māksla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3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Roberts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Desnos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Corps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biens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Literatūra  un mūzika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- 3 P, 5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Žans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Žirodū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Intermezzo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3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3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Kino māksla un teātris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Andrē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Žids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“Les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Faux-Monnayeurs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Francijas politiskā sistēma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- 3 P, 3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Prezentācijas sagatavošana - 2 P, 10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Reģioni, departamenti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 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Luis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Aragons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“Les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yeux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d’Elsa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4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Francijas loma Eiropas Savienībā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Žans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Anujs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Antigone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Francijas izglītības sistēma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Žans-Pols Sartrs „Les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Mouches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4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Francijas vēsturiskie posmi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4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Albers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Camī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L’Etranger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Frankofonija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Reimons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Keno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Exercises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style</w:t>
            </w:r>
            <w:proofErr w:type="spellEnd"/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4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Nodarbinātība Francijā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>Samuels Bekets „</w:t>
            </w:r>
            <w:proofErr w:type="spellStart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>attendant</w:t>
            </w:r>
            <w:proofErr w:type="spellEnd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>Godot</w:t>
            </w:r>
            <w:proofErr w:type="spellEnd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Vides aizsardzība un piesārņojums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4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Eižēns </w:t>
            </w:r>
            <w:proofErr w:type="spellStart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>Ionesko</w:t>
            </w:r>
            <w:proofErr w:type="spellEnd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>Rhinoceros</w:t>
            </w:r>
            <w:proofErr w:type="spellEnd"/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4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4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proofErr w:type="spellEnd"/>
          </w:p>
          <w:permEnd w:id="1921677803"/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lastRenderedPageBreak/>
              <w:t>Studiju rezultāti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tbl>
            <w:tblPr>
              <w:tblStyle w:val="TableGrid"/>
              <w:tblW w:w="9351" w:type="dxa"/>
              <w:tblLook w:val="04A0" w:firstRow="1" w:lastRow="0" w:firstColumn="1" w:lastColumn="0" w:noHBand="0" w:noVBand="1"/>
            </w:tblPr>
            <w:tblGrid>
              <w:gridCol w:w="9351"/>
            </w:tblGrid>
            <w:tr w:rsidR="00BA035A" w:rsidRPr="007D4849" w:rsidTr="001C58F6">
              <w:tc>
                <w:tcPr>
                  <w:tcW w:w="9351" w:type="dxa"/>
                </w:tcPr>
                <w:p w:rsidR="00BA035A" w:rsidRPr="00BA035A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ZINĀŠANAS</w:t>
                  </w:r>
                </w:p>
              </w:tc>
            </w:tr>
            <w:tr w:rsidR="00BA035A" w:rsidRPr="007D4849" w:rsidTr="001C58F6">
              <w:tc>
                <w:tcPr>
                  <w:tcW w:w="9351" w:type="dxa"/>
                </w:tcPr>
                <w:p w:rsidR="00A17BE6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="00A17BE6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Demonstrē zināšanas un izpratni par franču </w:t>
                  </w:r>
                  <w:r w:rsidR="00A17B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kultūru un literatūru</w:t>
                  </w:r>
                  <w:r w:rsidR="00A17BE6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BA035A" w:rsidRPr="00BA035A" w:rsidRDefault="00A17BE6" w:rsidP="001645F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Demonstrē izpratni par lasīšanas, klausīšanas, runāšanas un rakstīšanas stratēģijām uz </w:t>
                  </w:r>
                  <w:r w:rsid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B2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līmeni.</w:t>
                  </w:r>
                </w:p>
              </w:tc>
            </w:tr>
            <w:tr w:rsidR="00BA035A" w:rsidRPr="007D4849" w:rsidTr="001C58F6">
              <w:tc>
                <w:tcPr>
                  <w:tcW w:w="9351" w:type="dxa"/>
                </w:tcPr>
                <w:p w:rsidR="00BA035A" w:rsidRPr="00BA035A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PRASMES</w:t>
                  </w:r>
                </w:p>
              </w:tc>
            </w:tr>
            <w:tr w:rsidR="00BA035A" w:rsidRPr="007D4849" w:rsidTr="001C58F6">
              <w:tc>
                <w:tcPr>
                  <w:tcW w:w="9351" w:type="dxa"/>
                </w:tcPr>
                <w:p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32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Demonstrē prasmi diskutēt par tēmām atbilstoši kursa plānam, pielietojot apgūto leksiku un argumentēti  izskaidrojot savu viedokli franču valodā.</w:t>
                  </w:r>
                </w:p>
                <w:p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32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17B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Spēj sagatavot individuālo mutisko prezentāciju par dažādām studiju kursa saturā iekļautajām tēmām, demonstrējot prasmi atlasīt, pārstrādāt, salīdzināt un interpretēt nepieciešamo informāciju franču valodā.</w:t>
                  </w:r>
                </w:p>
              </w:tc>
            </w:tr>
            <w:tr w:rsidR="00BA035A" w:rsidRPr="007D4849" w:rsidTr="001C58F6">
              <w:trPr>
                <w:trHeight w:val="203"/>
              </w:trPr>
              <w:tc>
                <w:tcPr>
                  <w:tcW w:w="9351" w:type="dxa"/>
                </w:tcPr>
                <w:p w:rsidR="00BA035A" w:rsidRPr="00BA035A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KOMPETENCES</w:t>
                  </w:r>
                </w:p>
              </w:tc>
            </w:tr>
            <w:tr w:rsidR="00BA035A" w:rsidRPr="00837CA4" w:rsidTr="001C58F6">
              <w:tc>
                <w:tcPr>
                  <w:tcW w:w="9351" w:type="dxa"/>
                </w:tcPr>
                <w:p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32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Spēj apspriest, kritiski analizēt un argumentēti izvērtēt gan savas, gan citu studējošo mutiskas prezentācijas, ņemot vērā gan saturisko, gan valodas aspektus.</w:t>
                  </w:r>
                </w:p>
                <w:p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32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Spēj patstāvīgi novērtēt praktiskās gramatikas apgūtās zināšanas un prasmes, tostarp analizējot un atrisinot esošās individuālās grūtības.</w:t>
                  </w:r>
                </w:p>
              </w:tc>
            </w:tr>
          </w:tbl>
          <w:p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Studējošo patstāvīgo darbu organizācijas un uzdevumu raksturojums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Studējošo patstāvīgais darbs: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praktisko uzdevumu izpilde: studējošie saņem praktiskus mājas darbus pēc katras </w:t>
            </w:r>
            <w:proofErr w:type="spellStart"/>
            <w:r w:rsidR="009D6DAF"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 w:rsidR="000D6CC1">
              <w:rPr>
                <w:rFonts w:ascii="Times New Roman" w:hAnsi="Times New Roman" w:cs="Times New Roman"/>
                <w:sz w:val="24"/>
                <w:szCs w:val="24"/>
              </w:rPr>
              <w:t>ātiskās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nodarbības: jaunās leksikas pielietošana, lasīšanas un rakstīšanas uzdevumi, monologu / dialogu sagatavošana (</w:t>
            </w:r>
            <w:r w:rsidR="000D6C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stundas);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prezentācijas sagatavošana (10 stundas)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sagatavošanās pārbaudes darbiem pēc katras tēmas apgūšanas (</w:t>
            </w:r>
            <w:r w:rsidR="009D6D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stundas);</w:t>
            </w:r>
          </w:p>
          <w:p w:rsidR="008B7FD2" w:rsidRPr="00763259" w:rsidRDefault="008B7FD2" w:rsidP="000D6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studējošie patstāvīgi iepazīstas ar mācību literatūru dziļākai apgūto tēmu izpratnei, kā arī spējai pielietot teorētiskās zināšanas runā un attīstīt praktiskās iemaņas (</w:t>
            </w:r>
            <w:r w:rsidR="000D6CC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stundas).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lastRenderedPageBreak/>
              <w:t>Prasības kredītpunktu iegūšanai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39687829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Studiju kursa vērtējums veidojas, summējot studējošo darbu praktiskajās nodarbībās un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starppārbaudījumus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visa kursa norises laikā, kā arī noslēguma pārbaudījumu (ieskaite ar atzīmi). Aktīva piedalīšanās praktiskajās nodarbībās un patstāvīgo darbu izpilde - 30%; kvalitatīvi un laicīgi izpildīti uzdevumi un nokārtotie pārbaudes darbi pēc katras sarunvalodas tēmas apgūšanas – 20%, mutiskās atbildes un prezentācijas - 20 %, pārbaudījums kursa noslēgumā - 30%.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starpārbaudijuma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uzdevumi tiek izstrādāti un vērtēti pēc docētāja noteiktajiem kritērijiem)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1. starppārbaudījums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2.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3.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4. starppārbaudījums - </w:t>
            </w:r>
            <w:r w:rsidR="00ED392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D392A" w:rsidRPr="00763259">
              <w:rPr>
                <w:rFonts w:ascii="Times New Roman" w:hAnsi="Times New Roman" w:cs="Times New Roman"/>
                <w:sz w:val="24"/>
                <w:szCs w:val="24"/>
              </w:rPr>
              <w:t>rezentācijas sagatavošana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5.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6.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7.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:rsidR="005C436A" w:rsidRPr="00791D3C" w:rsidRDefault="005C436A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NOSLĒGUMA PĀRBAUDĪJUMS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diferencētā ieskaite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VĒRTĒŠANAS KRITĒRIJI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Atzīme tiek aprēķināta kā vidējā svērtā atzīme par: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regulāru nodarbību apmeklējumu un aktīvu darbu praktiskajās nodarbībās,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patstāvīgo darbu izpildi (</w:t>
            </w:r>
            <w:proofErr w:type="spellStart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starppārbaudījumu</w:t>
            </w:r>
            <w:proofErr w:type="spellEnd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rezultāti); prezentācijām,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gala pārbaudījumu.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 kursa apguve tā noslēgumā tiek vērtēta 10 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ļļ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u skalā saskaņā ar Latvijas Republikas normatīvajiem aktiem un atbilstoši "Nolikumam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par studijām Daugavpils Universitātē" (apstiprināts DU Senāta sēdē 17.12.2018., protokols Nr. 15),</w:t>
            </w:r>
            <w:r w:rsidRPr="0079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vadoties pēc šādiem kritērijiem:iegūto zināšanu apjoms un kvalitāte, iegūtās prasmes un kompetences atbilstoši plānotajiem studiju rezultātiem.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8B7FD2" w:rsidRPr="00791D3C" w:rsidTr="001C58F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8B7FD2" w:rsidRPr="00791D3C" w:rsidTr="001C58F6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2.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930148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ermEnd w:id="239687829"/>
          <w:p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855784306" w:edGrp="everyone"/>
            <w:permEnd w:id="855784306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Kursa saturs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899963176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Lekcijas (L 2 stundas):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Ievads: kursa mērķi un uzdevumi, prioritātes, mācību metodes un darba formas – 2 L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Praktiskās nodarbības (P 62 stundas):</w:t>
            </w:r>
          </w:p>
          <w:p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Ģimenes Francijā, franču tradīcijas, svētki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Marsels Prusts „A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recherche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temps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perdu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5B46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Francijas sabiedrība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</w:p>
          <w:p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(monologs / dialogs)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Reliģija Francijā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Pols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Eluārs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Capitale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douleur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Franču māksla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</w:p>
          <w:p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(leksikas apguve)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Roberts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Desnos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Corps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biens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Literatūra  un mūzika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- 3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Žans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Žirodū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Intermezzo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</w:p>
          <w:p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(leksikas apguve)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Kino māksla un teātris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Andrē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Žids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“Les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Faux-Monnayeurs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Francijas politiskā sistēma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- 3 P, </w:t>
            </w:r>
          </w:p>
          <w:p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Prezentācijas sagatavošana - 2 P, </w:t>
            </w:r>
          </w:p>
          <w:p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Reģioni, departamenti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 - 2 P, </w:t>
            </w:r>
          </w:p>
          <w:p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Luis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Aragons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“Les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yeux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d’Elsa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Francijas loma Eiropas Savienībā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Žans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Anujs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Antigone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Francijas izglītības sistēma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Žans-Pols Sartrs „Les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Mouches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</w:p>
          <w:p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</w:t>
            </w:r>
          </w:p>
          <w:p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Francijas vēsturiskie posmi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Albers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Camī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L’Etranger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Frankofonija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Reimons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Keno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Exercises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style</w:t>
            </w:r>
            <w:proofErr w:type="spellEnd"/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</w:p>
          <w:p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Nodarbinātība Francijā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A035A">
              <w:rPr>
                <w:rFonts w:ascii="Times New Roman" w:hAnsi="Times New Roman" w:cs="Times New Roman"/>
                <w:sz w:val="24"/>
                <w:szCs w:val="24"/>
              </w:rPr>
              <w:t>Samuels Bekets „</w:t>
            </w:r>
            <w:proofErr w:type="spellStart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>attendant</w:t>
            </w:r>
            <w:proofErr w:type="spellEnd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>Godot</w:t>
            </w:r>
            <w:proofErr w:type="spellEnd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Vides aizsardzība un piesārņojums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Eižēns </w:t>
            </w:r>
            <w:proofErr w:type="spellStart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>Ionesko</w:t>
            </w:r>
            <w:proofErr w:type="spellEnd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>Rhinoceros</w:t>
            </w:r>
            <w:proofErr w:type="spellEnd"/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</w:p>
          <w:p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ārbaudes darbs - 1 P.</w:t>
            </w:r>
          </w:p>
          <w:permEnd w:id="1899963176"/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lastRenderedPageBreak/>
              <w:t>Obligāti izmantojamie informācijas avoti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A17BE6" w:rsidRPr="00A17BE6" w:rsidRDefault="00A17BE6" w:rsidP="00A17BE6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Barthe M. </w:t>
            </w:r>
            <w:proofErr w:type="spellStart"/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Chovelon</w:t>
            </w:r>
            <w:proofErr w:type="spellEnd"/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B. Je vis en France - 20 lectures faciles. PUG, 2016.</w:t>
            </w:r>
          </w:p>
          <w:p w:rsidR="008B7FD2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Aux sources de la culture fr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ançaise. La Découverte, 1997.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br/>
            </w:r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Jackson </w:t>
            </w:r>
            <w:proofErr w:type="spellStart"/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Noutchié</w:t>
            </w:r>
            <w:proofErr w:type="spellEnd"/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Njiké</w:t>
            </w:r>
            <w:proofErr w:type="spellEnd"/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- Civilisation progressive de la francophonie, niveau intermédiaire avec 500 activités. CLE International, 2003. </w:t>
            </w:r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br/>
              <w:t>Steele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R.</w:t>
            </w:r>
            <w:r w:rsidRPr="00A17BE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- Civilisation progressive du français avec 300 activités. </w:t>
            </w:r>
            <w:r w:rsidRPr="00A17BE6">
              <w:rPr>
                <w:rFonts w:ascii="Times New Roman" w:hAnsi="Times New Roman" w:cs="Times New Roman"/>
                <w:sz w:val="24"/>
                <w:szCs w:val="24"/>
              </w:rPr>
              <w:t xml:space="preserve">CLE </w:t>
            </w:r>
            <w:proofErr w:type="spellStart"/>
            <w:r w:rsidRPr="00A17BE6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A17BE6">
              <w:rPr>
                <w:rFonts w:ascii="Times New Roman" w:hAnsi="Times New Roman" w:cs="Times New Roman"/>
                <w:sz w:val="24"/>
                <w:szCs w:val="24"/>
              </w:rPr>
              <w:t>, 2002.</w:t>
            </w:r>
          </w:p>
          <w:p w:rsidR="00D8671F" w:rsidRPr="00D8671F" w:rsidRDefault="00D8671F" w:rsidP="00D867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Mitterand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H.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La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littérature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française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du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XXe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siècle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Armand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Colin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Paris, 2007.</w:t>
            </w:r>
          </w:p>
          <w:p w:rsidR="00D8671F" w:rsidRPr="00763259" w:rsidRDefault="00D8671F" w:rsidP="00D867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Blondeau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N.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Allouache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F.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Né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M-F. -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Littérature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progressive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du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francais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: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Niveau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intermédiaire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avec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600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activités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CLE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International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Paris, 2004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Papildus informācijas avoti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D8671F" w:rsidRPr="00D8671F" w:rsidRDefault="00D8671F" w:rsidP="00D8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Lettres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cultures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langue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française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N° 20 :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Littérature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Québec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Adelf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, 1994 </w:t>
            </w:r>
          </w:p>
          <w:p w:rsidR="00D8671F" w:rsidRPr="00D8671F" w:rsidRDefault="00D8671F" w:rsidP="00D8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Les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dépenses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culturelles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regions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France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Ministère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, 1995 </w:t>
            </w:r>
          </w:p>
          <w:p w:rsidR="008B7FD2" w:rsidRDefault="00D8671F" w:rsidP="00D86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Encyclopédie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Française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Eclectis</w:t>
            </w:r>
            <w:proofErr w:type="spellEnd"/>
            <w:r w:rsidRPr="00D8671F">
              <w:rPr>
                <w:rFonts w:ascii="Times New Roman" w:hAnsi="Times New Roman" w:cs="Times New Roman"/>
                <w:sz w:val="24"/>
                <w:szCs w:val="24"/>
              </w:rPr>
              <w:t>, 1991</w:t>
            </w:r>
          </w:p>
          <w:p w:rsidR="00D8671F" w:rsidRPr="00D8671F" w:rsidRDefault="00D8671F" w:rsidP="00D867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Desaintghislain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C.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Français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Littérature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Nathan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Paris, 2011.</w:t>
            </w:r>
          </w:p>
          <w:p w:rsidR="00D8671F" w:rsidRPr="00D8671F" w:rsidRDefault="00D8671F" w:rsidP="00D867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Lemaire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G-G. Les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cafés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littéraires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ELA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La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Différence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Paris, 1997.</w:t>
            </w:r>
          </w:p>
          <w:p w:rsidR="00D8671F" w:rsidRPr="00763259" w:rsidRDefault="00D8671F" w:rsidP="00D867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Cotentin-Rey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G.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résumé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compte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rendu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la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synthèse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CLE </w:t>
            </w:r>
            <w:proofErr w:type="spellStart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International</w:t>
            </w:r>
            <w:proofErr w:type="spellEnd"/>
            <w:r w:rsidRPr="00D8671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Paris. 1995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Periodika un citi informācijas avoti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2125223964" w:edGrp="everyone"/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monde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Revue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Fédération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Internationale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Professeurs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Français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. CLE </w:t>
            </w:r>
            <w:proofErr w:type="spellStart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proofErr w:type="spellEnd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, ISSN 0015-9395</w:t>
            </w:r>
            <w:permEnd w:id="2125223964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Piezīmes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D867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ermStart w:id="1720408986" w:edGrp="everyone"/>
            <w:r w:rsidRPr="00F833EF">
              <w:rPr>
                <w:rFonts w:ascii="Times New Roman" w:hAnsi="Times New Roman" w:cs="Times New Roman"/>
                <w:sz w:val="24"/>
                <w:szCs w:val="24"/>
              </w:rPr>
              <w:t>Studiju kurss adresēts akadēmiskās bakalaura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studiju programmas "Filoloģija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>. st. g. studējošajiem, B daļa. Studiju kurss tiek docēts un apgūts franču valodā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ermEnd w:id="1720408986"/>
          </w:p>
        </w:tc>
      </w:tr>
    </w:tbl>
    <w:p w:rsidR="008B7FD2" w:rsidRPr="00763259" w:rsidRDefault="008B7FD2" w:rsidP="008B7FD2">
      <w:pPr>
        <w:rPr>
          <w:rFonts w:ascii="Times New Roman" w:hAnsi="Times New Roman" w:cs="Times New Roman"/>
          <w:sz w:val="24"/>
          <w:szCs w:val="24"/>
        </w:rPr>
      </w:pPr>
    </w:p>
    <w:p w:rsidR="008B7FD2" w:rsidRPr="00763259" w:rsidRDefault="008B7FD2" w:rsidP="008B7FD2">
      <w:pPr>
        <w:rPr>
          <w:rFonts w:ascii="Times New Roman" w:hAnsi="Times New Roman" w:cs="Times New Roman"/>
          <w:sz w:val="24"/>
          <w:szCs w:val="24"/>
        </w:rPr>
      </w:pPr>
    </w:p>
    <w:p w:rsidR="008B7FD2" w:rsidRDefault="008B7FD2"/>
    <w:sectPr w:rsidR="008B7F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FD2"/>
    <w:rsid w:val="000D6CC1"/>
    <w:rsid w:val="00135047"/>
    <w:rsid w:val="001645F5"/>
    <w:rsid w:val="001954DA"/>
    <w:rsid w:val="002F0006"/>
    <w:rsid w:val="003D6A99"/>
    <w:rsid w:val="004F7FC5"/>
    <w:rsid w:val="005B469A"/>
    <w:rsid w:val="005C436A"/>
    <w:rsid w:val="00660564"/>
    <w:rsid w:val="008B7FD2"/>
    <w:rsid w:val="00930148"/>
    <w:rsid w:val="009D6DAF"/>
    <w:rsid w:val="009F5B8B"/>
    <w:rsid w:val="00A17BE6"/>
    <w:rsid w:val="00A63245"/>
    <w:rsid w:val="00B87B9C"/>
    <w:rsid w:val="00BA035A"/>
    <w:rsid w:val="00D27A1E"/>
    <w:rsid w:val="00D8671F"/>
    <w:rsid w:val="00ED392A"/>
    <w:rsid w:val="00F019EF"/>
    <w:rsid w:val="00F959BD"/>
    <w:rsid w:val="00FA2EC7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9B97F4"/>
  <w15:chartTrackingRefBased/>
  <w15:docId w15:val="{42815948-1F24-4C62-BD00-82E35F88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7FD2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7FD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aukumi">
    <w:name w:val="Nosaukumi"/>
    <w:basedOn w:val="Normal"/>
    <w:qFormat/>
    <w:rsid w:val="008B7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Nosaukumi2">
    <w:name w:val="Nosaukumi2"/>
    <w:basedOn w:val="Normal"/>
    <w:qFormat/>
    <w:rsid w:val="008B7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FD2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B7FD2"/>
    <w:rPr>
      <w:rFonts w:ascii="Times New Roman" w:hAnsi="Times New Roman" w:cs="Times New Roman"/>
      <w:bCs/>
      <w:iCs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9C9287568049A583EA92A92CCE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A71C0-4F33-4D5C-AB3C-096FD41738DF}"/>
      </w:docPartPr>
      <w:docPartBody>
        <w:p w:rsidR="00E457B7" w:rsidRDefault="005F482E" w:rsidP="005F482E">
          <w:pPr>
            <w:pStyle w:val="E59C9287568049A583EA92A92CCEC93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1FF2F89FE69415F8F24572568569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3842A-1F95-433A-93FD-E04C88BDCB08}"/>
      </w:docPartPr>
      <w:docPartBody>
        <w:p w:rsidR="00E457B7" w:rsidRDefault="005F482E" w:rsidP="005F482E">
          <w:pPr>
            <w:pStyle w:val="41FF2F89FE69415F8F245725685693B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9CDF4962E04FD6B3E45BCAD5C13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BF408-F455-4B90-B745-023E3F724FA9}"/>
      </w:docPartPr>
      <w:docPartBody>
        <w:p w:rsidR="00E457B7" w:rsidRDefault="005F482E" w:rsidP="005F482E">
          <w:pPr>
            <w:pStyle w:val="489CDF4962E04FD6B3E45BCAD5C13D4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D4555A6FE11454184923C2A07BA4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058C6-22D4-4969-BE72-78FC062D9B20}"/>
      </w:docPartPr>
      <w:docPartBody>
        <w:p w:rsidR="00E457B7" w:rsidRDefault="005F482E" w:rsidP="005F482E">
          <w:pPr>
            <w:pStyle w:val="7D4555A6FE11454184923C2A07BA44F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041EDBF4954455082FD5AB25A117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5AF68-67B5-4B70-AB6B-B44BEC31E9A4}"/>
      </w:docPartPr>
      <w:docPartBody>
        <w:p w:rsidR="00E457B7" w:rsidRDefault="005F482E" w:rsidP="005F482E">
          <w:pPr>
            <w:pStyle w:val="1041EDBF4954455082FD5AB25A11748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0C365BE7C09457582DA839F7852E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1C0BF-679B-4667-B2C5-35A9D3EC1CEE}"/>
      </w:docPartPr>
      <w:docPartBody>
        <w:p w:rsidR="00E457B7" w:rsidRDefault="005F482E" w:rsidP="005F482E">
          <w:pPr>
            <w:pStyle w:val="60C365BE7C09457582DA839F7852E3E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82E"/>
    <w:rsid w:val="00054FDF"/>
    <w:rsid w:val="0009361F"/>
    <w:rsid w:val="00206E5A"/>
    <w:rsid w:val="00510BDA"/>
    <w:rsid w:val="005F482E"/>
    <w:rsid w:val="009A6B1A"/>
    <w:rsid w:val="00C76EC9"/>
    <w:rsid w:val="00E4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482E"/>
    <w:rPr>
      <w:color w:val="808080"/>
    </w:rPr>
  </w:style>
  <w:style w:type="paragraph" w:customStyle="1" w:styleId="E59C9287568049A583EA92A92CCEC930">
    <w:name w:val="E59C9287568049A583EA92A92CCEC930"/>
    <w:rsid w:val="005F482E"/>
  </w:style>
  <w:style w:type="paragraph" w:customStyle="1" w:styleId="41FF2F89FE69415F8F245725685693B0">
    <w:name w:val="41FF2F89FE69415F8F245725685693B0"/>
    <w:rsid w:val="005F482E"/>
  </w:style>
  <w:style w:type="paragraph" w:customStyle="1" w:styleId="489CDF4962E04FD6B3E45BCAD5C13D43">
    <w:name w:val="489CDF4962E04FD6B3E45BCAD5C13D43"/>
    <w:rsid w:val="005F482E"/>
  </w:style>
  <w:style w:type="paragraph" w:customStyle="1" w:styleId="7D4555A6FE11454184923C2A07BA44FE">
    <w:name w:val="7D4555A6FE11454184923C2A07BA44FE"/>
    <w:rsid w:val="005F482E"/>
  </w:style>
  <w:style w:type="paragraph" w:customStyle="1" w:styleId="1041EDBF4954455082FD5AB25A117480">
    <w:name w:val="1041EDBF4954455082FD5AB25A117480"/>
    <w:rsid w:val="005F482E"/>
  </w:style>
  <w:style w:type="paragraph" w:customStyle="1" w:styleId="60C365BE7C09457582DA839F7852E3E5">
    <w:name w:val="60C365BE7C09457582DA839F7852E3E5"/>
    <w:rsid w:val="005F482E"/>
  </w:style>
  <w:style w:type="paragraph" w:customStyle="1" w:styleId="7C8B82FB309C4B7DA098BD91C32314CD">
    <w:name w:val="7C8B82FB309C4B7DA098BD91C32314CD"/>
    <w:rsid w:val="005F48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5934</Words>
  <Characters>3383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 1</cp:lastModifiedBy>
  <cp:revision>13</cp:revision>
  <dcterms:created xsi:type="dcterms:W3CDTF">2022-05-29T13:23:00Z</dcterms:created>
  <dcterms:modified xsi:type="dcterms:W3CDTF">2022-07-08T08:58:00Z</dcterms:modified>
</cp:coreProperties>
</file>