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9F0FA" w14:textId="77777777" w:rsidR="007978B7" w:rsidRPr="005C43CC" w:rsidRDefault="006E1459" w:rsidP="005C43CC">
      <w:pPr>
        <w:jc w:val="center"/>
        <w:rPr>
          <w:rFonts w:ascii="Times New Roman" w:hAnsi="Times New Roman" w:cs="Times New Roman"/>
          <w:b/>
          <w:sz w:val="28"/>
          <w:szCs w:val="24"/>
        </w:rPr>
      </w:pPr>
      <w:r w:rsidRPr="005C43CC">
        <w:rPr>
          <w:rFonts w:ascii="Times New Roman" w:hAnsi="Times New Roman" w:cs="Times New Roman"/>
          <w:b/>
          <w:sz w:val="28"/>
        </w:rPr>
        <w:t>Rekomendāciju izpildes pārskats</w:t>
      </w:r>
    </w:p>
    <w:tbl>
      <w:tblPr>
        <w:tblStyle w:val="TableGrid"/>
        <w:tblW w:w="9067" w:type="dxa"/>
        <w:tblInd w:w="-386" w:type="dxa"/>
        <w:tblLook w:val="04A0" w:firstRow="1" w:lastRow="0" w:firstColumn="1" w:lastColumn="0" w:noHBand="0" w:noVBand="1"/>
      </w:tblPr>
      <w:tblGrid>
        <w:gridCol w:w="785"/>
        <w:gridCol w:w="3735"/>
        <w:gridCol w:w="4547"/>
      </w:tblGrid>
      <w:tr w:rsidR="006E1459" w:rsidRPr="006E1459" w14:paraId="15B2D93F" w14:textId="77777777" w:rsidTr="005C43CC">
        <w:tc>
          <w:tcPr>
            <w:tcW w:w="785" w:type="dxa"/>
          </w:tcPr>
          <w:p w14:paraId="45EF2595" w14:textId="77777777" w:rsidR="006E1459" w:rsidRPr="006E1459" w:rsidRDefault="006E1459" w:rsidP="005C43CC">
            <w:pPr>
              <w:jc w:val="center"/>
              <w:rPr>
                <w:rFonts w:ascii="Times New Roman" w:hAnsi="Times New Roman" w:cs="Times New Roman"/>
                <w:b/>
              </w:rPr>
            </w:pPr>
            <w:proofErr w:type="spellStart"/>
            <w:r w:rsidRPr="006E1459">
              <w:rPr>
                <w:rFonts w:ascii="Times New Roman" w:hAnsi="Times New Roman" w:cs="Times New Roman"/>
                <w:b/>
              </w:rPr>
              <w:t>N</w:t>
            </w:r>
            <w:r w:rsidR="005C43CC">
              <w:rPr>
                <w:rFonts w:ascii="Times New Roman" w:hAnsi="Times New Roman" w:cs="Times New Roman"/>
                <w:b/>
              </w:rPr>
              <w:t>.p.k</w:t>
            </w:r>
            <w:proofErr w:type="spellEnd"/>
            <w:r w:rsidRPr="006E1459">
              <w:rPr>
                <w:rFonts w:ascii="Times New Roman" w:hAnsi="Times New Roman" w:cs="Times New Roman"/>
                <w:b/>
              </w:rPr>
              <w:t>.</w:t>
            </w:r>
          </w:p>
        </w:tc>
        <w:tc>
          <w:tcPr>
            <w:tcW w:w="3735" w:type="dxa"/>
          </w:tcPr>
          <w:p w14:paraId="0281AF28" w14:textId="77777777" w:rsidR="006E1459" w:rsidRPr="00A927D4" w:rsidRDefault="006E1459" w:rsidP="005C43CC">
            <w:pPr>
              <w:jc w:val="center"/>
              <w:rPr>
                <w:rFonts w:ascii="Times New Roman" w:hAnsi="Times New Roman" w:cs="Times New Roman"/>
                <w:b/>
                <w:i/>
              </w:rPr>
            </w:pPr>
            <w:r w:rsidRPr="00A927D4">
              <w:rPr>
                <w:rFonts w:ascii="Times New Roman" w:hAnsi="Times New Roman" w:cs="Times New Roman"/>
                <w:b/>
                <w:i/>
              </w:rPr>
              <w:t>Akreditācijas ekspertu ieteikums</w:t>
            </w:r>
          </w:p>
        </w:tc>
        <w:tc>
          <w:tcPr>
            <w:tcW w:w="4547" w:type="dxa"/>
          </w:tcPr>
          <w:p w14:paraId="442945D5" w14:textId="77777777" w:rsidR="00A927D4" w:rsidRPr="00A927D4" w:rsidRDefault="00A927D4" w:rsidP="005C43CC">
            <w:pPr>
              <w:pStyle w:val="Default"/>
              <w:jc w:val="center"/>
              <w:rPr>
                <w:b/>
                <w:i/>
                <w:color w:val="auto"/>
                <w:sz w:val="22"/>
                <w:szCs w:val="22"/>
              </w:rPr>
            </w:pPr>
            <w:r w:rsidRPr="00A927D4">
              <w:rPr>
                <w:b/>
                <w:i/>
                <w:iCs/>
                <w:sz w:val="22"/>
                <w:szCs w:val="22"/>
              </w:rPr>
              <w:t>Ieteikumu ieviešana un tās iespēju novērtējums</w:t>
            </w:r>
          </w:p>
          <w:p w14:paraId="7E68CDFA" w14:textId="77777777" w:rsidR="006E1459" w:rsidRPr="00A927D4" w:rsidRDefault="006E1459" w:rsidP="005C43CC">
            <w:pPr>
              <w:jc w:val="center"/>
              <w:rPr>
                <w:rFonts w:ascii="Times New Roman" w:hAnsi="Times New Roman" w:cs="Times New Roman"/>
                <w:b/>
                <w:i/>
              </w:rPr>
            </w:pPr>
          </w:p>
        </w:tc>
      </w:tr>
      <w:tr w:rsidR="006E1459" w:rsidRPr="006E1459" w14:paraId="0E093DA1" w14:textId="77777777" w:rsidTr="005C43CC">
        <w:tc>
          <w:tcPr>
            <w:tcW w:w="785" w:type="dxa"/>
          </w:tcPr>
          <w:p w14:paraId="09450F3F"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1.</w:t>
            </w:r>
          </w:p>
        </w:tc>
        <w:tc>
          <w:tcPr>
            <w:tcW w:w="3735" w:type="dxa"/>
          </w:tcPr>
          <w:p w14:paraId="396690B2" w14:textId="42B1C35A" w:rsidR="006E1459" w:rsidRPr="00A927D4" w:rsidRDefault="000045E1" w:rsidP="00382F67">
            <w:pPr>
              <w:jc w:val="both"/>
              <w:rPr>
                <w:rFonts w:ascii="Times New Roman" w:hAnsi="Times New Roman" w:cs="Times New Roman"/>
              </w:rPr>
            </w:pPr>
            <w:r>
              <w:rPr>
                <w:rFonts w:ascii="Times New Roman" w:hAnsi="Times New Roman" w:cs="Times New Roman"/>
              </w:rPr>
              <w:t xml:space="preserve">Studējošajiem, sagatavojot noslēguma darbus, ir nepieciešams vairāk izmantot starptautiskus akadēmiskās un zinātniskās literatūras avotus, zinātniskās datu bāzes. </w:t>
            </w:r>
          </w:p>
        </w:tc>
        <w:tc>
          <w:tcPr>
            <w:tcW w:w="4547" w:type="dxa"/>
          </w:tcPr>
          <w:p w14:paraId="2EC9C7F8" w14:textId="076BCE35" w:rsidR="006E1459" w:rsidRPr="00BD4C64" w:rsidRDefault="000045E1" w:rsidP="00382F67">
            <w:pPr>
              <w:jc w:val="both"/>
              <w:rPr>
                <w:rFonts w:ascii="Times New Roman" w:hAnsi="Times New Roman" w:cs="Times New Roman"/>
              </w:rPr>
            </w:pPr>
            <w:r>
              <w:rPr>
                <w:rFonts w:ascii="Times New Roman" w:hAnsi="Times New Roman" w:cs="Times New Roman"/>
              </w:rPr>
              <w:t>Kopš studiju virziena “Vadība, administrēšana un nekustamo īpašumu pārvaldība” akreditācijas ir intensificēts studējošo noslēguma darbos izmantojamo starptautisko zinātnisko pētījumu un teorētisko avotu izmantojums. DU bibliotēka nodrošina starptautisko datu bāžu</w:t>
            </w:r>
            <w:r w:rsidR="00382F67">
              <w:rPr>
                <w:rFonts w:ascii="Times New Roman" w:hAnsi="Times New Roman" w:cs="Times New Roman"/>
              </w:rPr>
              <w:t xml:space="preserve"> (</w:t>
            </w:r>
            <w:r w:rsidR="00382F67" w:rsidRPr="00382F67">
              <w:rPr>
                <w:rFonts w:ascii="Times New Roman" w:hAnsi="Times New Roman" w:cs="Times New Roman"/>
                <w:i/>
              </w:rPr>
              <w:t xml:space="preserve">EBSCO, </w:t>
            </w:r>
            <w:proofErr w:type="spellStart"/>
            <w:r w:rsidR="00382F67" w:rsidRPr="00382F67">
              <w:rPr>
                <w:rFonts w:ascii="Times New Roman" w:hAnsi="Times New Roman" w:cs="Times New Roman"/>
                <w:i/>
              </w:rPr>
              <w:t>ScienceDirect</w:t>
            </w:r>
            <w:proofErr w:type="spellEnd"/>
            <w:r w:rsidR="00382F67" w:rsidRPr="00382F67">
              <w:rPr>
                <w:rFonts w:ascii="Times New Roman" w:hAnsi="Times New Roman" w:cs="Times New Roman"/>
                <w:i/>
              </w:rPr>
              <w:t xml:space="preserve">, </w:t>
            </w:r>
            <w:proofErr w:type="spellStart"/>
            <w:r w:rsidR="00382F67" w:rsidRPr="00382F67">
              <w:rPr>
                <w:rFonts w:ascii="Times New Roman" w:hAnsi="Times New Roman" w:cs="Times New Roman"/>
                <w:i/>
              </w:rPr>
              <w:t>Elsevier</w:t>
            </w:r>
            <w:proofErr w:type="spellEnd"/>
            <w:r w:rsidR="00382F67" w:rsidRPr="00382F67">
              <w:rPr>
                <w:rFonts w:ascii="Times New Roman" w:hAnsi="Times New Roman" w:cs="Times New Roman"/>
                <w:i/>
              </w:rPr>
              <w:t xml:space="preserve">, </w:t>
            </w:r>
            <w:proofErr w:type="spellStart"/>
            <w:r w:rsidR="00382F67" w:rsidRPr="00382F67">
              <w:rPr>
                <w:rFonts w:ascii="Times New Roman" w:hAnsi="Times New Roman" w:cs="Times New Roman"/>
                <w:i/>
              </w:rPr>
              <w:t>Scopus</w:t>
            </w:r>
            <w:proofErr w:type="spellEnd"/>
            <w:r w:rsidR="00382F67">
              <w:rPr>
                <w:rFonts w:ascii="Times New Roman" w:hAnsi="Times New Roman" w:cs="Times New Roman"/>
              </w:rPr>
              <w:t>, u.c.</w:t>
            </w:r>
            <w:r>
              <w:rPr>
                <w:rFonts w:ascii="Times New Roman" w:hAnsi="Times New Roman" w:cs="Times New Roman"/>
              </w:rPr>
              <w:t>) abonēšanu</w:t>
            </w:r>
            <w:r w:rsidR="00382F67">
              <w:rPr>
                <w:rFonts w:ascii="Times New Roman" w:hAnsi="Times New Roman" w:cs="Times New Roman"/>
              </w:rPr>
              <w:t xml:space="preserve"> un sniedz studējošajiem konsultācijas par to lietošanu.</w:t>
            </w:r>
          </w:p>
        </w:tc>
      </w:tr>
      <w:tr w:rsidR="006E1459" w:rsidRPr="006E1459" w14:paraId="16ED9295" w14:textId="77777777" w:rsidTr="005C43CC">
        <w:tc>
          <w:tcPr>
            <w:tcW w:w="785" w:type="dxa"/>
          </w:tcPr>
          <w:p w14:paraId="138DF660"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2.</w:t>
            </w:r>
          </w:p>
        </w:tc>
        <w:tc>
          <w:tcPr>
            <w:tcW w:w="3735" w:type="dxa"/>
          </w:tcPr>
          <w:p w14:paraId="48316CC8" w14:textId="16757B03" w:rsidR="006E1459" w:rsidRPr="001C4BA5" w:rsidRDefault="00382F67" w:rsidP="005C43CC">
            <w:pPr>
              <w:rPr>
                <w:rFonts w:ascii="Times New Roman" w:hAnsi="Times New Roman" w:cs="Times New Roman"/>
              </w:rPr>
            </w:pPr>
            <w:r>
              <w:rPr>
                <w:rFonts w:ascii="Times New Roman" w:hAnsi="Times New Roman" w:cs="Times New Roman"/>
              </w:rPr>
              <w:t>Nepieciešama plašāka zinātnisko rezultātu izplatīšana starptautiskajā zinātniskajā vidē.</w:t>
            </w:r>
          </w:p>
        </w:tc>
        <w:tc>
          <w:tcPr>
            <w:tcW w:w="4547" w:type="dxa"/>
          </w:tcPr>
          <w:p w14:paraId="2B271F6E" w14:textId="290A9D42" w:rsidR="006E1459" w:rsidRPr="00BD4C64" w:rsidRDefault="00382F67" w:rsidP="00382F67">
            <w:pPr>
              <w:jc w:val="both"/>
              <w:rPr>
                <w:rFonts w:ascii="Times New Roman" w:hAnsi="Times New Roman" w:cs="Times New Roman"/>
              </w:rPr>
            </w:pPr>
            <w:r>
              <w:rPr>
                <w:rFonts w:ascii="Times New Roman" w:hAnsi="Times New Roman" w:cs="Times New Roman"/>
              </w:rPr>
              <w:t xml:space="preserve">Kopš studiju virziena “Vadība, administrēšana un nekustamo īpašumu pārvaldība” akreditācijas tiek veicināta studējošo iesaiste zinātniskajā pētniecībā, aprobējot savus maģistra un doktora darbu pētījumus starptautiskās zinātniskās konferencēs Latvijā un ārpus tās robežām. (piem. DU ikgadējā starptautiskajā zinātniskajā konferencē, darba grupā “Menedžments”, DU HSZI starptautiskajā zinātniskajā konferencē “Sociālās zinātnes reģionālajai attīstībai”, Klaipēdas Universitātes starptautiskajā zinātniskajā konferencē </w:t>
            </w:r>
            <w:r w:rsidRPr="009809A0">
              <w:rPr>
                <w:rFonts w:ascii="Times New Roman" w:hAnsi="Times New Roman" w:cs="Times New Roman"/>
              </w:rPr>
              <w:t>„</w:t>
            </w:r>
            <w:proofErr w:type="spellStart"/>
            <w:r w:rsidRPr="009809A0">
              <w:rPr>
                <w:rFonts w:ascii="Times New Roman" w:hAnsi="Times New Roman" w:cs="Times New Roman"/>
              </w:rPr>
              <w:t>Spring</w:t>
            </w:r>
            <w:proofErr w:type="spellEnd"/>
            <w:r w:rsidRPr="009809A0">
              <w:rPr>
                <w:rFonts w:ascii="Times New Roman" w:hAnsi="Times New Roman" w:cs="Times New Roman"/>
              </w:rPr>
              <w:t xml:space="preserve"> </w:t>
            </w:r>
            <w:proofErr w:type="spellStart"/>
            <w:r w:rsidRPr="009809A0">
              <w:rPr>
                <w:rFonts w:ascii="Times New Roman" w:hAnsi="Times New Roman" w:cs="Times New Roman"/>
              </w:rPr>
              <w:t>University</w:t>
            </w:r>
            <w:proofErr w:type="spellEnd"/>
            <w:r w:rsidRPr="009809A0">
              <w:rPr>
                <w:rFonts w:ascii="Times New Roman" w:hAnsi="Times New Roman" w:cs="Times New Roman"/>
              </w:rPr>
              <w:t xml:space="preserve">: </w:t>
            </w:r>
            <w:proofErr w:type="spellStart"/>
            <w:r w:rsidRPr="009809A0">
              <w:rPr>
                <w:rFonts w:ascii="Times New Roman" w:hAnsi="Times New Roman" w:cs="Times New Roman"/>
              </w:rPr>
              <w:t>Changing</w:t>
            </w:r>
            <w:proofErr w:type="spellEnd"/>
            <w:r w:rsidRPr="009809A0">
              <w:rPr>
                <w:rFonts w:ascii="Times New Roman" w:hAnsi="Times New Roman" w:cs="Times New Roman"/>
              </w:rPr>
              <w:t xml:space="preserve"> </w:t>
            </w:r>
            <w:proofErr w:type="spellStart"/>
            <w:r w:rsidRPr="009809A0">
              <w:rPr>
                <w:rFonts w:ascii="Times New Roman" w:hAnsi="Times New Roman" w:cs="Times New Roman"/>
              </w:rPr>
              <w:t>education</w:t>
            </w:r>
            <w:proofErr w:type="spellEnd"/>
            <w:r w:rsidRPr="009809A0">
              <w:rPr>
                <w:rFonts w:ascii="Times New Roman" w:hAnsi="Times New Roman" w:cs="Times New Roman"/>
              </w:rPr>
              <w:t xml:space="preserve"> </w:t>
            </w:r>
            <w:proofErr w:type="spellStart"/>
            <w:r w:rsidRPr="009809A0">
              <w:rPr>
                <w:rFonts w:ascii="Times New Roman" w:hAnsi="Times New Roman" w:cs="Times New Roman"/>
              </w:rPr>
              <w:t>in</w:t>
            </w:r>
            <w:proofErr w:type="spellEnd"/>
            <w:r w:rsidRPr="009809A0">
              <w:rPr>
                <w:rFonts w:ascii="Times New Roman" w:hAnsi="Times New Roman" w:cs="Times New Roman"/>
              </w:rPr>
              <w:t xml:space="preserve"> a </w:t>
            </w:r>
            <w:proofErr w:type="spellStart"/>
            <w:r>
              <w:rPr>
                <w:rFonts w:ascii="Times New Roman" w:hAnsi="Times New Roman" w:cs="Times New Roman"/>
              </w:rPr>
              <w:t>C</w:t>
            </w:r>
            <w:r w:rsidRPr="009809A0">
              <w:rPr>
                <w:rFonts w:ascii="Times New Roman" w:hAnsi="Times New Roman" w:cs="Times New Roman"/>
              </w:rPr>
              <w:t>hanging</w:t>
            </w:r>
            <w:proofErr w:type="spellEnd"/>
            <w:r w:rsidRPr="009809A0">
              <w:rPr>
                <w:rFonts w:ascii="Times New Roman" w:hAnsi="Times New Roman" w:cs="Times New Roman"/>
              </w:rPr>
              <w:t xml:space="preserve"> </w:t>
            </w:r>
            <w:proofErr w:type="spellStart"/>
            <w:r>
              <w:rPr>
                <w:rFonts w:ascii="Times New Roman" w:hAnsi="Times New Roman" w:cs="Times New Roman"/>
              </w:rPr>
              <w:t>S</w:t>
            </w:r>
            <w:r w:rsidRPr="009809A0">
              <w:rPr>
                <w:rFonts w:ascii="Times New Roman" w:hAnsi="Times New Roman" w:cs="Times New Roman"/>
              </w:rPr>
              <w:t>ociety</w:t>
            </w:r>
            <w:proofErr w:type="spellEnd"/>
            <w:r w:rsidRPr="009809A0">
              <w:rPr>
                <w:rFonts w:ascii="Times New Roman" w:hAnsi="Times New Roman" w:cs="Times New Roman"/>
              </w:rPr>
              <w:t>”</w:t>
            </w:r>
            <w:r>
              <w:rPr>
                <w:rFonts w:ascii="Times New Roman" w:hAnsi="Times New Roman" w:cs="Times New Roman"/>
              </w:rPr>
              <w:t xml:space="preserve">, u.c. konferencēs un to zinātniskajos izdevumos. </w:t>
            </w:r>
          </w:p>
        </w:tc>
      </w:tr>
      <w:tr w:rsidR="006E1459" w:rsidRPr="006E1459" w14:paraId="02C2B571" w14:textId="77777777" w:rsidTr="005C43CC">
        <w:tc>
          <w:tcPr>
            <w:tcW w:w="785" w:type="dxa"/>
          </w:tcPr>
          <w:p w14:paraId="331D2CE1"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3.</w:t>
            </w:r>
          </w:p>
        </w:tc>
        <w:tc>
          <w:tcPr>
            <w:tcW w:w="3735" w:type="dxa"/>
          </w:tcPr>
          <w:p w14:paraId="014F89E9" w14:textId="6CD0F9CC" w:rsidR="006E1459" w:rsidRPr="00CA680C" w:rsidRDefault="00CF569E" w:rsidP="005C43CC">
            <w:pPr>
              <w:rPr>
                <w:rFonts w:ascii="Times New Roman" w:hAnsi="Times New Roman" w:cs="Times New Roman"/>
              </w:rPr>
            </w:pPr>
            <w:r>
              <w:rPr>
                <w:rFonts w:ascii="Times New Roman" w:hAnsi="Times New Roman" w:cs="Times New Roman"/>
              </w:rPr>
              <w:t xml:space="preserve">Nepieciešams palielināt starptautiskās mobilitātes aktivitātes mācībspēku un studējošo vidū. </w:t>
            </w:r>
          </w:p>
        </w:tc>
        <w:tc>
          <w:tcPr>
            <w:tcW w:w="4547" w:type="dxa"/>
          </w:tcPr>
          <w:p w14:paraId="5A72D2CE" w14:textId="77777777" w:rsidR="00CF569E" w:rsidRDefault="00CF569E" w:rsidP="005C43CC">
            <w:pPr>
              <w:jc w:val="both"/>
              <w:rPr>
                <w:rFonts w:ascii="Times New Roman" w:hAnsi="Times New Roman" w:cs="Times New Roman"/>
              </w:rPr>
            </w:pPr>
            <w:r>
              <w:rPr>
                <w:rFonts w:ascii="Times New Roman" w:hAnsi="Times New Roman" w:cs="Times New Roman"/>
              </w:rPr>
              <w:t>Pārskata periodā ir palielinājusies studiju virziena programmu studējošo skaits, kas piedalās ERASMUS+ mobilitātēs (26) un izejošā docētāju mobilitāte (49).</w:t>
            </w:r>
          </w:p>
          <w:p w14:paraId="636A5EC6" w14:textId="6FA6E3A3" w:rsidR="00CF569E" w:rsidRPr="00BD4C64" w:rsidRDefault="00CF569E" w:rsidP="005C43CC">
            <w:pPr>
              <w:jc w:val="both"/>
              <w:rPr>
                <w:rFonts w:ascii="Times New Roman" w:hAnsi="Times New Roman" w:cs="Times New Roman"/>
              </w:rPr>
            </w:pPr>
            <w:r>
              <w:rPr>
                <w:rFonts w:ascii="Times New Roman" w:hAnsi="Times New Roman" w:cs="Times New Roman"/>
              </w:rPr>
              <w:t xml:space="preserve">Jāatzīmē, ka PMSP “Sabiedrības un iestāžu vadība” studējošie ERASMUS+ mobilitātē nevar piedalīties, jo programmā paredzētas tikai nepilna laika studijas. Lai šo trūkumu novērstu, studiju virziena pašnovērtējuma ziņojumā ir papildinātas PMSP “Sabiedrības un iestāžu vadība” studiju formas, pievienojot pilna laika studijas.  </w:t>
            </w:r>
          </w:p>
        </w:tc>
      </w:tr>
      <w:tr w:rsidR="006E1459" w:rsidRPr="006E1459" w14:paraId="5A998D71" w14:textId="77777777" w:rsidTr="005C43CC">
        <w:tc>
          <w:tcPr>
            <w:tcW w:w="785" w:type="dxa"/>
          </w:tcPr>
          <w:p w14:paraId="02B75106"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4.</w:t>
            </w:r>
          </w:p>
        </w:tc>
        <w:tc>
          <w:tcPr>
            <w:tcW w:w="3735" w:type="dxa"/>
          </w:tcPr>
          <w:p w14:paraId="4DAC03A9" w14:textId="566DF99E" w:rsidR="006E1459" w:rsidRPr="001C4BA5" w:rsidRDefault="00064BD4" w:rsidP="005C43CC">
            <w:pPr>
              <w:rPr>
                <w:rFonts w:ascii="Times New Roman" w:hAnsi="Times New Roman" w:cs="Times New Roman"/>
              </w:rPr>
            </w:pPr>
            <w:r>
              <w:rPr>
                <w:rFonts w:ascii="Times New Roman" w:hAnsi="Times New Roman" w:cs="Times New Roman"/>
              </w:rPr>
              <w:t>Jāpapildina DU bibliotēkas krājums ar aktuālāko nozares zinātnisko literatūru.</w:t>
            </w:r>
          </w:p>
        </w:tc>
        <w:tc>
          <w:tcPr>
            <w:tcW w:w="4547" w:type="dxa"/>
          </w:tcPr>
          <w:p w14:paraId="5B1548E0" w14:textId="71D8E8C1" w:rsidR="006E1459" w:rsidRPr="00BD4C64" w:rsidRDefault="00064BD4" w:rsidP="00064BD4">
            <w:pPr>
              <w:jc w:val="both"/>
              <w:rPr>
                <w:rFonts w:ascii="Times New Roman" w:hAnsi="Times New Roman" w:cs="Times New Roman"/>
              </w:rPr>
            </w:pPr>
            <w:r>
              <w:rPr>
                <w:rFonts w:ascii="Times New Roman" w:hAnsi="Times New Roman" w:cs="Times New Roman"/>
              </w:rPr>
              <w:t>Pārskata periodā ir DU bibliotēkas krājums ir būtiski palielinājies. Šobrīd b</w:t>
            </w:r>
            <w:r w:rsidRPr="00064BD4">
              <w:rPr>
                <w:rFonts w:ascii="Times New Roman" w:hAnsi="Times New Roman" w:cs="Times New Roman"/>
              </w:rPr>
              <w:t>ibliotēkas krājums ir 267655 vienības. Grāmatu skaits vadības zinību nozarē – 2000</w:t>
            </w:r>
            <w:r>
              <w:rPr>
                <w:rFonts w:ascii="Times New Roman" w:hAnsi="Times New Roman" w:cs="Times New Roman"/>
              </w:rPr>
              <w:t xml:space="preserve">. </w:t>
            </w:r>
          </w:p>
        </w:tc>
      </w:tr>
      <w:tr w:rsidR="006E1459" w:rsidRPr="006E1459" w14:paraId="0DEFD831" w14:textId="77777777" w:rsidTr="005C43CC">
        <w:tc>
          <w:tcPr>
            <w:tcW w:w="785" w:type="dxa"/>
          </w:tcPr>
          <w:p w14:paraId="4FD4209C"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5.</w:t>
            </w:r>
          </w:p>
        </w:tc>
        <w:tc>
          <w:tcPr>
            <w:tcW w:w="3735" w:type="dxa"/>
          </w:tcPr>
          <w:p w14:paraId="17F3E47B" w14:textId="7AF1186C" w:rsidR="006E1459" w:rsidRPr="001C4BA5" w:rsidRDefault="00E37BC8" w:rsidP="005C43CC">
            <w:pPr>
              <w:rPr>
                <w:rFonts w:ascii="Times New Roman" w:hAnsi="Times New Roman" w:cs="Times New Roman"/>
              </w:rPr>
            </w:pPr>
            <w:r>
              <w:rPr>
                <w:rFonts w:ascii="Times New Roman" w:hAnsi="Times New Roman" w:cs="Times New Roman"/>
              </w:rPr>
              <w:t>Jāveicina studiju programmu internacionalizācija.</w:t>
            </w:r>
          </w:p>
        </w:tc>
        <w:tc>
          <w:tcPr>
            <w:tcW w:w="4547" w:type="dxa"/>
          </w:tcPr>
          <w:p w14:paraId="0290F411" w14:textId="09A7D08A" w:rsidR="006E1459" w:rsidRPr="00BD4C64" w:rsidRDefault="00CF569E" w:rsidP="00CF569E">
            <w:pPr>
              <w:jc w:val="both"/>
              <w:rPr>
                <w:rFonts w:ascii="Times New Roman" w:hAnsi="Times New Roman" w:cs="Times New Roman"/>
              </w:rPr>
            </w:pPr>
            <w:r>
              <w:rPr>
                <w:rFonts w:ascii="Times New Roman" w:hAnsi="Times New Roman" w:cs="Times New Roman"/>
              </w:rPr>
              <w:t xml:space="preserve">Viena no DSP “Vadībzinātne” īstenošanas valodām ir angļu. Pārskata periodā DSP “Vadībzinātne” studēja 5 ārvalstu studējošie no Izraēlas, Somijas, Lietuvas un Gruzijas. Studijas tika nodrošinātas angļu valodā. </w:t>
            </w:r>
          </w:p>
        </w:tc>
      </w:tr>
      <w:tr w:rsidR="006E1459" w:rsidRPr="006E1459" w14:paraId="3E75A004" w14:textId="77777777" w:rsidTr="005C43CC">
        <w:tc>
          <w:tcPr>
            <w:tcW w:w="785" w:type="dxa"/>
          </w:tcPr>
          <w:p w14:paraId="45458321" w14:textId="77777777" w:rsidR="006E1459" w:rsidRPr="006E1459" w:rsidRDefault="00A927D4" w:rsidP="006E1459">
            <w:pPr>
              <w:jc w:val="both"/>
              <w:rPr>
                <w:rFonts w:ascii="Times New Roman" w:hAnsi="Times New Roman" w:cs="Times New Roman"/>
                <w:b/>
              </w:rPr>
            </w:pPr>
            <w:r>
              <w:rPr>
                <w:rFonts w:ascii="Times New Roman" w:hAnsi="Times New Roman" w:cs="Times New Roman"/>
                <w:b/>
              </w:rPr>
              <w:t>6.</w:t>
            </w:r>
          </w:p>
        </w:tc>
        <w:tc>
          <w:tcPr>
            <w:tcW w:w="3735" w:type="dxa"/>
          </w:tcPr>
          <w:p w14:paraId="16C463BB" w14:textId="1C8231ED" w:rsidR="006E1459" w:rsidRPr="009A77B0" w:rsidRDefault="00E37BC8" w:rsidP="00E37BC8">
            <w:pPr>
              <w:rPr>
                <w:rFonts w:ascii="Times New Roman" w:hAnsi="Times New Roman" w:cs="Times New Roman"/>
              </w:rPr>
            </w:pPr>
            <w:r>
              <w:rPr>
                <w:rFonts w:ascii="Times New Roman" w:hAnsi="Times New Roman" w:cs="Times New Roman"/>
              </w:rPr>
              <w:t>Jāveicina kopīgu studiju programmu izstrāde.</w:t>
            </w:r>
          </w:p>
        </w:tc>
        <w:tc>
          <w:tcPr>
            <w:tcW w:w="4547" w:type="dxa"/>
          </w:tcPr>
          <w:p w14:paraId="0732AF24" w14:textId="2A1B199F" w:rsidR="006E1459" w:rsidRPr="00BD4C64" w:rsidRDefault="00E37BC8" w:rsidP="005C43CC">
            <w:pPr>
              <w:jc w:val="both"/>
              <w:rPr>
                <w:rFonts w:ascii="Times New Roman" w:hAnsi="Times New Roman" w:cs="Times New Roman"/>
              </w:rPr>
            </w:pPr>
            <w:r>
              <w:rPr>
                <w:rFonts w:ascii="Times New Roman" w:hAnsi="Times New Roman" w:cs="Times New Roman"/>
              </w:rPr>
              <w:t xml:space="preserve">2014. gadā tika izveidota un licencēta kopīga DSP “Vadībzinātne” ar BAT. </w:t>
            </w:r>
          </w:p>
        </w:tc>
      </w:tr>
    </w:tbl>
    <w:p w14:paraId="0016709F" w14:textId="77777777" w:rsidR="006E1459" w:rsidRPr="006E1459" w:rsidRDefault="006E1459" w:rsidP="006E1459">
      <w:pPr>
        <w:jc w:val="both"/>
        <w:rPr>
          <w:rFonts w:ascii="Times New Roman" w:hAnsi="Times New Roman" w:cs="Times New Roman"/>
          <w:b/>
          <w:sz w:val="24"/>
          <w:szCs w:val="24"/>
        </w:rPr>
      </w:pPr>
      <w:bookmarkStart w:id="0" w:name="_GoBack"/>
      <w:bookmarkEnd w:id="0"/>
    </w:p>
    <w:sectPr w:rsidR="006E1459" w:rsidRPr="006E14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59"/>
    <w:rsid w:val="000045E1"/>
    <w:rsid w:val="00064BD4"/>
    <w:rsid w:val="000F46A9"/>
    <w:rsid w:val="001C4BA5"/>
    <w:rsid w:val="001E0865"/>
    <w:rsid w:val="002C5865"/>
    <w:rsid w:val="002D6745"/>
    <w:rsid w:val="00382F67"/>
    <w:rsid w:val="00516DA1"/>
    <w:rsid w:val="005C43CC"/>
    <w:rsid w:val="005D36D2"/>
    <w:rsid w:val="006E1459"/>
    <w:rsid w:val="006F4ED4"/>
    <w:rsid w:val="007978B7"/>
    <w:rsid w:val="008B652F"/>
    <w:rsid w:val="00905216"/>
    <w:rsid w:val="009A77B0"/>
    <w:rsid w:val="00A927D4"/>
    <w:rsid w:val="00B736AB"/>
    <w:rsid w:val="00BD4C64"/>
    <w:rsid w:val="00BE0FF1"/>
    <w:rsid w:val="00C905EB"/>
    <w:rsid w:val="00CA680C"/>
    <w:rsid w:val="00CF569E"/>
    <w:rsid w:val="00DC2815"/>
    <w:rsid w:val="00E37BC8"/>
    <w:rsid w:val="00EE200D"/>
    <w:rsid w:val="00F20F36"/>
    <w:rsid w:val="00F312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1A84C"/>
  <w15:chartTrackingRefBased/>
  <w15:docId w15:val="{91C49014-1CF7-4DED-B4CF-5FA2686A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927D4"/>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C43CC"/>
    <w:rPr>
      <w:sz w:val="16"/>
      <w:szCs w:val="16"/>
    </w:rPr>
  </w:style>
  <w:style w:type="paragraph" w:styleId="CommentText">
    <w:name w:val="annotation text"/>
    <w:basedOn w:val="Normal"/>
    <w:link w:val="CommentTextChar"/>
    <w:uiPriority w:val="99"/>
    <w:semiHidden/>
    <w:unhideWhenUsed/>
    <w:rsid w:val="005C43CC"/>
    <w:pPr>
      <w:spacing w:line="240" w:lineRule="auto"/>
    </w:pPr>
    <w:rPr>
      <w:sz w:val="20"/>
      <w:szCs w:val="20"/>
    </w:rPr>
  </w:style>
  <w:style w:type="character" w:customStyle="1" w:styleId="CommentTextChar">
    <w:name w:val="Comment Text Char"/>
    <w:basedOn w:val="DefaultParagraphFont"/>
    <w:link w:val="CommentText"/>
    <w:uiPriority w:val="99"/>
    <w:semiHidden/>
    <w:rsid w:val="005C43CC"/>
    <w:rPr>
      <w:sz w:val="20"/>
      <w:szCs w:val="20"/>
    </w:rPr>
  </w:style>
  <w:style w:type="paragraph" w:styleId="CommentSubject">
    <w:name w:val="annotation subject"/>
    <w:basedOn w:val="CommentText"/>
    <w:next w:val="CommentText"/>
    <w:link w:val="CommentSubjectChar"/>
    <w:uiPriority w:val="99"/>
    <w:semiHidden/>
    <w:unhideWhenUsed/>
    <w:rsid w:val="005C43CC"/>
    <w:rPr>
      <w:b/>
      <w:bCs/>
    </w:rPr>
  </w:style>
  <w:style w:type="character" w:customStyle="1" w:styleId="CommentSubjectChar">
    <w:name w:val="Comment Subject Char"/>
    <w:basedOn w:val="CommentTextChar"/>
    <w:link w:val="CommentSubject"/>
    <w:uiPriority w:val="99"/>
    <w:semiHidden/>
    <w:rsid w:val="005C43CC"/>
    <w:rPr>
      <w:b/>
      <w:bCs/>
      <w:sz w:val="20"/>
      <w:szCs w:val="20"/>
    </w:rPr>
  </w:style>
  <w:style w:type="paragraph" w:styleId="BalloonText">
    <w:name w:val="Balloon Text"/>
    <w:basedOn w:val="Normal"/>
    <w:link w:val="BalloonTextChar"/>
    <w:uiPriority w:val="99"/>
    <w:semiHidden/>
    <w:unhideWhenUsed/>
    <w:rsid w:val="005C43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43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353AB-9C86-4573-8547-8D5CD9E39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1656</Words>
  <Characters>945</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2020-02-13T15:58:00Z</dcterms:created>
  <dcterms:modified xsi:type="dcterms:W3CDTF">2020-03-04T13:38:00Z</dcterms:modified>
</cp:coreProperties>
</file>