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08" w:type="dxa"/>
        <w:tblW w:w="9201" w:type="dxa"/>
      </w:tblPr>
      <w:tblGrid>
        <w:gridCol w:w="4689"/>
        <w:gridCol w:w="4286"/>
        <w:gridCol w:w="226"/>
      </w:tblGrid>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p>
          <w:p>
            <w:pPr>
              <w:pStyle w:val="Nosaukumi"/>
            </w:pPr>
            <w:r>
              <w:t>Studiju kursa nosaukums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spacing/>
              <w:jc w:val="both"/>
              <w:rPr>
                <w:b/>
              </w:rPr>
            </w:pPr>
            <w:r>
              <w:rPr>
                <w:rFonts w:eastAsia="Times New Roman"/>
                <w:b/>
                <w:i/>
              </w:rPr>
              <w:t>Promocijas eksāmens svešvalodā</w:t>
            </w:r>
            <w:r>
              <w:rPr>
                <w:b/>
              </w:rP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Studiju kursa kods (DUIS)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rPr>
                <w:rFonts w:eastAsia="Times New Roman"/>
              </w:rPr>
              <w:t>VadZD021</w:t>
            </w:r>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Zinātnes nozare</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rPr>
                <w:b/>
              </w:rPr>
            </w:pPr>
            <w:r>
              <w:rPr>
                <w:rFonts w:eastAsia="Times New Roman"/>
              </w:rPr>
              <w:t>Valodniecība</w:t>
            </w:r>
            <w:r>
              <w:rPr>
                <w:b/>
              </w:rPr>
            </w:r>
          </w:p>
        </w:tc>
      </w:tr>
      <w:tr>
        <w:trPr>
          <w:trHeight w:val="132" w:hRule="atLeast"/>
        </w:trPr>
        <w:tc>
          <w:tcPr>
            <w:tcW w:w="4689" w:type="dxa"/>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Kursa līmenis</w:t>
            </w:r>
          </w:p>
        </w:tc>
        <w:tc>
          <w:tcPr>
            <w:tcW w:w="4512" w:type="dxa"/>
            <w:gridSpan w:val="2"/>
            <w:shd w:val="solid" w:color="FFFFFF" tmshd="6553856, 16777215, 0"/>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7</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rPr>
                <w:u w:color="auto" w:val="single"/>
              </w:rPr>
            </w:pPr>
            <w:r>
              <w:t>Kredītpunkti</w:t>
            </w:r>
            <w:r>
              <w:rPr>
                <w:u w:color="auto" w:val="single"/>
              </w:rPr>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4</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rPr>
                <w:u w:color="auto" w:val="single"/>
              </w:rPr>
            </w:pPr>
            <w:r>
              <w:t>ECTS kredītpunkti</w:t>
            </w:r>
            <w:r>
              <w:rPr>
                <w:u w:color="auto" w:val="single"/>
              </w:rPr>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6</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Kopējais kontaktstundu skaits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2"/>
            </w:pPr>
            <w:r>
              <w:t>Lekciju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2"/>
            </w:pPr>
            <w:r>
              <w:t>Semināru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2"/>
            </w:pPr>
            <w:r>
              <w:t>Praktisko darbu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2"/>
            </w:pPr>
            <w:r>
              <w:t>Laboratorijas darbu stundu skaits</w:t>
            </w:r>
          </w:p>
        </w:tc>
        <w:tc>
          <w:tcPr>
            <w:tcW w:w="4512"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rPr>
                <w:i/>
              </w:rPr>
            </w:pPr>
            <w:r>
              <w:rPr>
                <w:i/>
              </w:rPr>
              <w:t>-</w:t>
            </w:r>
          </w:p>
        </w:tc>
      </w:tr>
      <w:tr>
        <w:trPr>
          <w:trHeight w:val="132" w:hRule="atLeast"/>
        </w:trPr>
        <w:tc>
          <w:tcPr>
            <w:tcW w:w="468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2"/>
            </w:pPr>
            <w:r>
              <w:t>Studējošā patstāvīgā darba stundu skaits</w:t>
            </w:r>
          </w:p>
        </w:tc>
        <w:tc>
          <w:tcPr>
            <w:tcW w:w="4512" w:type="dxa"/>
            <w:gridSpan w:val="2"/>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t>160</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Kursa izstrādātājs(-i)</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rPr>
                <w:rFonts w:eastAsia="Times New Roman"/>
                <w:lang w:val="en-us"/>
              </w:rPr>
            </w:pPr>
            <w:r>
              <w:rPr>
                <w:rFonts w:eastAsia="Times New Roman"/>
                <w:lang w:val="en-us"/>
              </w:rPr>
              <w:t>Dr.paed., profesore Jeļena Davidova</w:t>
            </w:r>
          </w:p>
          <w:p>
            <w:pPr>
              <w:rPr>
                <w:rFonts w:eastAsia="Times New Roman"/>
                <w:lang w:val="en-us"/>
              </w:rPr>
            </w:pPr>
            <w:r>
              <w:rPr>
                <w:rFonts w:eastAsia="Times New Roman"/>
                <w:lang w:val="en-us"/>
              </w:rPr>
              <w:t>Ph.D, profesore Dzintra Iliško</w:t>
              <w:br w:type="textWrapping"/>
              <w:t>Dr.phil., docente Jeļena Semeņeca</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Priekšzināšanas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rPr>
                <w:rFonts w:eastAsia="Times New Roman"/>
              </w:rPr>
            </w:pPr>
            <w:r>
              <w:rPr>
                <w:rFonts w:eastAsia="Times New Roman"/>
              </w:rPr>
              <w:t>Nav nepieciešamas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 xml:space="preserve">Promocijas eksāmena anotācija </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spacing/>
              <w:jc w:val="both"/>
              <w:rPr>
                <w:rFonts w:eastAsia="Times New Roman"/>
              </w:rPr>
            </w:pPr>
            <w:r>
              <w:rPr>
                <w:rStyle w:val="Noklusjumarindkopasfonts1"/>
                <w:bCs w:val="0"/>
              </w:rPr>
              <w:t>Promocijas eksāmena mērķis</w:t>
            </w:r>
            <w:r>
              <w:rPr>
                <w:rStyle w:val="Noklusjumarindkopasfonts1"/>
                <w:bCs w:val="0"/>
              </w:rPr>
              <w:t>:</w:t>
            </w:r>
            <w:r>
              <w:rPr>
                <w:rStyle w:val="Noklusjumarindkopasfonts1"/>
                <w:b/>
                <w:bCs w:val="0"/>
              </w:rPr>
              <w:t xml:space="preserve"> </w:t>
            </w:r>
            <w:r>
              <w:t>pārbaudīt studējošo spēju patstāvīgi strādāt ar nozares literatūru un lietot nozares  terminoloģiju mutvārdu un rakstveida diskursā angļu valodā.</w:t>
            </w:r>
            <w:r>
              <w:rPr>
                <w:rFonts w:eastAsia="Times New Roman"/>
              </w:rPr>
            </w:r>
          </w:p>
          <w:p>
            <w:pPr>
              <w:spacing/>
              <w:jc w:val="both"/>
              <w:rPr>
                <w:rStyle w:val="Noklusjumarindkopasfonts1"/>
              </w:rPr>
            </w:pPr>
            <w:r>
              <w:rPr>
                <w:rStyle w:val="Noklusjumarindkopasfonts1"/>
              </w:rPr>
            </w:r>
          </w:p>
          <w:p>
            <w:pPr>
              <w:spacing/>
              <w:jc w:val="both"/>
              <w:rPr>
                <w:rStyle w:val="Noklusjumarindkopasfonts1"/>
              </w:rPr>
            </w:pPr>
            <w:r>
              <w:rPr>
                <w:rStyle w:val="Noklusjumarindkopasfonts1"/>
              </w:rPr>
              <w:t>Pirms eksāmena tiek piedāvātas konsultācijas, lai pretendents varētu sagatavoties promocijas eksāmenam angļu valodā</w:t>
            </w:r>
            <w:r>
              <w:rPr>
                <w:rStyle w:val="Noklusjumarindkopasfonts1"/>
              </w:rPr>
              <w:t xml:space="preserve"> atbilstoši prasībām un iepazīties ar izvērtēšanas kritērijiem</w:t>
            </w:r>
            <w:r>
              <w:rPr>
                <w:rStyle w:val="Noklusjumarindkopasfonts1"/>
              </w:rPr>
              <w:t>, individuāli pilnveidojot akadēmiskās valodas prasmes nozarē un apgūstot nozares terminoloģiju.</w:t>
            </w:r>
            <w:r>
              <w:rPr>
                <w:rStyle w:val="Noklusjumarindkopasfonts1"/>
              </w:rPr>
            </w:r>
          </w:p>
          <w:p>
            <w:pPr>
              <w:spacing/>
              <w:jc w:val="both"/>
              <w:suppressAutoHyphens/>
              <w:hyphenationLines w:val="0"/>
              <w:rPr>
                <w:iCs w:val="0"/>
              </w:rPr>
            </w:pPr>
            <w:r>
              <w:rPr>
                <w:iCs w:val="0"/>
              </w:rPr>
              <w:t>Promocijas eksāmens tiek īstenots angļu valodā.</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Studiju rezultāti</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Parasts1"/>
              <w:ind w:left="357" w:hanging="357"/>
              <w:spacing w:after="0" w:line="240" w:lineRule="auto"/>
              <w:jc w:val="both"/>
              <w:rPr>
                <w:rFonts w:ascii="Times New Roman" w:hAnsi="Times New Roman"/>
                <w:sz w:val="24"/>
                <w:szCs w:val="24"/>
              </w:rPr>
            </w:pPr>
            <w:r>
              <w:rPr>
                <w:rFonts w:ascii="Times New Roman" w:hAnsi="Times New Roman"/>
                <w:sz w:val="24"/>
                <w:szCs w:val="24"/>
              </w:rPr>
              <w:t>Zināšanas</w:t>
            </w:r>
          </w:p>
          <w:p>
            <w:pPr>
              <w:pStyle w:val="ListParagraph"/>
              <w:numPr>
                <w:ilvl w:val="0"/>
                <w:numId w:val="22"/>
              </w:numPr>
              <w:ind w:left="357" w:hanging="357"/>
              <w:spacing/>
              <w:jc w:val="both"/>
              <w:rPr>
                <w:rFonts w:eastAsia="Calibri"/>
                <w:bCs/>
                <w:iCs/>
                <w:color w:val="auto"/>
              </w:rPr>
            </w:pPr>
            <w:r>
              <w:rPr>
                <w:rFonts w:eastAsia="Calibri"/>
                <w:bCs/>
                <w:iCs/>
                <w:color w:val="auto"/>
              </w:rPr>
              <w:t>Saprot mutvārdos un rakstveidā lietoto runu atbilstīgajā zinātnes nozarē.</w:t>
            </w:r>
          </w:p>
          <w:p>
            <w:pPr>
              <w:pStyle w:val="ListParagraph"/>
              <w:numPr>
                <w:ilvl w:val="0"/>
                <w:numId w:val="22"/>
              </w:numPr>
              <w:ind w:left="357" w:hanging="357"/>
              <w:spacing/>
              <w:jc w:val="both"/>
              <w:rPr>
                <w:rFonts w:eastAsia="Calibri"/>
                <w:color w:val="auto"/>
              </w:rPr>
            </w:pPr>
            <w:r>
              <w:rPr>
                <w:rFonts w:eastAsia="Calibri"/>
                <w:color w:val="auto"/>
              </w:rPr>
              <w:t>Mutiski un rakstiski demonstrē zināšanas nozarē angļu valodā, atreferējot galvenās atziņas, kuras gūtas teorētiskos avotos un zinātniskos pētījumos.</w:t>
            </w:r>
          </w:p>
          <w:p>
            <w:pPr>
              <w:pStyle w:val="ListParagraph"/>
              <w:ind w:left="0"/>
              <w:spacing/>
              <w:jc w:val="both"/>
              <w:tabs>
                <w:tab w:val="left" w:pos="3690" w:leader="none"/>
              </w:tabs>
              <w:rPr>
                <w:b/>
              </w:rPr>
            </w:pPr>
            <w:r>
              <w:rPr>
                <w:b/>
              </w:rPr>
            </w:r>
          </w:p>
          <w:p>
            <w:pPr>
              <w:pStyle w:val="ListParagraph"/>
              <w:ind w:left="0"/>
              <w:spacing/>
              <w:jc w:val="both"/>
              <w:tabs>
                <w:tab w:val="left" w:pos="3690" w:leader="none"/>
              </w:tabs>
            </w:pPr>
            <w:r>
              <w:t>Prasmes</w:t>
            </w:r>
          </w:p>
          <w:p>
            <w:pPr>
              <w:pStyle w:val="ListParagraph"/>
              <w:numPr>
                <w:ilvl w:val="0"/>
                <w:numId w:val="22"/>
              </w:numPr>
              <w:ind w:left="357" w:hanging="357"/>
              <w:spacing/>
              <w:jc w:val="both"/>
              <w:rPr>
                <w:rFonts w:eastAsia="Calibri"/>
                <w:bCs/>
                <w:iCs/>
                <w:color w:val="auto"/>
              </w:rPr>
            </w:pPr>
            <w:r>
              <w:rPr>
                <w:rFonts w:eastAsia="Calibri"/>
                <w:bCs/>
                <w:iCs/>
                <w:color w:val="auto"/>
              </w:rPr>
              <w:t>Prot brīvi lietot nozares terminoloģiju.</w:t>
            </w:r>
          </w:p>
          <w:p>
            <w:pPr>
              <w:pStyle w:val="ListParagraph"/>
              <w:numPr>
                <w:ilvl w:val="0"/>
                <w:numId w:val="22"/>
              </w:numPr>
              <w:ind w:left="357" w:hanging="357"/>
              <w:spacing/>
              <w:jc w:val="both"/>
              <w:rPr>
                <w:rFonts w:eastAsia="Calibri"/>
                <w:bCs/>
                <w:iCs/>
                <w:color w:val="auto"/>
              </w:rPr>
            </w:pPr>
            <w:r>
              <w:rPr>
                <w:rFonts w:eastAsia="Calibri"/>
                <w:bCs/>
                <w:iCs/>
                <w:color w:val="auto"/>
              </w:rPr>
              <w:t>Prot argumentēti raksturot savu pētījumu angļu valodā.</w:t>
            </w:r>
          </w:p>
          <w:p>
            <w:pPr>
              <w:pStyle w:val="ListParagraph"/>
              <w:numPr>
                <w:ilvl w:val="0"/>
                <w:numId w:val="22"/>
              </w:numPr>
              <w:ind w:left="357" w:hanging="357"/>
              <w:spacing/>
              <w:jc w:val="both"/>
              <w:rPr>
                <w:rFonts w:eastAsia="Calibri"/>
                <w:bCs/>
                <w:iCs/>
                <w:color w:val="auto"/>
              </w:rPr>
            </w:pPr>
            <w:r>
              <w:rPr>
                <w:rFonts w:eastAsia="Calibri"/>
                <w:bCs/>
                <w:iCs/>
                <w:color w:val="auto"/>
              </w:rPr>
              <w:t>Spēj izteikt un pamatot viedokli un piedalīties diskusijās nozares diskursā angļu valodā.</w:t>
            </w:r>
          </w:p>
          <w:p>
            <w:pPr>
              <w:pStyle w:val="Parasts1"/>
              <w:spacing w:after="0" w:line="240" w:lineRule="auto"/>
              <w:jc w:val="both"/>
              <w:rPr>
                <w:rFonts w:ascii="Times New Roman" w:hAnsi="Times New Roman"/>
                <w:sz w:val="24"/>
                <w:szCs w:val="24"/>
              </w:rPr>
            </w:pPr>
            <w:r>
              <w:rPr>
                <w:rFonts w:ascii="Times New Roman" w:hAnsi="Times New Roman"/>
                <w:sz w:val="24"/>
                <w:szCs w:val="24"/>
              </w:rPr>
            </w:r>
          </w:p>
          <w:p>
            <w:pPr>
              <w:pStyle w:val="Parasts1"/>
              <w:spacing w:after="0" w:line="240" w:lineRule="auto"/>
              <w:jc w:val="both"/>
              <w:rPr>
                <w:rFonts w:ascii="Times New Roman" w:hAnsi="Times New Roman"/>
                <w:sz w:val="24"/>
                <w:szCs w:val="24"/>
              </w:rPr>
            </w:pPr>
            <w:r>
              <w:rPr>
                <w:rFonts w:ascii="Times New Roman" w:hAnsi="Times New Roman"/>
                <w:sz w:val="24"/>
                <w:szCs w:val="24"/>
              </w:rPr>
              <w:t>Kompetence</w:t>
            </w:r>
          </w:p>
          <w:p>
            <w:pPr>
              <w:pStyle w:val="ListParagraph"/>
              <w:numPr>
                <w:ilvl w:val="0"/>
                <w:numId w:val="22"/>
              </w:numPr>
              <w:ind w:left="357" w:hanging="357"/>
              <w:spacing/>
              <w:jc w:val="both"/>
              <w:rPr>
                <w:rFonts w:eastAsia="Calibri"/>
                <w:bCs/>
                <w:iCs/>
                <w:color w:val="auto"/>
              </w:rPr>
            </w:pPr>
            <w:r>
              <w:rPr>
                <w:rFonts w:eastAsia="Calibri"/>
                <w:bCs/>
                <w:iCs/>
                <w:color w:val="auto"/>
              </w:rPr>
              <w:t xml:space="preserve">Spēj komunicēt angļu valodā akadēmiskajā vidē. </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Studējošo patstāvīgo darbu organizācijas un uzdevumu raksturojums</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Default"/>
              <w:spacing/>
              <w:jc w:val="both"/>
              <w:rPr>
                <w:rFonts w:eastAsia="Times New Roman"/>
                <w:lang w:val="lv-lv"/>
              </w:rPr>
            </w:pPr>
            <w:r>
              <w:rPr>
                <w:rFonts w:eastAsia="Times New Roman"/>
                <w:lang w:val="lv-lv"/>
              </w:rPr>
              <w:t>Studējošie sagatavo referātu par savu pētījumu angļu valodā 8 lpp. apjomā.  Referātā jāiekļauj tēmas aktualitātes pamatojums, pētījuma mērķis, pētījuma uzdevumi, pētījuma objekts, izmantotās pētījuma metodes, izvirzītā darba hipotēze. Referātam jāatspoguļo pētījuma norise, jāatklāj gūtās galvenās teorētiskās atziņas un iespējamie secinājumi, jāiezīmē pētījuma novitāte un praktiskā nozīmība.</w:t>
            </w:r>
          </w:p>
          <w:p>
            <w:pPr>
              <w:pStyle w:val="Default"/>
              <w:spacing/>
              <w:jc w:val="both"/>
              <w:rPr>
                <w:rFonts w:eastAsia="Times New Roman"/>
                <w:lang w:val="lv-lv"/>
              </w:rPr>
            </w:pPr>
            <w:r>
              <w:rPr>
                <w:rFonts w:eastAsia="Times New Roman"/>
                <w:lang w:val="lv-lv"/>
              </w:rPr>
            </w:r>
          </w:p>
          <w:p>
            <w:pPr>
              <w:pStyle w:val="Default"/>
              <w:spacing/>
              <w:jc w:val="both"/>
              <w:rPr>
                <w:rFonts w:eastAsia="Times New Roman"/>
                <w:lang w:val="lv-lv"/>
              </w:rPr>
            </w:pPr>
            <w:r>
              <w:rPr>
                <w:rFonts w:eastAsia="Times New Roman"/>
                <w:lang w:val="lv-lv"/>
              </w:rPr>
              <w:t>Izstrādātais referāts iesniedzams promocijas eksāmena komisijai vismaz nedēļu pirms promocijas eksāmena.</w:t>
            </w:r>
          </w:p>
        </w:tc>
      </w:tr>
      <w:tr>
        <w:trPr>
          <w:trHeight w:val="132"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Prasības kredītpunktu iegūšanai</w:t>
            </w:r>
          </w:p>
        </w:tc>
      </w:tr>
      <w:tr>
        <w:trPr>
          <w:trHeight w:val="788" w:hRule="atLeast"/>
        </w:trPr>
        <w:tc>
          <w:tcPr>
            <w:tcW w:w="9201" w:type="dxa"/>
            <w:gridSpan w:val="3"/>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Default"/>
              <w:spacing/>
              <w:jc w:val="both"/>
              <w:rPr>
                <w:rFonts w:eastAsia="Times New Roman"/>
                <w:lang w:val="lv-lv"/>
              </w:rPr>
            </w:pPr>
            <w:r>
              <w:rPr>
                <w:rFonts w:eastAsia="Times New Roman"/>
                <w:lang w:val="lv-lv"/>
              </w:rPr>
              <w:t>Promocijas eksāmenā studējošie prezentē angļu valodā savu promocijas pētījumu, atbild uz komisijas jautājumiem, kā arī piedalās diskusijā.</w:t>
            </w:r>
          </w:p>
          <w:p>
            <w:pPr>
              <w:rPr>
                <w:rFonts w:eastAsia="Times New Roman"/>
              </w:rPr>
            </w:pPr>
            <w:r>
              <w:rPr>
                <w:rFonts w:eastAsia="Times New Roman"/>
              </w:rPr>
            </w:r>
          </w:p>
          <w:p>
            <w:pPr>
              <w:rPr>
                <w:bCs w:val="0"/>
              </w:rPr>
            </w:pPr>
            <w:r>
              <w:rPr>
                <w:bCs w:val="0"/>
              </w:rPr>
              <w:t>STUDIJU REZULTĀTU VĒRTĒŠANAS KRITĒRIJI</w:t>
            </w:r>
          </w:p>
          <w:p>
            <w:pPr>
              <w:spacing/>
              <w:jc w:val="both"/>
            </w:pPr>
            <w:r>
              <w:t xml:space="preserve">Doktoranta zināšanas, prasmes un kompetence angļu valodā tiek vērtēta 10 ballu skalā saskaņā ar Latvijas Republikas  normatīvajiem aktiem un atbilstoši </w:t>
            </w:r>
            <w:r>
              <w:rPr>
                <w:bCs w:val="0"/>
              </w:rPr>
              <w:t>”</w:t>
            </w:r>
            <w:r>
              <w:t>Nolikumam par studijām Daugavpils Universitātē</w:t>
            </w:r>
            <w:r>
              <w:rPr>
                <w:bCs w:val="0"/>
              </w:rPr>
              <w:t>”</w:t>
            </w:r>
            <w:r>
              <w:t xml:space="preserve"> (apstiprināts DU Senāta sēdē 17.12.2018.,  protokols Nr. 15), vadoties pēc šādiem kritērijiem: </w:t>
            </w:r>
          </w:p>
          <w:p>
            <w:pPr>
              <w:numPr>
                <w:ilvl w:val="0"/>
                <w:numId w:val="81"/>
              </w:numPr>
              <w:ind w:left="360" w:hanging="360"/>
              <w:spacing/>
              <w:jc w:val="both"/>
              <w:rPr>
                <w:rFonts w:eastAsia="Times New Roman"/>
                <w:bCs w:val="0"/>
                <w:iCs w:val="0"/>
                <w:color w:val="000000"/>
              </w:rPr>
            </w:pPr>
            <w:r>
              <w:rPr>
                <w:rFonts w:eastAsia="Times New Roman"/>
                <w:bCs w:val="0"/>
                <w:i/>
                <w:iCs w:val="0"/>
                <w:color w:val="000000"/>
              </w:rPr>
              <w:t>Referāta vērtēšanas kritēriji:</w:t>
            </w:r>
            <w:r>
              <w:rPr>
                <w:rFonts w:eastAsia="Times New Roman"/>
                <w:bCs w:val="0"/>
                <w:iCs w:val="0"/>
                <w:color w:val="000000"/>
              </w:rPr>
              <w:t xml:space="preserve"> referāta struktūra, atbilstošas leksikas izmantošana, gramatikas iemaņu lietojums, pareizrakstība, lietišķās rakstu valodas stila lietošana.</w:t>
            </w:r>
          </w:p>
          <w:p>
            <w:pPr>
              <w:numPr>
                <w:ilvl w:val="0"/>
                <w:numId w:val="81"/>
              </w:numPr>
              <w:ind w:left="360" w:hanging="360"/>
              <w:spacing/>
              <w:jc w:val="both"/>
              <w:rPr>
                <w:rFonts w:eastAsia="Times New Roman"/>
                <w:bCs w:val="0"/>
                <w:iCs w:val="0"/>
                <w:color w:val="000000"/>
              </w:rPr>
            </w:pPr>
            <w:r>
              <w:rPr>
                <w:rFonts w:eastAsia="Times New Roman"/>
                <w:bCs w:val="0"/>
                <w:i/>
                <w:iCs w:val="0"/>
                <w:color w:val="000000"/>
              </w:rPr>
              <w:t>Prezentācijas vērtēšanas kritēriji:</w:t>
            </w:r>
            <w:r>
              <w:rPr>
                <w:rFonts w:eastAsia="Times New Roman"/>
                <w:bCs w:val="0"/>
                <w:iCs w:val="0"/>
                <w:color w:val="000000"/>
              </w:rPr>
              <w:t> runas iemaņas svešvalodā: cik brīvi students spēj runāt par tēmu, gramatikas iemaņu lietojums, izmantotās leksikas atbilstība saturam, fonētisko iemaņu lietojums, cik precīzi students izprot uzdotos jautājumus un cik pareizi atbild uz tiem.</w:t>
            </w:r>
          </w:p>
          <w:p>
            <w:pPr>
              <w:numPr>
                <w:ilvl w:val="0"/>
                <w:numId w:val="81"/>
              </w:numPr>
              <w:ind w:left="360" w:hanging="360"/>
              <w:spacing/>
              <w:jc w:val="both"/>
              <w:rPr>
                <w:rFonts w:eastAsia="Times New Roman"/>
                <w:bCs w:val="0"/>
                <w:iCs w:val="0"/>
                <w:color w:val="000000"/>
              </w:rPr>
            </w:pPr>
            <w:r>
              <w:rPr>
                <w:rFonts w:eastAsia="Times New Roman"/>
                <w:bCs w:val="0"/>
                <w:i/>
                <w:iCs w:val="0"/>
                <w:color w:val="000000"/>
              </w:rPr>
              <w:t>Prezentācijas satura vērtēšana:</w:t>
            </w:r>
            <w:r>
              <w:rPr>
                <w:rFonts w:eastAsia="Times New Roman"/>
                <w:bCs w:val="0"/>
                <w:iCs w:val="0"/>
                <w:color w:val="000000"/>
              </w:rPr>
              <w:t xml:space="preserve"> cik dziļi vai virspusēji tiek atklāts tēmas saturs, demonstrētas prezentācijas prasmes svešvalodā.</w:t>
            </w:r>
            <w:r/>
            <w:bookmarkStart w:id="0" w:name="_GoBack"/>
            <w:bookmarkEnd w:id="0"/>
            <w:r/>
            <w:r>
              <w:rPr>
                <w:rFonts w:eastAsia="Times New Roman"/>
                <w:bCs w:val="0"/>
                <w:iCs w:val="0"/>
                <w:color w:val="000000"/>
              </w:rPr>
            </w:r>
          </w:p>
        </w:tc>
      </w:tr>
      <w:tr>
        <w:trPr>
          <w:trHeight w:val="134"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Obligāti izmantojamie informācijas avoti</w:t>
            </w:r>
          </w:p>
        </w:tc>
      </w:tr>
      <w:tr>
        <w:trPr>
          <w:trHeight w:val="1653"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ListParagraph"/>
              <w:numPr>
                <w:ilvl w:val="0"/>
                <w:numId w:val="36"/>
              </w:numPr>
              <w:ind w:left="397" w:hanging="397"/>
              <w:spacing/>
              <w:jc w:val="both"/>
            </w:pPr>
            <w:r>
              <w:t>Swales, J</w:t>
            </w:r>
            <w:r>
              <w:rPr>
                <w:lang w:val="en-us"/>
              </w:rPr>
              <w:t>.</w:t>
            </w:r>
            <w:r>
              <w:t xml:space="preserve">M. &amp; Feak, C.B. (2011). </w:t>
            </w:r>
            <w:r>
              <w:rPr>
                <w:i/>
              </w:rPr>
              <w:t xml:space="preserve">Navigating Academia: Writing supporting genres. </w:t>
            </w:r>
            <w:r>
              <w:t>University of Michigan Press.</w:t>
            </w:r>
          </w:p>
          <w:p>
            <w:pPr>
              <w:pStyle w:val="ListParagraph"/>
              <w:ind w:left="397" w:hanging="397"/>
              <w:spacing/>
              <w:jc w:val="both"/>
            </w:pPr>
            <w:hyperlink r:id="rId8" w:history="1">
              <w:r>
                <w:rPr>
                  <w:rStyle w:val="Hyperlink"/>
                  <w:color w:val="000000"/>
                </w:rPr>
                <w:t>https://www.press.umich.edu/elt/compsite/ETRW/9780472034536-commentary.pdf</w:t>
              </w:r>
            </w:hyperlink>
          </w:p>
          <w:p>
            <w:pPr>
              <w:pStyle w:val="Parasts1"/>
              <w:numPr>
                <w:ilvl w:val="0"/>
                <w:numId w:val="36"/>
              </w:numPr>
              <w:ind w:left="397" w:hanging="397"/>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Wallace, M. &amp; Wray, A. (2016). </w:t>
            </w:r>
            <w:r>
              <w:rPr>
                <w:rFonts w:ascii="Times New Roman" w:hAnsi="Times New Roman"/>
                <w:i/>
                <w:color w:val="000000"/>
                <w:sz w:val="24"/>
                <w:szCs w:val="24"/>
              </w:rPr>
              <w:t>Critical Reading and Writing for Postgraduates.</w:t>
            </w:r>
            <w:r>
              <w:rPr>
                <w:rFonts w:ascii="Times New Roman" w:hAnsi="Times New Roman"/>
                <w:color w:val="000000"/>
                <w:sz w:val="24"/>
                <w:szCs w:val="24"/>
              </w:rPr>
              <w:t xml:space="preserve"> Thousand Oaks, California: SAGE Publications.</w:t>
            </w:r>
            <w:r>
              <w:rPr>
                <w:rFonts w:ascii="Times New Roman" w:hAnsi="Times New Roman"/>
                <w:color w:val="000000"/>
                <w:sz w:val="24"/>
                <w:szCs w:val="24"/>
                <w:lang w:val="en-us"/>
              </w:rPr>
              <w:t xml:space="preserve"> </w:t>
            </w:r>
            <w:hyperlink r:id="rId9" w:history="1">
              <w:r>
                <w:rPr>
                  <w:rStyle w:val="Hyperlink"/>
                  <w:rFonts w:ascii="Times New Roman" w:hAnsi="Times New Roman"/>
                  <w:color w:val="000000"/>
                  <w:sz w:val="24"/>
                  <w:szCs w:val="24"/>
                </w:rPr>
                <w:t>file:///C:/Users/Admin/Desktop/Critical_Reading_and_Writing_for_Postgraduates.pdf</w:t>
              </w:r>
            </w:hyperlink>
          </w:p>
        </w:tc>
      </w:tr>
      <w:tr>
        <w:trPr>
          <w:trHeight w:val="252"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Nosaukumi"/>
            </w:pPr>
            <w:r>
              <w:t>Periodika un citi informācijas avoti</w:t>
            </w:r>
          </w:p>
        </w:tc>
      </w:tr>
      <w:tr>
        <w:trPr>
          <w:trHeight w:val="310" w:hRule="atLeast"/>
        </w:trPr>
        <w:tc>
          <w:tcPr>
            <w:tcW w:w="8975"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6064" protected="0"/>
          </w:tcPr>
          <w:p>
            <w:pPr>
              <w:pStyle w:val="Parasts1"/>
              <w:spacing w:after="0" w:line="240" w:lineRule="auto"/>
              <w:rPr>
                <w:rFonts w:ascii="Times New Roman" w:hAnsi="Times New Roman"/>
                <w:bCs/>
                <w:iCs/>
                <w:sz w:val="24"/>
                <w:szCs w:val="24"/>
              </w:rPr>
            </w:pPr>
            <w:r>
              <w:rPr>
                <w:rFonts w:ascii="Times New Roman" w:hAnsi="Times New Roman"/>
                <w:sz w:val="24"/>
                <w:szCs w:val="24"/>
              </w:rPr>
              <w:t>DU pieejamās e-resursu bāzes.</w:t>
            </w:r>
            <w:r>
              <w:rPr>
                <w:rFonts w:ascii="Times New Roman" w:hAnsi="Times New Roman"/>
                <w:bCs/>
                <w:iCs/>
                <w:sz w:val="24"/>
                <w:szCs w:val="24"/>
              </w:rPr>
            </w:r>
          </w:p>
        </w:tc>
      </w:tr>
    </w:tbl>
    <w:p>
      <w:r/>
    </w:p>
    <w:sectPr>
      <w:footnotePr>
        <w:pos w:val="pageBottom"/>
        <w:numFmt w:val="decimal"/>
        <w:numStart w:val="1"/>
        <w:numRestart w:val="continuous"/>
      </w:footnotePr>
      <w:endnotePr>
        <w:pos w:val="docEnd"/>
        <w:numFmt w:val="decimal"/>
        <w:numStart w:val="1"/>
        <w:numRestart w:val="continuous"/>
      </w:endnotePr>
      <w:headerReference w:type="default" r:id="rId10"/>
      <w:footerReference w:type="default" r:id="rId11"/>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00"/>
    <w:family w:val="swiss"/>
    <w:pitch w:val="default"/>
  </w:font>
  <w:font w:name="Calibri Light">
    <w:panose1 w:val="020F0302020204030204"/>
    <w:charset w:val="cc"/>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2</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4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4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5">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9">
    <w:multiLevelType w:val="hybridMultilevel"/>
    <w:name w:val="Numbered list 7"/>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0">
    <w:multiLevelType w:val="hybridMultilevel"/>
    <w:name w:val="Numbered list 8"/>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1">
    <w:multiLevelType w:val="hybridMultilevel"/>
    <w:name w:val="Numbered list 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10"/>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13">
    <w:multiLevelType w:val="hybridMultilevel"/>
    <w:name w:val="Numbered list 11"/>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4">
    <w:multiLevelType w:val="hybridMultilevel"/>
    <w:name w:val="Numbered list 1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5">
    <w:multiLevelType w:val="hybridMultilevel"/>
    <w:name w:val="Numbered list 13"/>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16">
    <w:multiLevelType w:val="hybridMultilevel"/>
    <w:name w:val="Numbered list 1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7">
    <w:multiLevelType w:val="hybridMultilevel"/>
    <w:name w:val="Numbered list 15"/>
    <w:lvl w:ilvl="0">
      <w:numFmt w:val="bullet"/>
      <w:suff w:val="tab"/>
      <w:lvlText w:val="-"/>
      <w:lvlJc w:val="left"/>
      <w:pPr>
        <w:ind w:left="360" w:hanging="0"/>
      </w:pPr>
      <w:rPr>
        <w:rPr>
          <w:rFonts w:ascii="Times New Roman" w:hAnsi="Times New Roman" w:eastAsia="Times New Roman"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8">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9">
    <w:multiLevelType w:val="hybridMultilevel"/>
    <w:name w:val="Numbered list 17"/>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20">
    <w:multiLevelType w:val="hybridMultilevel"/>
    <w:name w:val="Numbered list 18"/>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1">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2">
    <w:multiLevelType w:val="hybridMultilevel"/>
    <w:name w:val="Numbered list 2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21"/>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4">
    <w:multiLevelType w:val="hybridMultilevel"/>
    <w:name w:val="Numbered list 22"/>
    <w:lvl w:ilvl="0">
      <w:start w:val="1"/>
      <w:numFmt w:val="decimal"/>
      <w:suff w:val="tab"/>
      <w:lvlText w:val="%1)"/>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25">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0">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1">
    <w:multiLevelType w:val="hybridMultilevel"/>
    <w:name w:val="Numbered list 29"/>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32">
    <w:multiLevelType w:val="hybridMultilevel"/>
    <w:name w:val="Numbered list 3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33">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3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5">
    <w:multiLevelType w:val="hybridMultilevel"/>
    <w:name w:val="Numbered list 3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6">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7">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hybridMultilevel"/>
    <w:name w:val="Numbered list 36"/>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1">
    <w:multiLevelType w:val="hybridMultilevel"/>
    <w:name w:val="Numbered list 3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4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3">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b w:val="0"/>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44"/>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7">
    <w:multiLevelType w:val="hybridMultilevel"/>
    <w:name w:val="Numbered list 45"/>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8">
    <w:multiLevelType w:val="hybridMultilevel"/>
    <w:name w:val="Numbered list 46"/>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49">
    <w:multiLevelType w:val="singleLevel"/>
    <w:name w:val="Bullet 47"/>
    <w:lvl w:ilvl="0">
      <w:start w:val="1"/>
      <w:numFmt w:val="decimal"/>
      <w:suff w:val="tab"/>
      <w:lvlText w:val="%1"/>
      <w:lvlJc w:val="left"/>
      <w:pPr>
        <w:ind w:left="0" w:hanging="0"/>
      </w:pPr>
      <w:rPr/>
    </w:lvl>
  </w:abstractNum>
  <w:abstractNum w:abstractNumId="50">
    <w:multiLevelType w:val="singleLevel"/>
    <w:name w:val="Bullet 48"/>
    <w:lvl w:ilvl="0">
      <w:start w:val="1"/>
      <w:numFmt w:val="lowerLetter"/>
      <w:suff w:val="tab"/>
      <w:lvlText w:val="%1"/>
      <w:lvlJc w:val="left"/>
      <w:pPr>
        <w:ind w:left="0" w:hanging="0"/>
      </w:pPr>
      <w:rPr/>
    </w:lvl>
  </w:abstractNum>
  <w:abstractNum w:abstractNumId="51">
    <w:multiLevelType w:val="singleLevel"/>
    <w:name w:val="Bullet 49"/>
    <w:lvl w:ilvl="0">
      <w:start w:val="1"/>
      <w:numFmt w:val="lowerRoman"/>
      <w:suff w:val="tab"/>
      <w:lvlText w:val="%1"/>
      <w:lvlJc w:val="left"/>
      <w:pPr>
        <w:ind w:left="0" w:hanging="0"/>
      </w:pPr>
      <w:rPr/>
    </w:lvl>
  </w:abstractNum>
  <w:abstractNum w:abstractNumId="52">
    <w:multiLevelType w:val="singleLevel"/>
    <w:name w:val="Bullet 50"/>
    <w:lvl w:ilvl="0">
      <w:numFmt w:val="bullet"/>
      <w:suff w:val="tab"/>
      <w:lvlText w:val=""/>
      <w:lvlJc w:val="left"/>
      <w:pPr>
        <w:ind w:left="0" w:hanging="0"/>
      </w:pPr>
      <w:rPr>
        <w:rPr>
          <w:rFonts w:ascii="Symbol" w:hAnsi="Symbol"/>
        </w:rPr>
      </w:rPr>
    </w:lvl>
  </w:abstractNum>
  <w:abstractNum w:abstractNumId="53">
    <w:multiLevelType w:val="singleLevel"/>
    <w:name w:val="Bullet 51"/>
    <w:lvl w:ilvl="0">
      <w:numFmt w:val="bullet"/>
      <w:suff w:val="tab"/>
      <w:lvlText w:val="o"/>
      <w:lvlJc w:val="left"/>
      <w:pPr>
        <w:ind w:left="0" w:hanging="0"/>
      </w:pPr>
      <w:rPr>
        <w:rPr>
          <w:rFonts w:ascii="Courier New" w:hAnsi="Courier New" w:cs="Courier New"/>
        </w:rPr>
      </w:rPr>
    </w:lvl>
  </w:abstractNum>
  <w:abstractNum w:abstractNumId="54">
    <w:multiLevelType w:val="singleLevel"/>
    <w:name w:val="Bullet 52"/>
    <w:lvl w:ilvl="0">
      <w:numFmt w:val="bullet"/>
      <w:suff w:val="tab"/>
      <w:lvlText w:val=""/>
      <w:lvlJc w:val="left"/>
      <w:pPr>
        <w:ind w:left="0" w:hanging="0"/>
      </w:pPr>
      <w:rPr>
        <w:rPr>
          <w:rFonts w:ascii="Wingdings" w:hAnsi="Wingdings" w:eastAsia="Wingdings" w:cs="Wingdings"/>
        </w:rPr>
      </w:rPr>
    </w:lvl>
  </w:abstractNum>
  <w:abstractNum w:abstractNumId="55">
    <w:multiLevelType w:val="singleLevel"/>
    <w:name w:val="Bullet 53"/>
    <w:lvl w:ilvl="0">
      <w:start w:val="1"/>
      <w:numFmt w:val="decimal"/>
      <w:suff w:val="tab"/>
      <w:lvlText w:val="%1"/>
      <w:lvlJc w:val="left"/>
      <w:pPr>
        <w:ind w:left="0" w:hanging="0"/>
      </w:pPr>
      <w:rPr/>
    </w:lvl>
  </w:abstractNum>
  <w:abstractNum w:abstractNumId="56">
    <w:multiLevelType w:val="singleLevel"/>
    <w:name w:val="Bullet 54"/>
    <w:lvl w:ilvl="0">
      <w:start w:val="1"/>
      <w:numFmt w:val="decimal"/>
      <w:suff w:val="tab"/>
      <w:lvlText w:val="%1"/>
      <w:lvlJc w:val="left"/>
      <w:pPr>
        <w:ind w:left="0" w:hanging="0"/>
      </w:pPr>
      <w:rPr>
        <w:rPr>
          <w:rFonts w:ascii="Times New Roman" w:hAnsi="Times New Roman" w:eastAsia="Calibri" w:cs="Times New Roman"/>
        </w:rPr>
      </w:rPr>
    </w:lvl>
  </w:abstractNum>
  <w:abstractNum w:abstractNumId="57">
    <w:multiLevelType w:val="singleLevel"/>
    <w:name w:val="Bullet 55"/>
    <w:lvl w:ilvl="0">
      <w:start w:val="10"/>
      <w:numFmt w:val="decimal"/>
      <w:suff w:val="tab"/>
      <w:lvlText w:val="%1"/>
      <w:lvlJc w:val="left"/>
      <w:pPr>
        <w:ind w:left="0" w:hanging="0"/>
      </w:pPr>
      <w:rPr>
        <w:rPr>
          <w:rFonts w:eastAsia="Calibri"/>
          <w:sz w:val="23"/>
        </w:rPr>
      </w:rPr>
    </w:lvl>
  </w:abstractNum>
  <w:abstractNum w:abstractNumId="58">
    <w:multiLevelType w:val="singleLevel"/>
    <w:name w:val="Bullet 56"/>
    <w:lvl w:ilvl="0">
      <w:start w:val="1"/>
      <w:numFmt w:val="decimal"/>
      <w:suff w:val="tab"/>
      <w:lvlText w:val="%1"/>
      <w:lvlJc w:val="left"/>
      <w:pPr>
        <w:ind w:left="0" w:hanging="0"/>
      </w:pPr>
      <w:rPr>
        <w:rPr>
          <w:color w:val="auto"/>
        </w:rPr>
      </w:rPr>
    </w:lvl>
  </w:abstractNum>
  <w:abstractNum w:abstractNumId="59">
    <w:multiLevelType w:val="singleLevel"/>
    <w:name w:val="Bullet 57"/>
    <w:lvl w:ilvl="0">
      <w:numFmt w:val="bullet"/>
      <w:suff w:val="tab"/>
      <w:lvlText w:val=""/>
      <w:lvlJc w:val="left"/>
      <w:pPr>
        <w:ind w:left="0" w:hanging="0"/>
      </w:pPr>
      <w:rPr>
        <w:rPr>
          <w:rFonts w:ascii="Wingdings" w:hAnsi="Wingdings"/>
        </w:rPr>
      </w:rPr>
    </w:lvl>
  </w:abstractNum>
  <w:abstractNum w:abstractNumId="60">
    <w:multiLevelType w:val="singleLevel"/>
    <w:name w:val="Bullet 58"/>
    <w:lvl w:ilvl="0">
      <w:numFmt w:val="bullet"/>
      <w:suff w:val="tab"/>
      <w:lvlText w:val="-"/>
      <w:lvlJc w:val="left"/>
      <w:pPr>
        <w:ind w:left="0" w:hanging="0"/>
      </w:pPr>
      <w:rPr>
        <w:rPr>
          <w:rFonts w:ascii="Times New Roman" w:hAnsi="Times New Roman" w:eastAsia="Times New Roman" w:cs="Times New Roman"/>
        </w:rPr>
      </w:rPr>
    </w:lvl>
  </w:abstractNum>
  <w:abstractNum w:abstractNumId="61">
    <w:multiLevelType w:val="singleLevel"/>
    <w:name w:val="Bullet 59"/>
    <w:lvl w:ilvl="0">
      <w:numFmt w:val="bullet"/>
      <w:suff w:val="tab"/>
      <w:lvlText w:val=""/>
      <w:lvlJc w:val="left"/>
      <w:pPr>
        <w:ind w:left="0" w:hanging="0"/>
      </w:pPr>
      <w:rPr>
        <w:rPr>
          <w:rFonts w:ascii="Symbol" w:hAnsi="Symbol"/>
        </w:rPr>
      </w:rPr>
    </w:lvl>
  </w:abstractNum>
  <w:abstractNum w:abstractNumId="62">
    <w:multiLevelType w:val="singleLevel"/>
    <w:name w:val="Bullet 60"/>
    <w:lvl w:ilvl="0">
      <w:numFmt w:val="bullet"/>
      <w:suff w:val="tab"/>
      <w:lvlText w:val="-"/>
      <w:lvlJc w:val="left"/>
      <w:pPr>
        <w:ind w:left="0" w:hanging="0"/>
      </w:pPr>
      <w:rPr>
        <w:rPr>
          <w:rFonts w:ascii="Times New Roman" w:hAnsi="Times New Roman" w:eastAsia="Calibri" w:cs="Times New Roman"/>
        </w:rPr>
      </w:rPr>
    </w:lvl>
  </w:abstractNum>
  <w:abstractNum w:abstractNumId="63">
    <w:multiLevelType w:val="singleLevel"/>
    <w:name w:val="Bullet 61"/>
    <w:lvl w:ilvl="0">
      <w:start w:val="1"/>
      <w:numFmt w:val="decimal"/>
      <w:suff w:val="tab"/>
      <w:lvlText w:val="%1"/>
      <w:lvlJc w:val="left"/>
      <w:pPr>
        <w:ind w:left="0" w:hanging="0"/>
      </w:pPr>
      <w:rPr>
        <w:rPr>
          <w:rFonts w:ascii="Times New Roman" w:hAnsi="Times New Roman" w:eastAsia="Calibri" w:cs="Times New Roman"/>
        </w:rPr>
      </w:rPr>
    </w:lvl>
  </w:abstractNum>
  <w:abstractNum w:abstractNumId="64">
    <w:multiLevelType w:val="singleLevel"/>
    <w:name w:val="Bullet 62"/>
    <w:lvl w:ilvl="0">
      <w:start w:val="1"/>
      <w:numFmt w:val="decimal"/>
      <w:suff w:val="tab"/>
      <w:lvlText w:val="%1"/>
      <w:lvlJc w:val="left"/>
      <w:pPr>
        <w:ind w:left="0" w:hanging="0"/>
      </w:pPr>
      <w:rPr>
        <w:rPr>
          <w:b w:val="0"/>
        </w:rPr>
      </w:rPr>
    </w:lvl>
  </w:abstractNum>
  <w:abstractNum w:abstractNumId="65">
    <w:multiLevelType w:val="singleLevel"/>
    <w:name w:val="Bullet 63"/>
    <w:lvl w:ilvl="0">
      <w:start w:val="1"/>
      <w:numFmt w:val="decimal"/>
      <w:suff w:val="tab"/>
      <w:lvlText w:val="%1"/>
      <w:lvlJc w:val="left"/>
      <w:pPr>
        <w:ind w:left="0" w:hanging="0"/>
      </w:pPr>
      <w:rPr>
        <w:rPr>
          <w:b w:val="0"/>
          <w:color w:val="auto"/>
        </w:rPr>
      </w:rPr>
    </w:lvl>
  </w:abstractNum>
  <w:abstractNum w:abstractNumId="66">
    <w:multiLevelType w:val="singleLevel"/>
    <w:name w:val="Bullet 65"/>
    <w:lvl w:ilvl="0">
      <w:start w:val="0"/>
      <w:numFmt w:val="none"/>
      <w:suff w:val="tab"/>
      <w:lvlText w:val="%1"/>
      <w:lvlJc w:val="left"/>
      <w:pPr>
        <w:ind w:left="0" w:hanging="0"/>
      </w:pPr>
      <w:rPr/>
    </w:lvl>
  </w:abstractNum>
  <w:abstractNum w:abstractNumId="67">
    <w:multiLevelType w:val="singleLevel"/>
    <w:name w:val="Bullet 66"/>
    <w:lvl w:ilvl="0">
      <w:start w:val="1"/>
      <w:numFmt w:val="decimal"/>
      <w:suff w:val="tab"/>
      <w:lvlText w:val="%1"/>
      <w:lvlJc w:val="left"/>
      <w:pPr>
        <w:ind w:left="0" w:hanging="0"/>
      </w:pPr>
      <w:rPr/>
    </w:lvl>
  </w:abstractNum>
  <w:abstractNum w:abstractNumId="68">
    <w:multiLevelType w:val="singleLevel"/>
    <w:name w:val="Bullet 67"/>
    <w:lvl w:ilvl="0">
      <w:start w:val="1"/>
      <w:numFmt w:val="lowerLetter"/>
      <w:suff w:val="tab"/>
      <w:lvlText w:val="%1"/>
      <w:lvlJc w:val="left"/>
      <w:pPr>
        <w:ind w:left="0" w:hanging="0"/>
      </w:pPr>
      <w:rPr/>
    </w:lvl>
  </w:abstractNum>
  <w:abstractNum w:abstractNumId="69">
    <w:multiLevelType w:val="singleLevel"/>
    <w:name w:val="Bullet 68"/>
    <w:lvl w:ilvl="0">
      <w:start w:val="1"/>
      <w:numFmt w:val="lowerRoman"/>
      <w:suff w:val="tab"/>
      <w:lvlText w:val="%1"/>
      <w:lvlJc w:val="left"/>
      <w:pPr>
        <w:ind w:left="0" w:hanging="0"/>
      </w:pPr>
      <w:rPr/>
    </w:lvl>
  </w:abstractNum>
  <w:abstractNum w:abstractNumId="70">
    <w:multiLevelType w:val="singleLevel"/>
    <w:name w:val="Bullet 69"/>
    <w:lvl w:ilvl="0">
      <w:numFmt w:val="bullet"/>
      <w:suff w:val="tab"/>
      <w:lvlText w:val=""/>
      <w:lvlJc w:val="left"/>
      <w:pPr>
        <w:ind w:left="0" w:hanging="0"/>
      </w:pPr>
      <w:rPr>
        <w:rPr>
          <w:rFonts w:ascii="Symbol" w:hAnsi="Symbol"/>
        </w:rPr>
      </w:rPr>
    </w:lvl>
  </w:abstractNum>
  <w:abstractNum w:abstractNumId="71">
    <w:multiLevelType w:val="singleLevel"/>
    <w:name w:val="Bullet 70"/>
    <w:lvl w:ilvl="0">
      <w:numFmt w:val="bullet"/>
      <w:suff w:val="tab"/>
      <w:lvlText w:val="o"/>
      <w:lvlJc w:val="left"/>
      <w:pPr>
        <w:ind w:left="0" w:hanging="0"/>
      </w:pPr>
      <w:rPr>
        <w:rPr>
          <w:rFonts w:ascii="Courier New" w:hAnsi="Courier New" w:cs="Courier New"/>
        </w:rPr>
      </w:rPr>
    </w:lvl>
  </w:abstractNum>
  <w:abstractNum w:abstractNumId="72">
    <w:multiLevelType w:val="singleLevel"/>
    <w:name w:val="Bullet 71"/>
    <w:lvl w:ilvl="0">
      <w:numFmt w:val="bullet"/>
      <w:suff w:val="tab"/>
      <w:lvlText w:val=""/>
      <w:lvlJc w:val="left"/>
      <w:pPr>
        <w:ind w:left="0" w:hanging="0"/>
      </w:pPr>
      <w:rPr>
        <w:rPr>
          <w:rFonts w:ascii="Wingdings" w:hAnsi="Wingdings" w:eastAsia="Wingdings" w:cs="Wingdings"/>
        </w:rPr>
      </w:rPr>
    </w:lvl>
  </w:abstractNum>
  <w:abstractNum w:abstractNumId="73">
    <w:multiLevelType w:val="singleLevel"/>
    <w:name w:val="Bullet 72"/>
    <w:lvl w:ilvl="0">
      <w:start w:val="1"/>
      <w:numFmt w:val="decimal"/>
      <w:suff w:val="tab"/>
      <w:lvlText w:val="%1"/>
      <w:lvlJc w:val="left"/>
      <w:pPr>
        <w:ind w:left="0" w:hanging="0"/>
      </w:pPr>
      <w:rPr>
        <w:rPr>
          <w:rFonts w:ascii="Times New Roman" w:hAnsi="Times New Roman" w:eastAsia="Calibri" w:cs="Times New Roman"/>
        </w:rPr>
      </w:rPr>
    </w:lvl>
  </w:abstractNum>
  <w:abstractNum w:abstractNumId="74">
    <w:multiLevelType w:val="singleLevel"/>
    <w:name w:val="Bullet 73"/>
    <w:lvl w:ilvl="0">
      <w:start w:val="10"/>
      <w:numFmt w:val="decimal"/>
      <w:suff w:val="tab"/>
      <w:lvlText w:val="%1"/>
      <w:lvlJc w:val="left"/>
      <w:pPr>
        <w:ind w:left="0" w:hanging="0"/>
      </w:pPr>
      <w:rPr>
        <w:rPr>
          <w:rFonts w:eastAsia="Calibri"/>
          <w:sz w:val="23"/>
        </w:rPr>
      </w:rPr>
    </w:lvl>
  </w:abstractNum>
  <w:abstractNum w:abstractNumId="75">
    <w:multiLevelType w:val="singleLevel"/>
    <w:name w:val="Bullet 74"/>
    <w:lvl w:ilvl="0">
      <w:start w:val="1"/>
      <w:numFmt w:val="decimal"/>
      <w:suff w:val="tab"/>
      <w:lvlText w:val="%1"/>
      <w:lvlJc w:val="left"/>
      <w:pPr>
        <w:ind w:left="0" w:hanging="0"/>
      </w:pPr>
      <w:rPr>
        <w:rPr>
          <w:color w:val="auto"/>
        </w:rPr>
      </w:rPr>
    </w:lvl>
  </w:abstractNum>
  <w:abstractNum w:abstractNumId="76">
    <w:multiLevelType w:val="singleLevel"/>
    <w:name w:val="Bullet 75"/>
    <w:lvl w:ilvl="0">
      <w:numFmt w:val="bullet"/>
      <w:suff w:val="tab"/>
      <w:lvlText w:val=""/>
      <w:lvlJc w:val="left"/>
      <w:pPr>
        <w:ind w:left="0" w:hanging="0"/>
      </w:pPr>
      <w:rPr>
        <w:rPr>
          <w:rFonts w:ascii="Wingdings" w:hAnsi="Wingdings"/>
        </w:rPr>
      </w:rPr>
    </w:lvl>
  </w:abstractNum>
  <w:abstractNum w:abstractNumId="77">
    <w:multiLevelType w:val="singleLevel"/>
    <w:name w:val="Bullet 76"/>
    <w:lvl w:ilvl="0">
      <w:numFmt w:val="bullet"/>
      <w:suff w:val="tab"/>
      <w:lvlText w:val="-"/>
      <w:lvlJc w:val="left"/>
      <w:pPr>
        <w:ind w:left="0" w:hanging="0"/>
      </w:pPr>
      <w:rPr>
        <w:rPr>
          <w:rFonts w:ascii="Times New Roman" w:hAnsi="Times New Roman" w:eastAsia="Times New Roman" w:cs="Times New Roman"/>
        </w:rPr>
      </w:rPr>
    </w:lvl>
  </w:abstractNum>
  <w:abstractNum w:abstractNumId="78">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79">
    <w:multiLevelType w:val="singleLevel"/>
    <w:name w:val="Bullet 78"/>
    <w:lvl w:ilvl="0">
      <w:start w:val="1"/>
      <w:numFmt w:val="decimal"/>
      <w:suff w:val="tab"/>
      <w:lvlText w:val="%1"/>
      <w:lvlJc w:val="left"/>
      <w:pPr>
        <w:ind w:left="0" w:hanging="0"/>
      </w:pPr>
      <w:rPr>
        <w:rPr>
          <w:b w:val="0"/>
        </w:rPr>
      </w:rPr>
    </w:lvl>
  </w:abstractNum>
  <w:abstractNum w:abstractNumId="80">
    <w:multiLevelType w:val="singleLevel"/>
    <w:name w:val="Bullet 79"/>
    <w:lvl w:ilvl="0">
      <w:start w:val="1"/>
      <w:numFmt w:val="decimal"/>
      <w:suff w:val="tab"/>
      <w:lvlText w:val="%1"/>
      <w:lvlJc w:val="left"/>
      <w:pPr>
        <w:ind w:left="0" w:hanging="0"/>
      </w:pPr>
      <w:rPr>
        <w:rPr>
          <w:b w:val="0"/>
          <w:color w:val="auto"/>
        </w:rPr>
      </w:rPr>
    </w:lvl>
  </w:abstractNum>
  <w:abstractNum w:abstractNumId="81">
    <w:multiLevelType w:val="singleLevel"/>
    <w:name w:val="Bullet 80"/>
    <w:lvl w:ilvl="0">
      <w:numFmt w:val="bullet"/>
      <w:suff w:val="tab"/>
      <w:lvlText w:val=""/>
      <w:lvlJc w:val="left"/>
      <w:pPr>
        <w:ind w:left="0" w:hanging="0"/>
      </w:pPr>
      <w:rPr>
        <w:rPr>
          <w:rFonts w:ascii="Wingdings" w:hAnsi="Wingdings" w:eastAsia="Wingdings" w:cs="Wingdings"/>
        </w:rPr>
      </w:rPr>
    </w:lvl>
  </w:abstractNum>
  <w:abstractNum w:abstractNumId="82">
    <w:multiLevelType w:val="singleLevel"/>
    <w:name w:val="Bullet 81"/>
    <w:lvl w:ilvl="0">
      <w:start w:val="1"/>
      <w:numFmt w:val="decimal"/>
      <w:suff w:val="tab"/>
      <w:lvlText w:val="%1."/>
      <w:lvlJc w:val="left"/>
      <w:pPr>
        <w:ind w:left="0" w:hanging="0"/>
      </w:pPr>
      <w:rPr/>
    </w:lvl>
  </w:abstractNum>
  <w:abstractNum w:abstractNumId="83">
    <w:multiLevelType w:val="singleLevel"/>
    <w:name w:val="Bullet 83"/>
    <w:lvl w:ilvl="0">
      <w:start w:val="0"/>
      <w:numFmt w:val="none"/>
      <w:lvlText w:val="%1"/>
      <w:lvlJc w:val="left"/>
      <w:pPr>
        <w:tabs>
          <w:tab w:val="num" w:pos="0"/>
        </w:tabs>
        <w:ind w:left="0" w:hanging="0"/>
      </w:pPr>
      <w:rPr/>
    </w:lvl>
  </w:abstractNum>
  <w:abstractNum w:abstractNumId="84">
    <w:multiLevelType w:val="singleLevel"/>
    <w:name w:val="Bullet 84"/>
    <w:lvl w:ilvl="0">
      <w:start w:val="1"/>
      <w:numFmt w:val="decimal"/>
      <w:lvlText w:val="%1"/>
      <w:lvlJc w:val="left"/>
      <w:pPr>
        <w:tabs>
          <w:tab w:val="num" w:pos="0"/>
        </w:tabs>
        <w:ind w:left="0" w:hanging="0"/>
      </w:pPr>
      <w:rPr/>
    </w:lvl>
  </w:abstractNum>
  <w:abstractNum w:abstractNumId="85">
    <w:multiLevelType w:val="singleLevel"/>
    <w:name w:val="Bullet 85"/>
    <w:lvl w:ilvl="0">
      <w:start w:val="1"/>
      <w:numFmt w:val="lowerLetter"/>
      <w:lvlText w:val="%1"/>
      <w:lvlJc w:val="left"/>
      <w:pPr>
        <w:tabs>
          <w:tab w:val="num" w:pos="0"/>
        </w:tabs>
        <w:ind w:left="0" w:hanging="0"/>
      </w:pPr>
      <w:rPr/>
    </w:lvl>
  </w:abstractNum>
  <w:abstractNum w:abstractNumId="86">
    <w:multiLevelType w:val="singleLevel"/>
    <w:name w:val="Bullet 86"/>
    <w:lvl w:ilvl="0">
      <w:start w:val="1"/>
      <w:numFmt w:val="lowerRoman"/>
      <w:lvlText w:val="%1"/>
      <w:lvlJc w:val="left"/>
      <w:pPr>
        <w:tabs>
          <w:tab w:val="num" w:pos="0"/>
        </w:tabs>
        <w:ind w:left="0" w:hanging="0"/>
      </w:pPr>
      <w:rPr/>
    </w:lvl>
  </w:abstractNum>
  <w:abstractNum w:abstractNumId="87">
    <w:multiLevelType w:val="singleLevel"/>
    <w:name w:val="Bullet 87"/>
    <w:lvl w:ilvl="0">
      <w:numFmt w:val="bullet"/>
      <w:lvlText w:val=""/>
      <w:lvlJc w:val="left"/>
      <w:pPr>
        <w:tabs>
          <w:tab w:val="num" w:pos="0"/>
        </w:tabs>
        <w:ind w:left="0" w:hanging="0"/>
      </w:pPr>
      <w:rPr>
        <w:rPr>
          <w:rFonts w:ascii="Symbol" w:hAnsi="Symbol"/>
        </w:rPr>
      </w:rPr>
    </w:lvl>
  </w:abstractNum>
  <w:abstractNum w:abstractNumId="88">
    <w:multiLevelType w:val="singleLevel"/>
    <w:name w:val="Bullet 88"/>
    <w:lvl w:ilvl="0">
      <w:numFmt w:val="bullet"/>
      <w:lvlText w:val="o"/>
      <w:lvlJc w:val="left"/>
      <w:pPr>
        <w:tabs>
          <w:tab w:val="num" w:pos="0"/>
        </w:tabs>
        <w:ind w:left="0" w:hanging="0"/>
      </w:pPr>
      <w:rPr>
        <w:rPr>
          <w:rFonts w:ascii="Courier New" w:hAnsi="Courier New" w:cs="Courier New"/>
        </w:rPr>
      </w:rPr>
    </w:lvl>
  </w:abstractNum>
  <w:abstractNum w:abstractNumId="89">
    <w:multiLevelType w:val="singleLevel"/>
    <w:name w:val="Bullet 89"/>
    <w:lvl w:ilvl="0">
      <w:numFmt w:val="bullet"/>
      <w:lvlText w:val=""/>
      <w:lvlJc w:val="left"/>
      <w:pPr>
        <w:tabs>
          <w:tab w:val="num" w:pos="0"/>
        </w:tabs>
        <w:ind w:left="0" w:hanging="0"/>
      </w:pPr>
      <w:rPr>
        <w:rPr>
          <w:rFonts w:ascii="Wingdings" w:hAnsi="Wingdings" w:eastAsia="Wingdings" w:cs="Wingdings"/>
        </w:rPr>
      </w:rPr>
    </w:lvl>
  </w:abstractNum>
  <w:abstractNum w:abstractNumId="90">
    <w:multiLevelType w:val="singleLevel"/>
    <w:name w:val="Bullet 90"/>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91">
    <w:multiLevelType w:val="singleLevel"/>
    <w:name w:val="Bullet 91"/>
    <w:lvl w:ilvl="0">
      <w:start w:val="10"/>
      <w:numFmt w:val="decimal"/>
      <w:lvlText w:val="%1"/>
      <w:lvlJc w:val="left"/>
      <w:pPr>
        <w:tabs>
          <w:tab w:val="num" w:pos="0"/>
        </w:tabs>
        <w:ind w:left="0" w:hanging="0"/>
      </w:pPr>
      <w:rPr>
        <w:rPr>
          <w:rFonts w:eastAsia="Calibri"/>
          <w:sz w:val="23"/>
        </w:rPr>
      </w:rPr>
    </w:lvl>
  </w:abstractNum>
  <w:abstractNum w:abstractNumId="92">
    <w:multiLevelType w:val="singleLevel"/>
    <w:name w:val="Bullet 92"/>
    <w:lvl w:ilvl="0">
      <w:start w:val="1"/>
      <w:numFmt w:val="decimal"/>
      <w:lvlText w:val="%1"/>
      <w:lvlJc w:val="left"/>
      <w:pPr>
        <w:tabs>
          <w:tab w:val="num" w:pos="0"/>
        </w:tabs>
        <w:ind w:left="0" w:hanging="0"/>
      </w:pPr>
      <w:rPr>
        <w:rPr>
          <w:color w:val="auto"/>
        </w:rPr>
      </w:rPr>
    </w:lvl>
  </w:abstractNum>
  <w:abstractNum w:abstractNumId="93">
    <w:multiLevelType w:val="singleLevel"/>
    <w:name w:val="Bullet 93"/>
    <w:lvl w:ilvl="0">
      <w:numFmt w:val="bullet"/>
      <w:lvlText w:val=""/>
      <w:lvlJc w:val="left"/>
      <w:pPr>
        <w:tabs>
          <w:tab w:val="num" w:pos="0"/>
        </w:tabs>
        <w:ind w:left="0" w:hanging="0"/>
      </w:pPr>
      <w:rPr>
        <w:rPr>
          <w:rFonts w:ascii="Wingdings" w:hAnsi="Wingdings"/>
        </w:rPr>
      </w:rPr>
    </w:lvl>
  </w:abstractNum>
  <w:abstractNum w:abstractNumId="94">
    <w:multiLevelType w:val="singleLevel"/>
    <w:name w:val="Bullet 94"/>
    <w:lvl w:ilvl="0">
      <w:numFmt w:val="bullet"/>
      <w:lvlText w:val="-"/>
      <w:lvlJc w:val="left"/>
      <w:pPr>
        <w:tabs>
          <w:tab w:val="num" w:pos="0"/>
        </w:tabs>
        <w:ind w:left="0" w:hanging="0"/>
      </w:pPr>
      <w:rPr>
        <w:rPr>
          <w:rFonts w:ascii="Times New Roman" w:hAnsi="Times New Roman" w:eastAsia="Times New Roman" w:cs="Times New Roman"/>
        </w:rPr>
      </w:rPr>
    </w:lvl>
  </w:abstractNum>
  <w:abstractNum w:abstractNumId="95">
    <w:multiLevelType w:val="singleLevel"/>
    <w:name w:val="Bullet 95"/>
    <w:lvl w:ilvl="0">
      <w:numFmt w:val="bullet"/>
      <w:lvlText w:val="-"/>
      <w:lvlJc w:val="left"/>
      <w:pPr>
        <w:tabs>
          <w:tab w:val="num" w:pos="0"/>
        </w:tabs>
        <w:ind w:left="0" w:hanging="0"/>
      </w:pPr>
      <w:rPr>
        <w:rPr>
          <w:rFonts w:ascii="Times New Roman" w:hAnsi="Times New Roman" w:eastAsia="Calibri" w:cs="Times New Roman"/>
        </w:rPr>
      </w:rPr>
    </w:lvl>
  </w:abstractNum>
  <w:abstractNum w:abstractNumId="96">
    <w:multiLevelType w:val="singleLevel"/>
    <w:name w:val="Bullet 96"/>
    <w:lvl w:ilvl="0">
      <w:start w:val="1"/>
      <w:numFmt w:val="decimal"/>
      <w:lvlText w:val="%1"/>
      <w:lvlJc w:val="left"/>
      <w:pPr>
        <w:tabs>
          <w:tab w:val="num" w:pos="0"/>
        </w:tabs>
        <w:ind w:left="0" w:hanging="0"/>
      </w:pPr>
      <w:rPr>
        <w:rPr>
          <w:b w:val="0"/>
        </w:rPr>
      </w:rPr>
    </w:lvl>
  </w:abstractNum>
  <w:abstractNum w:abstractNumId="97">
    <w:multiLevelType w:val="singleLevel"/>
    <w:name w:val="Bullet 97"/>
    <w:lvl w:ilvl="0">
      <w:start w:val="1"/>
      <w:numFmt w:val="decimal"/>
      <w:lvlText w:val="%1"/>
      <w:lvlJc w:val="left"/>
      <w:pPr>
        <w:tabs>
          <w:tab w:val="num" w:pos="0"/>
        </w:tabs>
        <w:ind w:left="0" w:hanging="0"/>
      </w:pPr>
      <w:rPr>
        <w:rPr>
          <w:b w:val="0"/>
          <w:color w:val="auto"/>
        </w:rPr>
      </w:rPr>
    </w:lvl>
  </w:abstractNum>
  <w:abstractNum w:abstractNumId="98">
    <w:multiLevelType w:val="singleLevel"/>
    <w:name w:val="Bullet 98"/>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9"/>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8"/>
    <w:tmLastPosCaret>
      <w:tmLastPosPgfIdx w:val="0"/>
      <w:tmLastPosIdx w:val="1"/>
    </w:tmLastPosCaret>
    <w:tmLastPosAnchor>
      <w:tmLastPosPgfIdx w:val="0"/>
      <w:tmLastPosIdx w:val="0"/>
    </w:tmLastPosAnchor>
    <w:tmLastPosTblRect w:left="0" w:top="0" w:right="0" w:bottom="0"/>
  </w:tmLastPos>
  <w:tmAppRevision w:date="1582966064"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Noklusjumarindkopasfonts1" w:customStyle="1">
    <w:name w:val="Noklusējuma rindkopas fonts1"/>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rPr>
      <w:rFonts w:ascii="Calibri" w:hAnsi="Calibri"/>
      <w:bCs w:val="0"/>
      <w:iCs w:val="0"/>
      <w:sz w:val="22"/>
      <w:szCs w:val="22"/>
      <w:lang w:val="en-gb"/>
    </w:rPr>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 w:type="character" w:styleId="Noklusjumarindkopasfonts1" w:customStyle="1">
    <w:name w:val="Noklusējuma rindkopas fonts1"/>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www.press.umich.edu/elt/compsite/ETRW/9780472034536-commentary.pdf" TargetMode="External"/><Relationship Id="rId9" Type="http://schemas.openxmlformats.org/officeDocument/2006/relationships/hyperlink" Target="C:/Users/Admin/Desktop/Critical_Reading_and_Writing_for_Postgraduates.pdf" TargetMode="External"/><Relationship Id="rId10" Type="http://schemas.openxmlformats.org/officeDocument/2006/relationships/header" Target="header1.xml"/><Relationship Id="rId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9</cp:revision>
  <cp:lastPrinted>2019-12-01T13:54:00Z</cp:lastPrinted>
  <dcterms:created xsi:type="dcterms:W3CDTF">2019-12-11T21:28:00Z</dcterms:created>
  <dcterms:modified xsi:type="dcterms:W3CDTF">2020-02-29T10:47:44Z</dcterms:modified>
</cp:coreProperties>
</file>