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A65" w:rsidRDefault="007A69C2">
      <w:pPr>
        <w:jc w:val="center"/>
        <w:rPr>
          <w:rFonts w:ascii="Times New Roman" w:hAnsi="Times New Roman"/>
          <w:b/>
          <w:sz w:val="28"/>
        </w:rPr>
      </w:pP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58241" behindDoc="0" locked="0" layoutInCell="0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549910</wp:posOffset>
                </wp:positionV>
                <wp:extent cx="7951470" cy="1487170"/>
                <wp:effectExtent l="0" t="0" r="0" b="0"/>
                <wp:wrapSquare wrapText="bothSides"/>
                <wp:docPr id="1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1_0aNfXhMAAAAlAAAAEgAAAE0AAAAAAAAAAAAAAAALAAAACw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QAAAEAAAAA8AAAAAAAAAACiAAAAAAAAAAAAAAAAAAABAAAAAAAAAAAAAAACAAAAYgMAAOowAAAmCQAAAAAAAKAFAABqCgAA"/>
                          </a:ext>
                        </a:extLst>
                      </wps:cNvSpPr>
                      <wps:spPr>
                        <a:xfrm>
                          <a:off x="0" y="0"/>
                          <a:ext cx="7951470" cy="148717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2511" w:type="dxa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053"/>
                              <w:gridCol w:w="3329"/>
                              <w:gridCol w:w="3544"/>
                              <w:gridCol w:w="3585"/>
                            </w:tblGrid>
                            <w:tr w:rsidR="00E96A6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20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  <w:t>Periods</w:t>
                                  </w:r>
                                </w:p>
                              </w:tc>
                              <w:tc>
                                <w:tcPr>
                                  <w:tcW w:w="33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  <w:t>Studiju programma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  <w:t>Valsts</w:t>
                                  </w:r>
                                </w:p>
                              </w:tc>
                              <w:tc>
                                <w:tcPr>
                                  <w:tcW w:w="35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  <w:t>Studējošo skaits</w:t>
                                  </w:r>
                                </w:p>
                              </w:tc>
                            </w:tr>
                            <w:tr w:rsidR="00E96A6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20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2015. gadā</w:t>
                                  </w:r>
                                </w:p>
                              </w:tc>
                              <w:tc>
                                <w:tcPr>
                                  <w:tcW w:w="33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DSP ”Vadībzinātne”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Izraēla</w:t>
                                  </w:r>
                                </w:p>
                              </w:tc>
                              <w:tc>
                                <w:tcPr>
                                  <w:tcW w:w="35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E96A6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20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2019. gadā</w:t>
                                  </w:r>
                                </w:p>
                              </w:tc>
                              <w:tc>
                                <w:tcPr>
                                  <w:tcW w:w="33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DSP ”Vadībzinātne”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Gruzija</w:t>
                                  </w:r>
                                </w:p>
                              </w:tc>
                              <w:tc>
                                <w:tcPr>
                                  <w:tcW w:w="35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E96A6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20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2019. gadā</w:t>
                                  </w:r>
                                </w:p>
                              </w:tc>
                              <w:tc>
                                <w:tcPr>
                                  <w:tcW w:w="33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DSP ”Vadībzinātne”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Somija</w:t>
                                  </w:r>
                                </w:p>
                              </w:tc>
                              <w:tc>
                                <w:tcPr>
                                  <w:tcW w:w="35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E96A6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20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2019. gadā</w:t>
                                  </w:r>
                                </w:p>
                              </w:tc>
                              <w:tc>
                                <w:tcPr>
                                  <w:tcW w:w="33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DSP ”Vadībzinātne”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Lietuva</w:t>
                                  </w:r>
                                </w:p>
                              </w:tc>
                              <w:tc>
                                <w:tcPr>
                                  <w:tcW w:w="35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E96A6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20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2014. gadā</w:t>
                                  </w:r>
                                </w:p>
                              </w:tc>
                              <w:tc>
                                <w:tcPr>
                                  <w:tcW w:w="33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 xml:space="preserve">PMSP ”Sabiedrības un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organizāciju vadība”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Krievija</w:t>
                                  </w:r>
                                </w:p>
                              </w:tc>
                              <w:tc>
                                <w:tcPr>
                                  <w:tcW w:w="35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:rsidR="00000000" w:rsidRDefault="007A69C2"/>
                        </w:txbxContent>
                      </wps:txbx>
                      <wps:bodyPr spcFirstLastPara="1" vertOverflow="clip" horzOverflow="clip" wrap="none" lIns="0" tIns="0" rIns="6985" bIns="6985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0;margin-top:43.3pt;width:626.1pt;height:117.1pt;z-index:251658241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" o:allowincell="f" filled="f" stroked="f" strokeweight="1pt">
                <v:textbox style="mso-fit-shape-to-text:t" inset="0,0,.55pt,.55pt">
                  <w:txbxContent>
                    <w:tbl>
                      <w:tblPr>
                        <w:tblW w:w="12511" w:type="dxa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053"/>
                        <w:gridCol w:w="3329"/>
                        <w:gridCol w:w="3544"/>
                        <w:gridCol w:w="3585"/>
                      </w:tblGrid>
                      <w:tr w:rsidR="00E96A6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20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Periods</w:t>
                            </w:r>
                          </w:p>
                        </w:tc>
                        <w:tc>
                          <w:tcPr>
                            <w:tcW w:w="33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Studiju programma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Valsts</w:t>
                            </w:r>
                          </w:p>
                        </w:tc>
                        <w:tc>
                          <w:tcPr>
                            <w:tcW w:w="35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Studējošo skaits</w:t>
                            </w:r>
                          </w:p>
                        </w:tc>
                      </w:tr>
                      <w:tr w:rsidR="00E96A6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20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2015. gadā</w:t>
                            </w:r>
                          </w:p>
                        </w:tc>
                        <w:tc>
                          <w:tcPr>
                            <w:tcW w:w="33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DSP ”Vadībzinātne”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Izraēla</w:t>
                            </w:r>
                          </w:p>
                        </w:tc>
                        <w:tc>
                          <w:tcPr>
                            <w:tcW w:w="35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2</w:t>
                            </w:r>
                          </w:p>
                        </w:tc>
                      </w:tr>
                      <w:tr w:rsidR="00E96A6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20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2019. gadā</w:t>
                            </w:r>
                          </w:p>
                        </w:tc>
                        <w:tc>
                          <w:tcPr>
                            <w:tcW w:w="33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DSP ”Vadībzinātne”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Gruzija</w:t>
                            </w:r>
                          </w:p>
                        </w:tc>
                        <w:tc>
                          <w:tcPr>
                            <w:tcW w:w="35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1</w:t>
                            </w:r>
                          </w:p>
                        </w:tc>
                      </w:tr>
                      <w:tr w:rsidR="00E96A6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20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2019. gadā</w:t>
                            </w:r>
                          </w:p>
                        </w:tc>
                        <w:tc>
                          <w:tcPr>
                            <w:tcW w:w="33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DSP ”Vadībzinātne”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Somija</w:t>
                            </w:r>
                          </w:p>
                        </w:tc>
                        <w:tc>
                          <w:tcPr>
                            <w:tcW w:w="35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1</w:t>
                            </w:r>
                          </w:p>
                        </w:tc>
                      </w:tr>
                      <w:tr w:rsidR="00E96A6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20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2019. gadā</w:t>
                            </w:r>
                          </w:p>
                        </w:tc>
                        <w:tc>
                          <w:tcPr>
                            <w:tcW w:w="33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DSP ”Vadībzinātne”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Lietuva</w:t>
                            </w:r>
                          </w:p>
                        </w:tc>
                        <w:tc>
                          <w:tcPr>
                            <w:tcW w:w="35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1</w:t>
                            </w:r>
                          </w:p>
                        </w:tc>
                      </w:tr>
                      <w:tr w:rsidR="00E96A6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20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2014. gadā</w:t>
                            </w:r>
                          </w:p>
                        </w:tc>
                        <w:tc>
                          <w:tcPr>
                            <w:tcW w:w="33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PMSP ”Sabiedrības un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organizāciju vadība”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Krievija</w:t>
                            </w:r>
                          </w:p>
                        </w:tc>
                        <w:tc>
                          <w:tcPr>
                            <w:tcW w:w="35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1</w:t>
                            </w:r>
                          </w:p>
                        </w:tc>
                      </w:tr>
                    </w:tbl>
                    <w:p w:rsidR="00000000" w:rsidRDefault="007A69C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imes New Roman" w:hAnsi="Times New Roman"/>
          <w:b/>
          <w:sz w:val="28"/>
        </w:rPr>
        <w:t xml:space="preserve">Statistikas dati par studiju virziena ”Vadība, administrēšana un nekustamo īpašumu pārvaldība” ārvalstu studējošajiem </w:t>
      </w:r>
    </w:p>
    <w:p w:rsidR="00E96A65" w:rsidRDefault="00E96A65">
      <w:pPr>
        <w:jc w:val="center"/>
        <w:rPr>
          <w:rFonts w:ascii="Times New Roman" w:hAnsi="Times New Roman"/>
          <w:sz w:val="28"/>
        </w:rPr>
      </w:pPr>
    </w:p>
    <w:p w:rsidR="00E96A65" w:rsidRDefault="00E96A65">
      <w:pPr>
        <w:jc w:val="center"/>
        <w:rPr>
          <w:rFonts w:ascii="Times New Roman" w:hAnsi="Times New Roman"/>
          <w:sz w:val="28"/>
        </w:rPr>
      </w:pPr>
    </w:p>
    <w:p w:rsidR="00E96A65" w:rsidRDefault="00E96A65">
      <w:pPr>
        <w:jc w:val="center"/>
        <w:rPr>
          <w:rFonts w:ascii="Times New Roman" w:hAnsi="Times New Roman"/>
          <w:sz w:val="28"/>
        </w:rPr>
      </w:pPr>
    </w:p>
    <w:p w:rsidR="00E96A65" w:rsidRDefault="00E96A65">
      <w:pPr>
        <w:jc w:val="center"/>
        <w:rPr>
          <w:rFonts w:ascii="Times New Roman" w:hAnsi="Times New Roman"/>
          <w:sz w:val="28"/>
        </w:rPr>
      </w:pPr>
    </w:p>
    <w:p w:rsidR="00E96A65" w:rsidRDefault="00E96A65">
      <w:pPr>
        <w:jc w:val="center"/>
        <w:rPr>
          <w:rFonts w:ascii="Times New Roman" w:hAnsi="Times New Roman"/>
          <w:b/>
          <w:sz w:val="28"/>
        </w:rPr>
      </w:pPr>
    </w:p>
    <w:p w:rsidR="007A69C2" w:rsidRDefault="007A69C2">
      <w:pPr>
        <w:jc w:val="center"/>
        <w:rPr>
          <w:rFonts w:ascii="Times New Roman" w:hAnsi="Times New Roman"/>
          <w:b/>
          <w:sz w:val="28"/>
        </w:rPr>
      </w:pPr>
    </w:p>
    <w:p w:rsidR="00E96A65" w:rsidRDefault="007A69C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Statistikas dati par studiju virzienā ”Vadība, administrēšana un nekustamo īpašumu pārvaldība” </w:t>
      </w:r>
      <w:r>
        <w:rPr>
          <w:rFonts w:ascii="Times New Roman" w:hAnsi="Times New Roman"/>
          <w:b/>
          <w:sz w:val="28"/>
        </w:rPr>
        <w:t>iesaistītajiem ārvalstu mācībspēkiem</w:t>
      </w:r>
    </w:p>
    <w:p w:rsidR="00E96A65" w:rsidRDefault="007A69C2">
      <w:pPr>
        <w:rPr>
          <w:rFonts w:ascii="Times New Roman" w:hAnsi="Times New Roman"/>
          <w:sz w:val="28"/>
        </w:rPr>
      </w:pPr>
      <w:bookmarkStart w:id="0" w:name="_GoBack"/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58242" behindDoc="0" locked="0" layoutInCell="0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259715</wp:posOffset>
                </wp:positionV>
                <wp:extent cx="7951470" cy="1282065"/>
                <wp:effectExtent l="0" t="0" r="0" b="0"/>
                <wp:wrapSquare wrapText="bothSides"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1_0aNfXhMAAAAlAAAAEgAAAE0AAAAAAAAAAAAAAAALAAAACw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QAAAEAAAAA8AAAABwAAAACiAAAAAAAAAAAAAAAAAAABAAAAAAAAAAAAAAACAAAAmQEAAOowAADjBwAAAAAAAKAFAABGGQAA"/>
                          </a:ext>
                        </a:extLst>
                      </wps:cNvSpPr>
                      <wps:spPr>
                        <a:xfrm>
                          <a:off x="0" y="0"/>
                          <a:ext cx="7951470" cy="128206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2511" w:type="dxa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053"/>
                              <w:gridCol w:w="3329"/>
                              <w:gridCol w:w="3544"/>
                              <w:gridCol w:w="3585"/>
                            </w:tblGrid>
                            <w:tr w:rsidR="00E96A6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20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  <w:t>Periods</w:t>
                                  </w:r>
                                </w:p>
                              </w:tc>
                              <w:tc>
                                <w:tcPr>
                                  <w:tcW w:w="33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  <w:t>Studiju programma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  <w:t>Valsts</w:t>
                                  </w:r>
                                </w:p>
                              </w:tc>
                              <w:tc>
                                <w:tcPr>
                                  <w:tcW w:w="35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</w:rPr>
                                    <w:t>Docētāju skaits</w:t>
                                  </w:r>
                                </w:p>
                              </w:tc>
                            </w:tr>
                            <w:tr w:rsidR="00E96A6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20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2015. gadā</w:t>
                                  </w:r>
                                </w:p>
                              </w:tc>
                              <w:tc>
                                <w:tcPr>
                                  <w:tcW w:w="33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DSP ”Vadībzinātne”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Zviedrija</w:t>
                                  </w:r>
                                </w:p>
                              </w:tc>
                              <w:tc>
                                <w:tcPr>
                                  <w:tcW w:w="35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E96A6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20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2016. gadā</w:t>
                                  </w:r>
                                </w:p>
                              </w:tc>
                              <w:tc>
                                <w:tcPr>
                                  <w:tcW w:w="33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DSP ”Vadībzinātne”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Malta</w:t>
                                  </w:r>
                                </w:p>
                              </w:tc>
                              <w:tc>
                                <w:tcPr>
                                  <w:tcW w:w="35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E96A6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20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2018. gadā</w:t>
                                  </w:r>
                                </w:p>
                              </w:tc>
                              <w:tc>
                                <w:tcPr>
                                  <w:tcW w:w="33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DSP ”Vadībzinātne”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Malta</w:t>
                                  </w:r>
                                </w:p>
                              </w:tc>
                              <w:tc>
                                <w:tcPr>
                                  <w:tcW w:w="35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E96A6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20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2018. gadā</w:t>
                                  </w:r>
                                </w:p>
                              </w:tc>
                              <w:tc>
                                <w:tcPr>
                                  <w:tcW w:w="33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DSP ”Vadībzinātne”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Lietuva</w:t>
                                  </w:r>
                                </w:p>
                              </w:tc>
                              <w:tc>
                                <w:tcPr>
                                  <w:tcW w:w="35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96A6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c>
                                <w:tcPr>
                                  <w:tcW w:w="20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2019. gadā</w:t>
                                  </w:r>
                                </w:p>
                              </w:tc>
                              <w:tc>
                                <w:tcPr>
                                  <w:tcW w:w="332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DSP ”Vadībzinātne”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Zviedrija</w:t>
                                  </w:r>
                                </w:p>
                              </w:tc>
                              <w:tc>
                                <w:tcPr>
                                  <w:tcW w:w="35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tl2br w:val="nil"/>
                                    <w:tr2bl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E96A65" w:rsidRDefault="007A69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:rsidR="00000000" w:rsidRDefault="007A69C2"/>
                        </w:txbxContent>
                      </wps:txbx>
                      <wps:bodyPr spcFirstLastPara="1" vertOverflow="clip" horzOverflow="clip" wrap="none" lIns="0" tIns="0" rIns="6985" bIns="6985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7" type="#_x0000_t202" style="position:absolute;margin-left:0;margin-top:20.45pt;width:626.1pt;height:100.95pt;z-index:251658242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" o:allowincell="f" filled="f" stroked="f" strokeweight="1pt">
                <v:textbox style="mso-fit-shape-to-text:t" inset="0,0,.55pt,.55pt">
                  <w:txbxContent>
                    <w:tbl>
                      <w:tblPr>
                        <w:tblW w:w="12511" w:type="dxa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053"/>
                        <w:gridCol w:w="3329"/>
                        <w:gridCol w:w="3544"/>
                        <w:gridCol w:w="3585"/>
                      </w:tblGrid>
                      <w:tr w:rsidR="00E96A6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20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Periods</w:t>
                            </w:r>
                          </w:p>
                        </w:tc>
                        <w:tc>
                          <w:tcPr>
                            <w:tcW w:w="33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Studiju programma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Valsts</w:t>
                            </w:r>
                          </w:p>
                        </w:tc>
                        <w:tc>
                          <w:tcPr>
                            <w:tcW w:w="35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Docētāju skaits</w:t>
                            </w:r>
                          </w:p>
                        </w:tc>
                      </w:tr>
                      <w:tr w:rsidR="00E96A6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20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2015. gadā</w:t>
                            </w:r>
                          </w:p>
                        </w:tc>
                        <w:tc>
                          <w:tcPr>
                            <w:tcW w:w="33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DSP ”Vadībzinātne”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Zviedrija</w:t>
                            </w:r>
                          </w:p>
                        </w:tc>
                        <w:tc>
                          <w:tcPr>
                            <w:tcW w:w="35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1</w:t>
                            </w:r>
                          </w:p>
                        </w:tc>
                      </w:tr>
                      <w:tr w:rsidR="00E96A6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20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2016. gadā</w:t>
                            </w:r>
                          </w:p>
                        </w:tc>
                        <w:tc>
                          <w:tcPr>
                            <w:tcW w:w="33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DSP ”Vadībzinātne”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Malta</w:t>
                            </w:r>
                          </w:p>
                        </w:tc>
                        <w:tc>
                          <w:tcPr>
                            <w:tcW w:w="35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1</w:t>
                            </w:r>
                          </w:p>
                        </w:tc>
                      </w:tr>
                      <w:tr w:rsidR="00E96A6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20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2018. gadā</w:t>
                            </w:r>
                          </w:p>
                        </w:tc>
                        <w:tc>
                          <w:tcPr>
                            <w:tcW w:w="33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DSP ”Vadībzinātne”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Malta</w:t>
                            </w:r>
                          </w:p>
                        </w:tc>
                        <w:tc>
                          <w:tcPr>
                            <w:tcW w:w="35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1</w:t>
                            </w:r>
                          </w:p>
                        </w:tc>
                      </w:tr>
                      <w:tr w:rsidR="00E96A6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20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2018. gadā</w:t>
                            </w:r>
                          </w:p>
                        </w:tc>
                        <w:tc>
                          <w:tcPr>
                            <w:tcW w:w="33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DSP ”Vadībzinātne”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Lietuva</w:t>
                            </w:r>
                          </w:p>
                        </w:tc>
                        <w:tc>
                          <w:tcPr>
                            <w:tcW w:w="35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3</w:t>
                            </w:r>
                          </w:p>
                        </w:tc>
                      </w:tr>
                      <w:tr w:rsidR="00E96A6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c>
                          <w:tcPr>
                            <w:tcW w:w="20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2019. gadā</w:t>
                            </w:r>
                          </w:p>
                        </w:tc>
                        <w:tc>
                          <w:tcPr>
                            <w:tcW w:w="332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DSP ”Vadībzinātne”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Zviedrija</w:t>
                            </w:r>
                          </w:p>
                        </w:tc>
                        <w:tc>
                          <w:tcPr>
                            <w:tcW w:w="35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tl2br w:val="nil"/>
                              <w:tr2bl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E96A65" w:rsidRDefault="007A69C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</w:rPr>
                              <w:t>1</w:t>
                            </w:r>
                          </w:p>
                        </w:tc>
                      </w:tr>
                    </w:tbl>
                    <w:p w:rsidR="00000000" w:rsidRDefault="007A69C2"/>
                  </w:txbxContent>
                </v:textbox>
                <w10:wrap type="square" anchorx="margin"/>
              </v:shape>
            </w:pict>
          </mc:Fallback>
        </mc:AlternateContent>
      </w:r>
      <w:bookmarkEnd w:id="0"/>
    </w:p>
    <w:sectPr w:rsidR="00E96A65">
      <w:endnotePr>
        <w:numFmt w:val="decimal"/>
      </w:endnotePr>
      <w:pgSz w:w="16838" w:h="11906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A65"/>
    <w:rsid w:val="007A69C2"/>
    <w:rsid w:val="00E9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27CBF3"/>
  <w15:docId w15:val="{517362DC-8B7C-4928-958C-228C88235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lv-LV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2020-03-04T13:29:00Z</dcterms:created>
  <dcterms:modified xsi:type="dcterms:W3CDTF">2020-03-04T13:29:00Z</dcterms:modified>
</cp:coreProperties>
</file>