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2034" w:rsidRDefault="00322034" w:rsidP="00322034">
      <w:pPr>
        <w:spacing w:line="256" w:lineRule="auto"/>
        <w:jc w:val="center"/>
        <w:rPr>
          <w:rFonts w:ascii="Times New Roman" w:eastAsia="TTE1666F30t00" w:hAnsi="Times New Roman" w:cs="Calibri"/>
          <w:color w:val="000000"/>
          <w:szCs w:val="24"/>
          <w:lang w:eastAsia="ru-RU"/>
        </w:rPr>
      </w:pPr>
      <w:bookmarkStart w:id="0" w:name="_GoBack"/>
      <w:bookmarkEnd w:id="0"/>
      <w:r>
        <w:rPr>
          <w:rFonts w:ascii="Times New Roman" w:eastAsia="Times New Roman" w:hAnsi="Times New Roman" w:cs="Times New Roman"/>
          <w:b/>
          <w:sz w:val="24"/>
          <w:szCs w:val="24"/>
        </w:rPr>
        <w:t>Profesionālās maģistra studiju programmas „</w:t>
      </w:r>
      <w:r w:rsidR="005F3B1E">
        <w:rPr>
          <w:rFonts w:ascii="Times New Roman" w:eastAsia="Times New Roman" w:hAnsi="Times New Roman" w:cs="Times New Roman"/>
          <w:b/>
          <w:sz w:val="24"/>
          <w:szCs w:val="24"/>
        </w:rPr>
        <w:t>Sabiedrības un organizāciju vadība</w:t>
      </w:r>
      <w:r>
        <w:rPr>
          <w:rFonts w:ascii="Times New Roman" w:eastAsia="Times New Roman" w:hAnsi="Times New Roman" w:cs="Times New Roman"/>
          <w:b/>
          <w:sz w:val="24"/>
          <w:szCs w:val="24"/>
        </w:rPr>
        <w:t>” atbilstība valsts izglītības standartam</w:t>
      </w:r>
    </w:p>
    <w:p w:rsidR="00322034" w:rsidRDefault="00322034" w:rsidP="00322034">
      <w:pPr>
        <w:spacing w:after="0" w:line="240" w:lineRule="auto"/>
        <w:jc w:val="both"/>
        <w:rPr>
          <w:rFonts w:ascii="Times New Roman" w:eastAsia="Times New Roman" w:hAnsi="Times New Roman" w:cs="Times New Roman"/>
          <w:iCs/>
        </w:rPr>
      </w:pPr>
      <w:r>
        <w:rPr>
          <w:rFonts w:ascii="Times New Roman" w:eastAsia="TTE1666F30t00" w:hAnsi="Times New Roman" w:cs="Calibri"/>
          <w:color w:val="000000"/>
          <w:szCs w:val="24"/>
          <w:lang w:eastAsia="ru-RU"/>
        </w:rPr>
        <w:t>DU profesionālā maģistra studiju programma „</w:t>
      </w:r>
      <w:r w:rsidR="005F3B1E">
        <w:rPr>
          <w:rFonts w:ascii="Times New Roman" w:eastAsia="TTE1666F30t00" w:hAnsi="Times New Roman" w:cs="Calibri"/>
          <w:color w:val="000000"/>
          <w:szCs w:val="24"/>
          <w:lang w:eastAsia="ru-RU"/>
        </w:rPr>
        <w:t>Sabiedrības un organizāciju vadība</w:t>
      </w:r>
      <w:r>
        <w:rPr>
          <w:rFonts w:ascii="Times New Roman" w:eastAsia="TTE1666F30t00" w:hAnsi="Times New Roman" w:cs="Calibri"/>
          <w:color w:val="000000"/>
          <w:szCs w:val="24"/>
          <w:lang w:eastAsia="ru-RU"/>
        </w:rPr>
        <w:t>” ir veidota saskaņā ar</w:t>
      </w:r>
      <w:r w:rsidR="005F3B1E">
        <w:rPr>
          <w:rFonts w:ascii="Times New Roman" w:eastAsia="TTE1666F30t00" w:hAnsi="Times New Roman" w:cs="Calibri"/>
          <w:color w:val="000000"/>
          <w:szCs w:val="24"/>
          <w:lang w:eastAsia="ru-RU"/>
        </w:rPr>
        <w:t xml:space="preserve"> </w:t>
      </w:r>
      <w:r>
        <w:rPr>
          <w:rFonts w:ascii="Times New Roman" w:eastAsia="Times New Roman" w:hAnsi="Times New Roman" w:cs="Times New Roman"/>
          <w:iCs/>
        </w:rPr>
        <w:t xml:space="preserve">Ministru kabineta 2014. gada 26. augusta noteikumiem Nr. 512 “Noteikumi par otrā līmeņa profesionālās augstākās izglītības valsts standartu” </w:t>
      </w:r>
      <w:hyperlink r:id="rId5" w:history="1">
        <w:r>
          <w:rPr>
            <w:rStyle w:val="Hyperlink"/>
            <w:rFonts w:ascii="Times New Roman" w:eastAsia="Times New Roman" w:hAnsi="Times New Roman" w:cs="Times New Roman"/>
            <w:iCs/>
          </w:rPr>
          <w:t>https://likumi.lv/doc.php?id=268761</w:t>
        </w:r>
      </w:hyperlink>
    </w:p>
    <w:p w:rsidR="00322034" w:rsidRDefault="00322034" w:rsidP="00322034">
      <w:pPr>
        <w:spacing w:line="256" w:lineRule="auto"/>
        <w:jc w:val="both"/>
        <w:rPr>
          <w:rFonts w:ascii="Calibri" w:eastAsia="Times New Roman" w:hAnsi="Calibri" w:cs="Calibri"/>
        </w:rPr>
      </w:pPr>
    </w:p>
    <w:tbl>
      <w:tblPr>
        <w:tblW w:w="993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29"/>
        <w:gridCol w:w="2308"/>
        <w:gridCol w:w="2693"/>
        <w:gridCol w:w="2700"/>
      </w:tblGrid>
      <w:tr w:rsidR="00322034" w:rsidTr="00D95AF1">
        <w:tc>
          <w:tcPr>
            <w:tcW w:w="2229"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jc w:val="center"/>
              <w:rPr>
                <w:rFonts w:ascii="Times New Roman" w:eastAsia="Times New Roman" w:hAnsi="Times New Roman" w:cs="Times New Roman"/>
                <w:b/>
                <w:bCs/>
                <w:sz w:val="24"/>
                <w:szCs w:val="24"/>
                <w:lang w:eastAsia="lt-LT"/>
              </w:rPr>
            </w:pPr>
            <w:r>
              <w:rPr>
                <w:rFonts w:ascii="Times New Roman" w:eastAsia="Times New Roman" w:hAnsi="Times New Roman" w:cs="Times New Roman"/>
                <w:b/>
                <w:bCs/>
                <w:sz w:val="24"/>
                <w:szCs w:val="24"/>
                <w:lang w:eastAsia="lt-LT"/>
              </w:rPr>
              <w:t>Prasības*</w:t>
            </w:r>
          </w:p>
        </w:tc>
        <w:tc>
          <w:tcPr>
            <w:tcW w:w="2308"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jc w:val="center"/>
              <w:rPr>
                <w:rFonts w:ascii="Times New Roman" w:eastAsia="Times New Roman" w:hAnsi="Times New Roman" w:cs="Times New Roman"/>
                <w:b/>
                <w:bCs/>
                <w:sz w:val="24"/>
                <w:szCs w:val="24"/>
                <w:lang w:eastAsia="lt-LT"/>
              </w:rPr>
            </w:pPr>
            <w:r>
              <w:rPr>
                <w:rFonts w:ascii="Times New Roman" w:eastAsia="Times New Roman" w:hAnsi="Times New Roman" w:cs="Calibri"/>
                <w:b/>
                <w:color w:val="000000"/>
                <w:sz w:val="24"/>
                <w:szCs w:val="24"/>
              </w:rPr>
              <w:t>LR MK Noteikumi Nr. 512</w:t>
            </w:r>
          </w:p>
        </w:tc>
        <w:tc>
          <w:tcPr>
            <w:tcW w:w="2693" w:type="dxa"/>
            <w:tcBorders>
              <w:top w:val="single" w:sz="4" w:space="0" w:color="auto"/>
              <w:left w:val="single" w:sz="4" w:space="0" w:color="auto"/>
              <w:bottom w:val="single" w:sz="4" w:space="0" w:color="auto"/>
              <w:right w:val="single" w:sz="4" w:space="0" w:color="auto"/>
            </w:tcBorders>
            <w:vAlign w:val="center"/>
            <w:hideMark/>
          </w:tcPr>
          <w:p w:rsidR="00322034" w:rsidRDefault="00322034" w:rsidP="005F3B1E">
            <w:pPr>
              <w:spacing w:after="0" w:line="240" w:lineRule="auto"/>
              <w:jc w:val="center"/>
              <w:rPr>
                <w:rFonts w:ascii="Times New Roman" w:eastAsia="Times New Roman" w:hAnsi="Times New Roman" w:cs="Times New Roman"/>
                <w:b/>
                <w:bCs/>
                <w:sz w:val="24"/>
                <w:szCs w:val="24"/>
                <w:lang w:eastAsia="lt-LT"/>
              </w:rPr>
            </w:pPr>
            <w:r>
              <w:rPr>
                <w:rFonts w:ascii="Times New Roman" w:eastAsia="Times New Roman" w:hAnsi="Times New Roman" w:cs="Calibri"/>
                <w:b/>
                <w:color w:val="000000"/>
                <w:sz w:val="24"/>
                <w:szCs w:val="24"/>
              </w:rPr>
              <w:t>Profesionālā maģistra studiju programma „</w:t>
            </w:r>
            <w:r w:rsidR="005F3B1E">
              <w:rPr>
                <w:rFonts w:ascii="Times New Roman" w:eastAsia="Times New Roman" w:hAnsi="Times New Roman" w:cs="Calibri"/>
                <w:b/>
                <w:color w:val="000000"/>
                <w:sz w:val="24"/>
                <w:szCs w:val="24"/>
              </w:rPr>
              <w:t>Sabiedrības un organizāciju vadība</w:t>
            </w:r>
            <w:r>
              <w:rPr>
                <w:rFonts w:ascii="Times New Roman" w:eastAsia="Times New Roman" w:hAnsi="Times New Roman" w:cs="Calibri"/>
                <w:b/>
                <w:color w:val="000000"/>
                <w:sz w:val="24"/>
                <w:szCs w:val="24"/>
              </w:rPr>
              <w:t>”</w:t>
            </w:r>
            <w:r>
              <w:rPr>
                <w:rFonts w:ascii="Times New Roman" w:eastAsia="Times New Roman" w:hAnsi="Times New Roman" w:cs="Times New Roman"/>
                <w:b/>
                <w:bCs/>
                <w:sz w:val="24"/>
                <w:szCs w:val="24"/>
                <w:lang w:eastAsia="lt-LT"/>
              </w:rPr>
              <w:t xml:space="preserve"> (ar profesionālās kvalifikācijas iegūšanu)</w:t>
            </w:r>
          </w:p>
        </w:tc>
        <w:tc>
          <w:tcPr>
            <w:tcW w:w="2700" w:type="dxa"/>
            <w:tcBorders>
              <w:top w:val="single" w:sz="4" w:space="0" w:color="auto"/>
              <w:left w:val="single" w:sz="4" w:space="0" w:color="auto"/>
              <w:bottom w:val="single" w:sz="4" w:space="0" w:color="auto"/>
              <w:right w:val="single" w:sz="4" w:space="0" w:color="auto"/>
            </w:tcBorders>
            <w:vAlign w:val="center"/>
            <w:hideMark/>
          </w:tcPr>
          <w:p w:rsidR="00322034" w:rsidRDefault="00322034" w:rsidP="005F3B1E">
            <w:pPr>
              <w:spacing w:after="0" w:line="240" w:lineRule="auto"/>
              <w:jc w:val="center"/>
              <w:rPr>
                <w:rFonts w:ascii="Times New Roman" w:eastAsia="Times New Roman" w:hAnsi="Times New Roman" w:cs="Times New Roman"/>
                <w:b/>
                <w:bCs/>
                <w:sz w:val="24"/>
                <w:szCs w:val="24"/>
                <w:lang w:eastAsia="lt-LT"/>
              </w:rPr>
            </w:pPr>
            <w:r>
              <w:rPr>
                <w:rFonts w:ascii="Times New Roman" w:eastAsia="Times New Roman" w:hAnsi="Times New Roman" w:cs="Calibri"/>
                <w:b/>
                <w:color w:val="000000"/>
                <w:sz w:val="24"/>
                <w:szCs w:val="24"/>
              </w:rPr>
              <w:t>Profesionālā maģistra studiju programma „</w:t>
            </w:r>
            <w:r w:rsidR="005F3B1E">
              <w:rPr>
                <w:rFonts w:ascii="Times New Roman" w:eastAsia="Times New Roman" w:hAnsi="Times New Roman" w:cs="Calibri"/>
                <w:b/>
                <w:color w:val="000000"/>
                <w:sz w:val="24"/>
                <w:szCs w:val="24"/>
              </w:rPr>
              <w:t>Sabiedrības un organizāciju vadība</w:t>
            </w:r>
            <w:r>
              <w:rPr>
                <w:rFonts w:ascii="Times New Roman" w:eastAsia="Times New Roman" w:hAnsi="Times New Roman" w:cs="Calibri"/>
                <w:b/>
                <w:color w:val="000000"/>
                <w:sz w:val="24"/>
                <w:szCs w:val="24"/>
              </w:rPr>
              <w:t>”</w:t>
            </w:r>
            <w:r>
              <w:rPr>
                <w:rFonts w:ascii="Times New Roman" w:eastAsia="Times New Roman" w:hAnsi="Times New Roman" w:cs="Times New Roman"/>
                <w:b/>
                <w:bCs/>
                <w:sz w:val="24"/>
                <w:szCs w:val="24"/>
                <w:lang w:eastAsia="lt-LT"/>
              </w:rPr>
              <w:t xml:space="preserve"> (bez profesionālās kvalifikācijas iegūšanas)</w:t>
            </w:r>
          </w:p>
        </w:tc>
      </w:tr>
      <w:tr w:rsidR="00322034" w:rsidTr="00D95AF1">
        <w:tc>
          <w:tcPr>
            <w:tcW w:w="2229" w:type="dxa"/>
            <w:tcBorders>
              <w:top w:val="single" w:sz="4" w:space="0" w:color="auto"/>
              <w:left w:val="single" w:sz="4" w:space="0" w:color="auto"/>
              <w:bottom w:val="single" w:sz="4" w:space="0" w:color="auto"/>
              <w:right w:val="single" w:sz="4" w:space="0" w:color="auto"/>
            </w:tcBorders>
            <w:hideMark/>
          </w:tcPr>
          <w:p w:rsidR="00322034" w:rsidRDefault="0032203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Studiju programmas apjoms (KP)</w:t>
            </w:r>
          </w:p>
        </w:tc>
        <w:tc>
          <w:tcPr>
            <w:tcW w:w="2308"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Vismaz 40 KP</w:t>
            </w:r>
          </w:p>
        </w:tc>
        <w:tc>
          <w:tcPr>
            <w:tcW w:w="2693"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ind w:left="283"/>
              <w:jc w:val="center"/>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80 KP</w:t>
            </w:r>
          </w:p>
        </w:tc>
        <w:tc>
          <w:tcPr>
            <w:tcW w:w="2700"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ind w:left="283"/>
              <w:jc w:val="center"/>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60 KP</w:t>
            </w:r>
          </w:p>
        </w:tc>
      </w:tr>
      <w:tr w:rsidR="00322034" w:rsidTr="00D95AF1">
        <w:tc>
          <w:tcPr>
            <w:tcW w:w="2229" w:type="dxa"/>
            <w:tcBorders>
              <w:top w:val="single" w:sz="4" w:space="0" w:color="auto"/>
              <w:left w:val="single" w:sz="4" w:space="0" w:color="auto"/>
              <w:bottom w:val="single" w:sz="4" w:space="0" w:color="auto"/>
              <w:right w:val="single" w:sz="4" w:space="0" w:color="auto"/>
            </w:tcBorders>
            <w:hideMark/>
          </w:tcPr>
          <w:p w:rsidR="00322034" w:rsidRDefault="0032203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Studiju programmas īstenošanas ilgums</w:t>
            </w:r>
          </w:p>
        </w:tc>
        <w:tc>
          <w:tcPr>
            <w:tcW w:w="2308"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1 -2 gadi</w:t>
            </w:r>
          </w:p>
        </w:tc>
        <w:tc>
          <w:tcPr>
            <w:tcW w:w="2693"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 gadi</w:t>
            </w:r>
          </w:p>
        </w:tc>
        <w:tc>
          <w:tcPr>
            <w:tcW w:w="2700"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1,5 gadi</w:t>
            </w:r>
          </w:p>
        </w:tc>
      </w:tr>
      <w:tr w:rsidR="00322034" w:rsidTr="00D95AF1">
        <w:tc>
          <w:tcPr>
            <w:tcW w:w="2229"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Kontaktstundu apjoms (%)</w:t>
            </w:r>
          </w:p>
        </w:tc>
        <w:tc>
          <w:tcPr>
            <w:tcW w:w="2308"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Ne mazāk kā 30%</w:t>
            </w:r>
          </w:p>
        </w:tc>
        <w:tc>
          <w:tcPr>
            <w:tcW w:w="2693"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Pilna laika studijās 1 kredītpunktam atbilst 40 akadēmiskās stundas, no kurām 16 stundas ir kontak</w:t>
            </w:r>
            <w:r w:rsidR="005F3B1E">
              <w:rPr>
                <w:rFonts w:ascii="Times New Roman" w:eastAsia="Times New Roman" w:hAnsi="Times New Roman" w:cs="Times New Roman"/>
                <w:sz w:val="24"/>
                <w:szCs w:val="24"/>
                <w:lang w:eastAsia="lt-LT"/>
              </w:rPr>
              <w:t>t</w:t>
            </w:r>
            <w:r>
              <w:rPr>
                <w:rFonts w:ascii="Times New Roman" w:eastAsia="Times New Roman" w:hAnsi="Times New Roman" w:cs="Times New Roman"/>
                <w:sz w:val="24"/>
                <w:szCs w:val="24"/>
                <w:lang w:eastAsia="lt-LT"/>
              </w:rPr>
              <w:t>stundas, kas ir 40% no paredzētā apjoma</w:t>
            </w:r>
          </w:p>
        </w:tc>
        <w:tc>
          <w:tcPr>
            <w:tcW w:w="2700"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Pilna laika studijās 1 kredītpunktam atbilst 40 akadēmiskās stundas, no kurām 16 stundas ir kontak</w:t>
            </w:r>
            <w:r w:rsidR="005F3B1E">
              <w:rPr>
                <w:rFonts w:ascii="Times New Roman" w:eastAsia="Times New Roman" w:hAnsi="Times New Roman" w:cs="Times New Roman"/>
                <w:sz w:val="24"/>
                <w:szCs w:val="24"/>
                <w:lang w:eastAsia="lt-LT"/>
              </w:rPr>
              <w:t>t</w:t>
            </w:r>
            <w:r>
              <w:rPr>
                <w:rFonts w:ascii="Times New Roman" w:eastAsia="Times New Roman" w:hAnsi="Times New Roman" w:cs="Times New Roman"/>
                <w:sz w:val="24"/>
                <w:szCs w:val="24"/>
                <w:lang w:eastAsia="lt-LT"/>
              </w:rPr>
              <w:t>stundas, kas ir 40% no paredzētā apjoma</w:t>
            </w:r>
          </w:p>
        </w:tc>
      </w:tr>
      <w:tr w:rsidR="00322034" w:rsidTr="00D95AF1">
        <w:tc>
          <w:tcPr>
            <w:tcW w:w="2229"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Studiju kursi, kas nodrošina jaunāko sasniegumu padziļinātu apguvi nozares (profesionālās darbības jomas) teorijā un praksē</w:t>
            </w:r>
          </w:p>
        </w:tc>
        <w:tc>
          <w:tcPr>
            <w:tcW w:w="2308"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Vismaz 5 KP</w:t>
            </w:r>
          </w:p>
        </w:tc>
        <w:tc>
          <w:tcPr>
            <w:tcW w:w="2693" w:type="dxa"/>
            <w:tcBorders>
              <w:top w:val="single" w:sz="4" w:space="0" w:color="auto"/>
              <w:left w:val="single" w:sz="4" w:space="0" w:color="auto"/>
              <w:bottom w:val="single" w:sz="4" w:space="0" w:color="auto"/>
              <w:right w:val="single" w:sz="4" w:space="0" w:color="auto"/>
            </w:tcBorders>
            <w:vAlign w:val="center"/>
            <w:hideMark/>
          </w:tcPr>
          <w:p w:rsidR="00322034" w:rsidRDefault="00D95AF1">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12</w:t>
            </w:r>
            <w:r w:rsidR="00322034">
              <w:rPr>
                <w:rFonts w:ascii="Times New Roman" w:eastAsia="Times New Roman" w:hAnsi="Times New Roman" w:cs="Times New Roman"/>
                <w:sz w:val="24"/>
                <w:szCs w:val="24"/>
                <w:lang w:eastAsia="lt-LT"/>
              </w:rPr>
              <w:t xml:space="preserve"> KP</w:t>
            </w:r>
          </w:p>
        </w:tc>
        <w:tc>
          <w:tcPr>
            <w:tcW w:w="2700" w:type="dxa"/>
            <w:tcBorders>
              <w:top w:val="single" w:sz="4" w:space="0" w:color="auto"/>
              <w:left w:val="single" w:sz="4" w:space="0" w:color="auto"/>
              <w:bottom w:val="single" w:sz="4" w:space="0" w:color="auto"/>
              <w:right w:val="single" w:sz="4" w:space="0" w:color="auto"/>
            </w:tcBorders>
            <w:vAlign w:val="center"/>
            <w:hideMark/>
          </w:tcPr>
          <w:p w:rsidR="00322034" w:rsidRDefault="00D95AF1">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12</w:t>
            </w:r>
            <w:r w:rsidR="00322034">
              <w:rPr>
                <w:rFonts w:ascii="Times New Roman" w:eastAsia="Times New Roman" w:hAnsi="Times New Roman" w:cs="Times New Roman"/>
                <w:sz w:val="24"/>
                <w:szCs w:val="24"/>
                <w:lang w:eastAsia="lt-LT"/>
              </w:rPr>
              <w:t xml:space="preserve"> KP</w:t>
            </w:r>
          </w:p>
        </w:tc>
      </w:tr>
      <w:tr w:rsidR="00322034" w:rsidTr="00D95AF1">
        <w:tc>
          <w:tcPr>
            <w:tcW w:w="2229"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Pētnieciskā darba, jaunrades darba, projektēšanas darba un vadībzinību studiju kursi</w:t>
            </w:r>
          </w:p>
        </w:tc>
        <w:tc>
          <w:tcPr>
            <w:tcW w:w="2308"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Vismaz 3 KP</w:t>
            </w:r>
          </w:p>
        </w:tc>
        <w:tc>
          <w:tcPr>
            <w:tcW w:w="2693" w:type="dxa"/>
            <w:tcBorders>
              <w:top w:val="single" w:sz="4" w:space="0" w:color="auto"/>
              <w:left w:val="single" w:sz="4" w:space="0" w:color="auto"/>
              <w:bottom w:val="single" w:sz="4" w:space="0" w:color="auto"/>
              <w:right w:val="single" w:sz="4" w:space="0" w:color="auto"/>
            </w:tcBorders>
            <w:vAlign w:val="center"/>
            <w:hideMark/>
          </w:tcPr>
          <w:p w:rsidR="00322034" w:rsidRDefault="00D95AF1">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14</w:t>
            </w:r>
            <w:r w:rsidR="00322034">
              <w:rPr>
                <w:rFonts w:ascii="Times New Roman" w:eastAsia="Times New Roman" w:hAnsi="Times New Roman" w:cs="Times New Roman"/>
                <w:sz w:val="24"/>
                <w:szCs w:val="24"/>
                <w:lang w:eastAsia="lt-LT"/>
              </w:rPr>
              <w:t xml:space="preserve"> KP</w:t>
            </w:r>
          </w:p>
        </w:tc>
        <w:tc>
          <w:tcPr>
            <w:tcW w:w="2700" w:type="dxa"/>
            <w:tcBorders>
              <w:top w:val="single" w:sz="4" w:space="0" w:color="auto"/>
              <w:left w:val="single" w:sz="4" w:space="0" w:color="auto"/>
              <w:bottom w:val="single" w:sz="4" w:space="0" w:color="auto"/>
              <w:right w:val="single" w:sz="4" w:space="0" w:color="auto"/>
            </w:tcBorders>
            <w:vAlign w:val="center"/>
            <w:hideMark/>
          </w:tcPr>
          <w:p w:rsidR="00322034" w:rsidRDefault="00D95AF1">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14</w:t>
            </w:r>
            <w:r w:rsidR="00322034">
              <w:rPr>
                <w:rFonts w:ascii="Times New Roman" w:eastAsia="Times New Roman" w:hAnsi="Times New Roman" w:cs="Times New Roman"/>
                <w:sz w:val="24"/>
                <w:szCs w:val="24"/>
                <w:lang w:eastAsia="lt-LT"/>
              </w:rPr>
              <w:t xml:space="preserve"> KP</w:t>
            </w:r>
          </w:p>
        </w:tc>
      </w:tr>
      <w:tr w:rsidR="00322034" w:rsidTr="00D95AF1">
        <w:tc>
          <w:tcPr>
            <w:tcW w:w="2229"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Prakse</w:t>
            </w:r>
          </w:p>
        </w:tc>
        <w:tc>
          <w:tcPr>
            <w:tcW w:w="2308"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Vismaz 26 KP / </w:t>
            </w:r>
          </w:p>
          <w:p w:rsidR="00322034" w:rsidRDefault="0032203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 KP</w:t>
            </w:r>
          </w:p>
        </w:tc>
        <w:tc>
          <w:tcPr>
            <w:tcW w:w="2693"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26 KP</w:t>
            </w:r>
          </w:p>
        </w:tc>
        <w:tc>
          <w:tcPr>
            <w:tcW w:w="2700"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6 KP</w:t>
            </w:r>
          </w:p>
        </w:tc>
      </w:tr>
      <w:tr w:rsidR="00322034" w:rsidTr="00D95AF1">
        <w:tc>
          <w:tcPr>
            <w:tcW w:w="2229"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Valsts pārbaudījums, kura sastāvdaļa ir maģistra darba (diplomdarba /diplomprojekta) izstrādāšana un aizstāvēšana</w:t>
            </w:r>
          </w:p>
        </w:tc>
        <w:tc>
          <w:tcPr>
            <w:tcW w:w="2308"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Vismaz 20 KP</w:t>
            </w:r>
          </w:p>
        </w:tc>
        <w:tc>
          <w:tcPr>
            <w:tcW w:w="2693"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ind w:left="283"/>
              <w:jc w:val="center"/>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20 KP</w:t>
            </w:r>
          </w:p>
        </w:tc>
        <w:tc>
          <w:tcPr>
            <w:tcW w:w="2700"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ind w:left="283"/>
              <w:jc w:val="center"/>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20 KP</w:t>
            </w:r>
          </w:p>
        </w:tc>
      </w:tr>
      <w:tr w:rsidR="00322034" w:rsidTr="00D95AF1">
        <w:trPr>
          <w:trHeight w:val="5661"/>
        </w:trPr>
        <w:tc>
          <w:tcPr>
            <w:tcW w:w="2229"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Papildus minētajam maģistra programmas obligātajā saturā ietver arī studiju kursus, kuri nodrošina profesionālās kompetences sasniegšanu uzņēmējdarbībā (inovācijas, uzņēmumu organizācija un dibināšana, vadīšanas metodes, projektu izstrādes un vadīšanas pamati, lietvedības un finanšu uzskaites sistēma, zināšanas par darba tiesisko attiecību regulējumu, tai skaitā par sociālā dialoga veidošanu sabiedrībā</w:t>
            </w:r>
          </w:p>
        </w:tc>
        <w:tc>
          <w:tcPr>
            <w:tcW w:w="2308"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Kredītpunktu apjoms nav noteikts. Tie var būt apgūti zemāka līmeņa studiju programmās</w:t>
            </w:r>
          </w:p>
        </w:tc>
        <w:tc>
          <w:tcPr>
            <w:tcW w:w="2693" w:type="dxa"/>
            <w:tcBorders>
              <w:top w:val="single" w:sz="4" w:space="0" w:color="auto"/>
              <w:left w:val="single" w:sz="4" w:space="0" w:color="auto"/>
              <w:bottom w:val="single" w:sz="4" w:space="0" w:color="auto"/>
              <w:right w:val="single" w:sz="4" w:space="0" w:color="auto"/>
            </w:tcBorders>
            <w:vAlign w:val="center"/>
          </w:tcPr>
          <w:p w:rsidR="00322034" w:rsidRDefault="00D95AF1">
            <w:pPr>
              <w:spacing w:after="0" w:line="240" w:lineRule="auto"/>
              <w:ind w:left="283"/>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rPr>
              <w:t>Studiju kursi, kuri nodrošina profesionālās kompetences sasniegšanu uzņēmējdarbībā (inovācijas, uzņēmumu organizācija un dibināšana, vadīšanas metodes, projektu izstrādes un vadīšanas pamati, lietvedības un finanšu uzskaites sistēma, zināšanas par darba tiesisko attiecību regulējumu, tai skaitā par sociālā dialoga veidošanu sabiedrībā) ir integrēti praktiski visā studiju programmas saturā</w:t>
            </w:r>
          </w:p>
        </w:tc>
        <w:tc>
          <w:tcPr>
            <w:tcW w:w="2700" w:type="dxa"/>
            <w:tcBorders>
              <w:top w:val="single" w:sz="4" w:space="0" w:color="auto"/>
              <w:left w:val="single" w:sz="4" w:space="0" w:color="auto"/>
              <w:bottom w:val="single" w:sz="4" w:space="0" w:color="auto"/>
              <w:right w:val="single" w:sz="4" w:space="0" w:color="auto"/>
            </w:tcBorders>
            <w:vAlign w:val="center"/>
          </w:tcPr>
          <w:p w:rsidR="00322034" w:rsidRDefault="00D95AF1">
            <w:pPr>
              <w:spacing w:after="0" w:line="240" w:lineRule="auto"/>
              <w:ind w:left="283"/>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rPr>
              <w:t>Studiju kursi, kuri nodrošina profesionālās kompetences sasniegšanu uzņēmējdarbībā (inovācijas, uzņēmumu organizācija un dibināšana, vadīšanas metodes, projektu izstrādes un vadīšanas pamati, lietvedības un finanšu uzskaites sistēma, zināšanas par darba tiesisko attiecību regulējumu, tai skaitā par sociālā dialoga veidošanu sabiedrībā) ir integrēti praktiski visā studiju programmas saturā</w:t>
            </w:r>
          </w:p>
        </w:tc>
      </w:tr>
      <w:tr w:rsidR="00322034" w:rsidTr="00D95AF1">
        <w:tc>
          <w:tcPr>
            <w:tcW w:w="2229"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Atbilstība Vides aizsardzības likuma un Civilās aizsardzības un katastrofas pārvaldīšanas likuma noteiktajām prasībām</w:t>
            </w:r>
          </w:p>
        </w:tc>
        <w:tc>
          <w:tcPr>
            <w:tcW w:w="2308"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Var būt apgūti zemākā līmeņa studiju programmā</w:t>
            </w:r>
          </w:p>
        </w:tc>
        <w:tc>
          <w:tcPr>
            <w:tcW w:w="2693" w:type="dxa"/>
            <w:tcBorders>
              <w:top w:val="single" w:sz="4" w:space="0" w:color="auto"/>
              <w:left w:val="single" w:sz="4" w:space="0" w:color="auto"/>
              <w:bottom w:val="single" w:sz="4" w:space="0" w:color="auto"/>
              <w:right w:val="single" w:sz="4" w:space="0" w:color="auto"/>
            </w:tcBorders>
            <w:vAlign w:val="center"/>
          </w:tcPr>
          <w:p w:rsidR="00322034" w:rsidRDefault="00D95AF1">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Calibri"/>
                <w:sz w:val="24"/>
                <w:szCs w:val="24"/>
              </w:rPr>
              <w:t>2 KP</w:t>
            </w:r>
          </w:p>
          <w:p w:rsidR="00322034" w:rsidRDefault="00322034">
            <w:pPr>
              <w:jc w:val="center"/>
              <w:rPr>
                <w:rFonts w:ascii="Times New Roman" w:eastAsia="Times New Roman" w:hAnsi="Times New Roman" w:cs="Times New Roman"/>
                <w:sz w:val="24"/>
                <w:szCs w:val="24"/>
                <w:lang w:eastAsia="lt-LT"/>
              </w:rPr>
            </w:pPr>
          </w:p>
        </w:tc>
        <w:tc>
          <w:tcPr>
            <w:tcW w:w="2700" w:type="dxa"/>
            <w:tcBorders>
              <w:top w:val="single" w:sz="4" w:space="0" w:color="auto"/>
              <w:left w:val="single" w:sz="4" w:space="0" w:color="auto"/>
              <w:bottom w:val="single" w:sz="4" w:space="0" w:color="auto"/>
              <w:right w:val="single" w:sz="4" w:space="0" w:color="auto"/>
            </w:tcBorders>
            <w:vAlign w:val="center"/>
          </w:tcPr>
          <w:p w:rsidR="00322034" w:rsidRDefault="00D95AF1">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Calibri"/>
                <w:sz w:val="24"/>
                <w:szCs w:val="24"/>
              </w:rPr>
              <w:t>2 KP</w:t>
            </w:r>
          </w:p>
          <w:p w:rsidR="00322034" w:rsidRDefault="00322034">
            <w:pPr>
              <w:jc w:val="center"/>
              <w:rPr>
                <w:rFonts w:ascii="Times New Roman" w:eastAsia="Times New Roman" w:hAnsi="Times New Roman" w:cs="Times New Roman"/>
                <w:sz w:val="24"/>
                <w:szCs w:val="24"/>
                <w:lang w:eastAsia="lt-LT"/>
              </w:rPr>
            </w:pPr>
          </w:p>
        </w:tc>
      </w:tr>
      <w:tr w:rsidR="00322034" w:rsidTr="00D95AF1">
        <w:tc>
          <w:tcPr>
            <w:tcW w:w="2229"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Piešķiramais grāds vai profesionālā kvalifikācija vai grāds un profesionālā kvalifikācija</w:t>
            </w:r>
          </w:p>
        </w:tc>
        <w:tc>
          <w:tcPr>
            <w:tcW w:w="2308"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jc w:val="center"/>
              <w:rPr>
                <w:rFonts w:ascii="Times New Roman" w:eastAsia="Times New Roman" w:hAnsi="Times New Roman" w:cs="Times New Roman"/>
              </w:rPr>
            </w:pPr>
            <w:r>
              <w:rPr>
                <w:rFonts w:ascii="Times New Roman" w:eastAsia="Times New Roman" w:hAnsi="Times New Roman" w:cs="Times New Roman"/>
                <w:sz w:val="24"/>
              </w:rPr>
              <w:t>Profesionālais maģistra grāds nozarē (profesionālās darbības jomā), kā arī piektā līmeņa profesionālā kvalifikācija</w:t>
            </w:r>
          </w:p>
        </w:tc>
        <w:tc>
          <w:tcPr>
            <w:tcW w:w="2693" w:type="dxa"/>
            <w:tcBorders>
              <w:top w:val="single" w:sz="4" w:space="0" w:color="auto"/>
              <w:left w:val="single" w:sz="4" w:space="0" w:color="auto"/>
              <w:bottom w:val="single" w:sz="4" w:space="0" w:color="auto"/>
              <w:right w:val="single" w:sz="4" w:space="0" w:color="auto"/>
            </w:tcBorders>
            <w:vAlign w:val="center"/>
            <w:hideMark/>
          </w:tcPr>
          <w:p w:rsidR="00322034" w:rsidRDefault="00322034" w:rsidP="001318D4">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Profesionālais maģistra grāds </w:t>
            </w:r>
            <w:r w:rsidR="001318D4">
              <w:rPr>
                <w:rFonts w:ascii="Times New Roman" w:eastAsia="Times New Roman" w:hAnsi="Times New Roman" w:cs="Times New Roman"/>
                <w:sz w:val="24"/>
                <w:szCs w:val="24"/>
                <w:lang w:eastAsia="lt-LT"/>
              </w:rPr>
              <w:t>sabiedrības pārvaldē</w:t>
            </w:r>
            <w:r>
              <w:rPr>
                <w:rFonts w:ascii="Times New Roman" w:eastAsia="Times New Roman" w:hAnsi="Times New Roman" w:cs="Times New Roman"/>
                <w:sz w:val="24"/>
                <w:szCs w:val="24"/>
                <w:lang w:eastAsia="lt-LT"/>
              </w:rPr>
              <w:t xml:space="preserve"> un </w:t>
            </w:r>
            <w:r w:rsidR="001318D4">
              <w:rPr>
                <w:rFonts w:ascii="Times New Roman" w:eastAsia="Times New Roman" w:hAnsi="Times New Roman" w:cs="Times New Roman"/>
                <w:sz w:val="24"/>
                <w:szCs w:val="24"/>
                <w:lang w:eastAsia="lt-LT"/>
              </w:rPr>
              <w:t>organizācijas vadītāja</w:t>
            </w:r>
            <w:r>
              <w:rPr>
                <w:rFonts w:ascii="Times New Roman" w:eastAsia="Times New Roman" w:hAnsi="Times New Roman" w:cs="Times New Roman"/>
                <w:sz w:val="24"/>
                <w:szCs w:val="24"/>
                <w:lang w:eastAsia="lt-LT"/>
              </w:rPr>
              <w:t xml:space="preserve"> kvalifikācija (piektais profesionālās kvalifikācijas līmenis)</w:t>
            </w:r>
          </w:p>
        </w:tc>
        <w:tc>
          <w:tcPr>
            <w:tcW w:w="2700" w:type="dxa"/>
            <w:tcBorders>
              <w:top w:val="single" w:sz="4" w:space="0" w:color="auto"/>
              <w:left w:val="single" w:sz="4" w:space="0" w:color="auto"/>
              <w:bottom w:val="single" w:sz="4" w:space="0" w:color="auto"/>
              <w:right w:val="single" w:sz="4" w:space="0" w:color="auto"/>
            </w:tcBorders>
            <w:vAlign w:val="center"/>
            <w:hideMark/>
          </w:tcPr>
          <w:p w:rsidR="00322034" w:rsidRDefault="00322034" w:rsidP="001318D4">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Profesionālais maģistra grāds </w:t>
            </w:r>
            <w:r w:rsidR="001318D4">
              <w:rPr>
                <w:rFonts w:ascii="Times New Roman" w:eastAsia="Times New Roman" w:hAnsi="Times New Roman" w:cs="Times New Roman"/>
                <w:sz w:val="24"/>
                <w:szCs w:val="24"/>
                <w:lang w:eastAsia="lt-LT"/>
              </w:rPr>
              <w:t>sabiedrības pārvaldē</w:t>
            </w:r>
          </w:p>
        </w:tc>
      </w:tr>
      <w:tr w:rsidR="00322034" w:rsidTr="00D95AF1">
        <w:tc>
          <w:tcPr>
            <w:tcW w:w="2229"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Studiju programmas apguves vērtēšanas pamatprincipi un kārtība</w:t>
            </w:r>
          </w:p>
        </w:tc>
        <w:tc>
          <w:tcPr>
            <w:tcW w:w="2308" w:type="dxa"/>
            <w:tcBorders>
              <w:top w:val="single" w:sz="4" w:space="0" w:color="auto"/>
              <w:left w:val="single" w:sz="4" w:space="0" w:color="auto"/>
              <w:bottom w:val="single" w:sz="4" w:space="0" w:color="auto"/>
              <w:right w:val="single" w:sz="4" w:space="0" w:color="auto"/>
            </w:tcBorders>
            <w:vAlign w:val="center"/>
            <w:hideMark/>
          </w:tcPr>
          <w:p w:rsidR="00322034" w:rsidRDefault="00322034" w:rsidP="00D9680B">
            <w:pPr>
              <w:numPr>
                <w:ilvl w:val="0"/>
                <w:numId w:val="1"/>
              </w:numPr>
              <w:spacing w:after="0" w:line="240" w:lineRule="auto"/>
              <w:ind w:left="352"/>
              <w:rPr>
                <w:rFonts w:ascii="Times New Roman" w:eastAsia="Times New Roman" w:hAnsi="Times New Roman" w:cs="Times New Roman"/>
                <w:sz w:val="24"/>
                <w:szCs w:val="24"/>
              </w:rPr>
            </w:pPr>
            <w:r>
              <w:rPr>
                <w:rFonts w:ascii="Times New Roman" w:eastAsia="Times New Roman" w:hAnsi="Times New Roman" w:cs="Times New Roman"/>
                <w:sz w:val="24"/>
                <w:szCs w:val="24"/>
              </w:rPr>
              <w:t>Atklātības princips;</w:t>
            </w:r>
          </w:p>
          <w:p w:rsidR="00322034" w:rsidRDefault="00322034" w:rsidP="00D9680B">
            <w:pPr>
              <w:numPr>
                <w:ilvl w:val="0"/>
                <w:numId w:val="1"/>
              </w:numPr>
              <w:spacing w:after="0" w:line="240" w:lineRule="auto"/>
              <w:ind w:left="352"/>
              <w:rPr>
                <w:rFonts w:ascii="Times New Roman" w:eastAsia="Times New Roman" w:hAnsi="Times New Roman" w:cs="Times New Roman"/>
                <w:sz w:val="24"/>
                <w:szCs w:val="24"/>
              </w:rPr>
            </w:pPr>
            <w:r>
              <w:rPr>
                <w:rFonts w:ascii="Times New Roman" w:eastAsia="Times New Roman" w:hAnsi="Times New Roman" w:cs="Times New Roman"/>
                <w:sz w:val="24"/>
                <w:szCs w:val="24"/>
              </w:rPr>
              <w:t>obligātuma princips;</w:t>
            </w:r>
          </w:p>
          <w:p w:rsidR="00322034" w:rsidRDefault="00322034" w:rsidP="00D9680B">
            <w:pPr>
              <w:numPr>
                <w:ilvl w:val="0"/>
                <w:numId w:val="1"/>
              </w:numPr>
              <w:spacing w:after="0" w:line="240" w:lineRule="auto"/>
              <w:ind w:left="352"/>
              <w:rPr>
                <w:rFonts w:ascii="Times New Roman" w:eastAsia="Times New Roman" w:hAnsi="Times New Roman" w:cs="Times New Roman"/>
                <w:sz w:val="24"/>
                <w:szCs w:val="24"/>
              </w:rPr>
            </w:pPr>
            <w:r>
              <w:rPr>
                <w:rFonts w:ascii="Times New Roman" w:eastAsia="Times New Roman" w:hAnsi="Times New Roman" w:cs="Times New Roman"/>
                <w:sz w:val="24"/>
                <w:szCs w:val="24"/>
              </w:rPr>
              <w:t>vērtējuma pārskatīšanas iespēju princips;</w:t>
            </w:r>
          </w:p>
          <w:p w:rsidR="00322034" w:rsidRDefault="00322034" w:rsidP="00D9680B">
            <w:pPr>
              <w:numPr>
                <w:ilvl w:val="0"/>
                <w:numId w:val="1"/>
              </w:numPr>
              <w:spacing w:after="0" w:line="240" w:lineRule="auto"/>
              <w:ind w:left="352"/>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izmantoto pārbaudes veidu dažādības princips.</w:t>
            </w:r>
          </w:p>
          <w:p w:rsidR="00322034" w:rsidRDefault="00322034">
            <w:pPr>
              <w:spacing w:after="0" w:line="240" w:lineRule="auto"/>
              <w:rPr>
                <w:rFonts w:ascii="Times New Roman" w:eastAsia="Times New Roman" w:hAnsi="Times New Roman" w:cs="Times New Roman"/>
                <w:color w:val="000000"/>
                <w:sz w:val="24"/>
                <w:szCs w:val="24"/>
                <w:shd w:val="clear" w:color="auto" w:fill="F1F1F1"/>
              </w:rPr>
            </w:pPr>
            <w:r>
              <w:rPr>
                <w:rFonts w:ascii="Times New Roman" w:eastAsia="Times New Roman" w:hAnsi="Times New Roman" w:cs="Times New Roman"/>
                <w:color w:val="000000"/>
                <w:sz w:val="24"/>
                <w:szCs w:val="24"/>
              </w:rPr>
              <w:t xml:space="preserve">Studiju rezultātu sasniegšanas pakāpi vērtē 10 </w:t>
            </w:r>
            <w:proofErr w:type="spellStart"/>
            <w:r>
              <w:rPr>
                <w:rFonts w:ascii="Times New Roman" w:eastAsia="Times New Roman" w:hAnsi="Times New Roman" w:cs="Times New Roman"/>
                <w:color w:val="000000"/>
                <w:sz w:val="24"/>
                <w:szCs w:val="24"/>
              </w:rPr>
              <w:t>ballu</w:t>
            </w:r>
            <w:proofErr w:type="spellEnd"/>
            <w:r>
              <w:rPr>
                <w:rFonts w:ascii="Times New Roman" w:eastAsia="Times New Roman" w:hAnsi="Times New Roman" w:cs="Times New Roman"/>
                <w:color w:val="000000"/>
                <w:sz w:val="24"/>
                <w:szCs w:val="24"/>
              </w:rPr>
              <w:t xml:space="preserve"> skalā vai ar vērtējumu „ieskaitīts/neieskaitīts”</w:t>
            </w:r>
          </w:p>
        </w:tc>
        <w:tc>
          <w:tcPr>
            <w:tcW w:w="2693"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lastRenderedPageBreak/>
              <w:t xml:space="preserve">Studiju rezultātu vērtēšanas principi un kārtība ir iestrādāti DU Studiju nolikumā. Detalizētāks vērtēšanas apraksts ir atspoguļots katra atsevišķa studiju </w:t>
            </w:r>
            <w:r>
              <w:rPr>
                <w:rFonts w:ascii="Times New Roman" w:eastAsia="Times New Roman" w:hAnsi="Times New Roman" w:cs="Times New Roman"/>
                <w:color w:val="000000"/>
                <w:sz w:val="24"/>
                <w:szCs w:val="24"/>
                <w:lang w:eastAsia="lt-LT"/>
              </w:rPr>
              <w:lastRenderedPageBreak/>
              <w:t>kursa kredītpunktu ieguves prasībās.</w:t>
            </w:r>
          </w:p>
          <w:p w:rsidR="00322034" w:rsidRDefault="00322034">
            <w:pPr>
              <w:spacing w:after="0" w:line="240" w:lineRule="auto"/>
              <w:jc w:val="center"/>
              <w:rPr>
                <w:rFonts w:ascii="Times New Roman" w:eastAsia="Times New Roman" w:hAnsi="Times New Roman" w:cs="Times New Roman"/>
                <w:color w:val="000000"/>
                <w:sz w:val="24"/>
                <w:szCs w:val="24"/>
                <w:shd w:val="clear" w:color="auto" w:fill="F1F1F1"/>
              </w:rPr>
            </w:pPr>
            <w:r>
              <w:rPr>
                <w:rFonts w:ascii="Times New Roman" w:eastAsia="Times New Roman" w:hAnsi="Times New Roman" w:cs="Times New Roman"/>
                <w:color w:val="000000"/>
                <w:sz w:val="24"/>
                <w:szCs w:val="24"/>
                <w:lang w:eastAsia="lt-LT"/>
              </w:rPr>
              <w:t xml:space="preserve">Studiju rezultātus vērtē 10 </w:t>
            </w:r>
            <w:proofErr w:type="spellStart"/>
            <w:r>
              <w:rPr>
                <w:rFonts w:ascii="Times New Roman" w:eastAsia="Times New Roman" w:hAnsi="Times New Roman" w:cs="Times New Roman"/>
                <w:color w:val="000000"/>
                <w:sz w:val="24"/>
                <w:szCs w:val="24"/>
                <w:lang w:eastAsia="lt-LT"/>
              </w:rPr>
              <w:t>ballu</w:t>
            </w:r>
            <w:proofErr w:type="spellEnd"/>
            <w:r>
              <w:rPr>
                <w:rFonts w:ascii="Times New Roman" w:eastAsia="Times New Roman" w:hAnsi="Times New Roman" w:cs="Times New Roman"/>
                <w:color w:val="000000"/>
                <w:sz w:val="24"/>
                <w:szCs w:val="24"/>
                <w:lang w:eastAsia="lt-LT"/>
              </w:rPr>
              <w:t xml:space="preserve"> skalā </w:t>
            </w:r>
            <w:r>
              <w:rPr>
                <w:rFonts w:ascii="Times New Roman" w:eastAsia="Times New Roman" w:hAnsi="Times New Roman" w:cs="Times New Roman"/>
                <w:color w:val="000000"/>
                <w:sz w:val="24"/>
                <w:szCs w:val="24"/>
              </w:rPr>
              <w:t>vai ar vērtējumu „ieskaitīts/neieskaitīts”</w:t>
            </w:r>
          </w:p>
        </w:tc>
        <w:tc>
          <w:tcPr>
            <w:tcW w:w="2700" w:type="dxa"/>
            <w:tcBorders>
              <w:top w:val="single" w:sz="4" w:space="0" w:color="auto"/>
              <w:left w:val="single" w:sz="4" w:space="0" w:color="auto"/>
              <w:bottom w:val="single" w:sz="4" w:space="0" w:color="auto"/>
              <w:right w:val="single" w:sz="4" w:space="0" w:color="auto"/>
            </w:tcBorders>
            <w:vAlign w:val="center"/>
            <w:hideMark/>
          </w:tcPr>
          <w:p w:rsidR="00322034" w:rsidRDefault="00322034">
            <w:pPr>
              <w:spacing w:after="0" w:line="240" w:lineRule="auto"/>
              <w:jc w:val="center"/>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lastRenderedPageBreak/>
              <w:t xml:space="preserve">Studiju rezultātu vērtēšanas principi un kārtība ir iestrādāti DU Studiju nolikumā. Detalizētāks vērtēšanas apraksts ir atspoguļots katra atsevišķa studiju </w:t>
            </w:r>
            <w:r>
              <w:rPr>
                <w:rFonts w:ascii="Times New Roman" w:eastAsia="Times New Roman" w:hAnsi="Times New Roman" w:cs="Times New Roman"/>
                <w:color w:val="000000"/>
                <w:sz w:val="24"/>
                <w:szCs w:val="24"/>
                <w:lang w:eastAsia="lt-LT"/>
              </w:rPr>
              <w:lastRenderedPageBreak/>
              <w:t>kursa kredītpunktu ieguves prasībās.</w:t>
            </w:r>
          </w:p>
          <w:p w:rsidR="00322034" w:rsidRDefault="00322034">
            <w:pPr>
              <w:spacing w:after="0" w:line="240" w:lineRule="auto"/>
              <w:jc w:val="center"/>
              <w:rPr>
                <w:rFonts w:ascii="Times New Roman" w:eastAsia="Times New Roman" w:hAnsi="Times New Roman" w:cs="Times New Roman"/>
                <w:color w:val="000000"/>
                <w:sz w:val="24"/>
                <w:szCs w:val="24"/>
                <w:shd w:val="clear" w:color="auto" w:fill="F1F1F1"/>
              </w:rPr>
            </w:pPr>
            <w:r>
              <w:rPr>
                <w:rFonts w:ascii="Times New Roman" w:eastAsia="Times New Roman" w:hAnsi="Times New Roman" w:cs="Times New Roman"/>
                <w:color w:val="000000"/>
                <w:sz w:val="24"/>
                <w:szCs w:val="24"/>
                <w:lang w:eastAsia="lt-LT"/>
              </w:rPr>
              <w:t xml:space="preserve">Studiju rezultātus vērtē 10 </w:t>
            </w:r>
            <w:proofErr w:type="spellStart"/>
            <w:r>
              <w:rPr>
                <w:rFonts w:ascii="Times New Roman" w:eastAsia="Times New Roman" w:hAnsi="Times New Roman" w:cs="Times New Roman"/>
                <w:color w:val="000000"/>
                <w:sz w:val="24"/>
                <w:szCs w:val="24"/>
                <w:lang w:eastAsia="lt-LT"/>
              </w:rPr>
              <w:t>ballu</w:t>
            </w:r>
            <w:proofErr w:type="spellEnd"/>
            <w:r>
              <w:rPr>
                <w:rFonts w:ascii="Times New Roman" w:eastAsia="Times New Roman" w:hAnsi="Times New Roman" w:cs="Times New Roman"/>
                <w:color w:val="000000"/>
                <w:sz w:val="24"/>
                <w:szCs w:val="24"/>
                <w:lang w:eastAsia="lt-LT"/>
              </w:rPr>
              <w:t xml:space="preserve"> skalā </w:t>
            </w:r>
            <w:r>
              <w:rPr>
                <w:rFonts w:ascii="Times New Roman" w:eastAsia="Times New Roman" w:hAnsi="Times New Roman" w:cs="Times New Roman"/>
                <w:color w:val="000000"/>
                <w:sz w:val="24"/>
                <w:szCs w:val="24"/>
              </w:rPr>
              <w:t>vai ar vērtējumu „ieskaitīts/neieskaitīts”</w:t>
            </w:r>
          </w:p>
        </w:tc>
      </w:tr>
    </w:tbl>
    <w:p w:rsidR="00322034" w:rsidRDefault="00322034" w:rsidP="00322034">
      <w:pPr>
        <w:tabs>
          <w:tab w:val="left" w:pos="5430"/>
        </w:tabs>
        <w:spacing w:line="256" w:lineRule="auto"/>
        <w:rPr>
          <w:rFonts w:ascii="Times New Roman" w:eastAsia="Times New Roman" w:hAnsi="Times New Roman" w:cs="Times New Roman"/>
        </w:rPr>
      </w:pPr>
      <w:r>
        <w:rPr>
          <w:rFonts w:ascii="Times New Roman" w:eastAsia="Times New Roman" w:hAnsi="Times New Roman" w:cs="Times New Roman"/>
        </w:rPr>
        <w:lastRenderedPageBreak/>
        <w:t>*Atbilstoši piemērojamajam valsts izglītības standartam</w:t>
      </w:r>
    </w:p>
    <w:p w:rsidR="00322034" w:rsidRDefault="00322034" w:rsidP="00322034"/>
    <w:p w:rsidR="000D56DA" w:rsidRDefault="000D56DA"/>
    <w:sectPr w:rsidR="000D56D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TE1666F30t00">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7B5506"/>
    <w:multiLevelType w:val="hybridMultilevel"/>
    <w:tmpl w:val="401CE804"/>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0BEB"/>
    <w:rsid w:val="000D56DA"/>
    <w:rsid w:val="001318D4"/>
    <w:rsid w:val="00150BEB"/>
    <w:rsid w:val="00322034"/>
    <w:rsid w:val="005F3B1E"/>
    <w:rsid w:val="0063662C"/>
    <w:rsid w:val="00D95AF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59792C-AE4E-4FF0-B163-F8EE8CD88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220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36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ikumi.lv/doc.php?id=26876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2781</Words>
  <Characters>1586</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2</cp:revision>
  <dcterms:created xsi:type="dcterms:W3CDTF">2024-11-13T09:21:00Z</dcterms:created>
  <dcterms:modified xsi:type="dcterms:W3CDTF">2024-11-13T09:21:00Z</dcterms:modified>
</cp:coreProperties>
</file>