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jc w:val="left"/>
        <w:tblInd w:w="-118" w:type="dxa"/>
        <w:tblW w:w="9039" w:type="dxa"/>
      </w:tblPr>
      <w:tblGrid>
        <w:gridCol w:w="4219"/>
        <w:gridCol w:w="4820"/>
      </w:tblGrid>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bookmarkStart w:id="0" w:name="_GoBack"/>
            <w:bookmarkEnd w:id="0"/>
            <w:r/>
          </w:p>
          <w:p>
            <w:pPr>
              <w:pStyle w:val="Nosaukumi"/>
            </w:pPr>
            <w:r>
              <w:t>Studiju kursa nosaukums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rPr>
                <w:b/>
                <w:i/>
                <w:color w:val="000000"/>
              </w:rPr>
            </w:pPr>
            <w:r>
              <w:rPr>
                <w:rFonts w:eastAsia="Times New Roman"/>
                <w:b/>
                <w:i/>
                <w:color w:val="000000"/>
              </w:rPr>
              <w:t>Dokumentu un informācijas tehnoloģiju pārvaldība</w:t>
            </w:r>
            <w:r>
              <w:rPr>
                <w:b/>
                <w:i/>
                <w:color w:val="000000"/>
              </w:rPr>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Studiju kursa kods (DUIS)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Zinātnes nozare</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rPr>
                <w:bCs w:val="0"/>
              </w:rPr>
            </w:pPr>
            <w:r>
              <w:rPr>
                <w:bCs w:val="0"/>
              </w:rPr>
              <w:t>Tiesības</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Kursa līmenis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5</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rPr>
                <w:u w:color="auto" w:val="single"/>
              </w:rPr>
            </w:pPr>
            <w:r>
              <w:t>Kredītpunkti</w:t>
            </w:r>
            <w:r>
              <w:rPr>
                <w:u w:color="auto" w:val="single"/>
              </w:rPr>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rPr>
                <w:u w:color="auto" w:val="single"/>
              </w:rPr>
            </w:pPr>
            <w:r>
              <w:t>ECTS kredītpunkti</w:t>
            </w:r>
            <w:r>
              <w:rPr>
                <w:u w:color="auto" w:val="single"/>
              </w:rPr>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3</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Kopējais kontaktstundu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32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2"/>
            </w:pPr>
            <w:r>
              <w:t>Lekciju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16</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2"/>
            </w:pPr>
            <w:r>
              <w:t>Semināru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2"/>
            </w:pPr>
            <w:r>
              <w:t>Praktisko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16</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2"/>
            </w:pPr>
            <w:r>
              <w:t>Laboratorijas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2"/>
            </w:pPr>
            <w:r>
              <w:t>Studējošā patstāvīgā darba 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48</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Kursa autors(-i)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rPr>
                <w:b w:val="0"/>
                <w:i w:val="0"/>
              </w:rPr>
            </w:pPr>
            <w:r>
              <w:rPr>
                <w:b w:val="0"/>
                <w:i w:val="0"/>
              </w:rPr>
              <w:t>Mg.val.pārv., vieslektore Vineta Dubrovska</w:t>
            </w:r>
          </w:p>
          <w:p>
            <w:pPr>
              <w:rPr>
                <w:bCs w:val="0"/>
                <w:iCs w:val="0"/>
              </w:rPr>
            </w:pPr>
            <w:r>
              <w:rPr>
                <w:bCs w:val="0"/>
                <w:iCs w:val="0"/>
              </w:rPr>
              <w:t>Dr.oec., docente Janīna Stašāne</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 xml:space="preserve">Kursa docētājs(-i)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rPr>
                <w:b w:val="0"/>
                <w:i w:val="0"/>
              </w:rPr>
            </w:pPr>
            <w:r>
              <w:rPr>
                <w:b w:val="0"/>
                <w:i w:val="0"/>
              </w:rPr>
              <w:t>Mg.val.pārv., vieslektore Vineta Dubrovska</w:t>
            </w:r>
          </w:p>
          <w:p>
            <w:pPr>
              <w:rPr>
                <w:bCs w:val="0"/>
                <w:iCs w:val="0"/>
              </w:rPr>
            </w:pPr>
            <w:r>
              <w:rPr>
                <w:bCs w:val="0"/>
                <w:iCs w:val="0"/>
              </w:rPr>
              <w:t>Dr.oec., docente Janīna Stašāne</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Nav</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 xml:space="preserve">Studiju kursa anotācija </w:t>
            </w:r>
          </w:p>
        </w:tc>
      </w:tr>
      <w:tr>
        <w:trPr>
          <w:trHeight w:val="0" w:hRule="auto"/>
        </w:trPr>
        <w:tc>
          <w:tcPr>
            <w:tcW w:w="9039"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spacing/>
              <w:jc w:val="both"/>
              <w:rPr>
                <w:rFonts w:eastAsia="Times New Roman"/>
              </w:rPr>
            </w:pPr>
            <w:r>
              <w:rPr>
                <w:rFonts w:eastAsia="Times New Roman"/>
              </w:rPr>
              <w:t>Studiju kursa ietvaros studējošajiem tiek sniegtas zināšanas par dokumentu pārvaldības būtību un nepieciešamību, par tās pielietošanu praksē, ievērojot noteiktu sistematizāciju dokumentu noformēšanā un sakārtošanā; tiek attīstīta prasme pielietot kursa zināšanas praktiski. Kursā tiek apgūtas arī informācijas tehnoloģiju izmantošanas iespējas lietvedības darba veikšanā iestādē, sniegtas nepieciešamās zināšanas darbam ar elektroniskajiem dokumentiem.</w:t>
            </w:r>
          </w:p>
          <w:p>
            <w:pPr>
              <w:spacing/>
              <w:jc w:val="both"/>
              <w:rPr>
                <w:rFonts w:eastAsia="Times New Roman"/>
              </w:rPr>
            </w:pPr>
            <w:r>
              <w:rPr>
                <w:rFonts w:eastAsia="Times New Roman"/>
              </w:rPr>
              <w:t>Studiju kursa mērķis: apgūt zināšanas un prasmes par dokumentu pārvaldības procesu organizācijā, dokumentu noformēšanas, saglabāšanas un reģistrēšanas kārtību.</w:t>
            </w:r>
          </w:p>
          <w:p>
            <w:pPr>
              <w:spacing/>
              <w:jc w:val="both"/>
              <w:rPr>
                <w:rFonts w:eastAsia="Times New Roman"/>
              </w:rPr>
            </w:pPr>
            <w:r>
              <w:rPr>
                <w:rFonts w:eastAsia="Times New Roman"/>
              </w:rPr>
            </w:r>
          </w:p>
          <w:p>
            <w:pPr>
              <w:spacing/>
              <w:jc w:val="both"/>
              <w:rPr>
                <w:rFonts w:eastAsia="Times New Roman"/>
              </w:rPr>
            </w:pPr>
            <w:r>
              <w:rPr>
                <w:rFonts w:eastAsia="Times New Roman"/>
              </w:rPr>
              <w:t>Studiju kursa uzdevumi:</w:t>
            </w:r>
          </w:p>
          <w:p>
            <w:pPr>
              <w:numPr>
                <w:ilvl w:val="0"/>
                <w:numId w:val="2"/>
              </w:numPr>
              <w:ind w:left="360" w:hanging="360"/>
              <w:spacing/>
              <w:jc w:val="both"/>
              <w:rPr>
                <w:rFonts w:eastAsia="Times New Roman"/>
              </w:rPr>
            </w:pPr>
            <w:r>
              <w:rPr>
                <w:rFonts w:eastAsia="Times New Roman"/>
              </w:rPr>
              <w:t>Iepazīstināt ar dokumentu pārvaldības pamatnosacījumiem, dokumentēšanas juridisko pamatojumu un dokumentācijas sistēmām.</w:t>
            </w:r>
          </w:p>
          <w:p>
            <w:pPr>
              <w:numPr>
                <w:ilvl w:val="0"/>
                <w:numId w:val="2"/>
              </w:numPr>
              <w:ind w:left="360" w:hanging="360"/>
              <w:spacing/>
              <w:jc w:val="both"/>
              <w:rPr>
                <w:rFonts w:eastAsia="Times New Roman"/>
              </w:rPr>
            </w:pPr>
            <w:r>
              <w:rPr>
                <w:rFonts w:eastAsia="Times New Roman"/>
              </w:rPr>
              <w:t>Iepazīstināt ar dokumentu veidiem un sniegt to raksturojumu.</w:t>
            </w:r>
          </w:p>
          <w:p>
            <w:pPr>
              <w:numPr>
                <w:ilvl w:val="0"/>
                <w:numId w:val="2"/>
              </w:numPr>
              <w:ind w:left="360" w:hanging="360"/>
              <w:spacing/>
              <w:jc w:val="both"/>
              <w:rPr>
                <w:rFonts w:eastAsia="Times New Roman"/>
              </w:rPr>
            </w:pPr>
            <w:r>
              <w:rPr>
                <w:rFonts w:eastAsia="Times New Roman"/>
              </w:rPr>
              <w:t>Apskatīt dokumentu apriti, lietu nomenklatūru un lietu formēšanu.</w:t>
            </w:r>
          </w:p>
          <w:p>
            <w:pPr>
              <w:numPr>
                <w:ilvl w:val="0"/>
                <w:numId w:val="2"/>
              </w:numPr>
              <w:ind w:left="360" w:hanging="360"/>
              <w:spacing/>
              <w:jc w:val="both"/>
              <w:rPr>
                <w:rFonts w:eastAsia="Times New Roman"/>
              </w:rPr>
            </w:pPr>
            <w:r>
              <w:rPr>
                <w:rFonts w:eastAsia="Times New Roman"/>
              </w:rPr>
              <w:t>Informēt par darījumu saraksti, pievēršot uzmanību valsts valodas prasmei lietvedības dokumentos.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spacing/>
              <w:jc w:val="both"/>
              <w:keepNext/>
              <w:keepLines/>
              <w:widowControl w:val="0"/>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bCs w:val="0"/>
                <w:iCs w:val="0"/>
              </w:rPr>
              <w:t xml:space="preserve">Kursa struktūra: lekcijas (L) – 16 st., praktiskie darbi (P) – 16 st., </w:t>
            </w:r>
            <w:r>
              <w:rPr>
                <w:rFonts w:eastAsia="Times New Roman"/>
                <w:bCs w:val="0"/>
                <w:iCs w:val="0"/>
              </w:rPr>
              <w:t>studējošo patstāvīgais darbs (Pd) – 48 st.</w:t>
            </w:r>
          </w:p>
          <w:p>
            <w:r/>
          </w:p>
          <w:p>
            <w:r>
              <w:t>Lekcijas:</w:t>
            </w:r>
          </w:p>
          <w:p>
            <w:pPr>
              <w:numPr>
                <w:ilvl w:val="0"/>
                <w:numId w:val="7"/>
              </w:numPr>
              <w:ind w:left="360" w:hanging="360"/>
              <w:spacing/>
              <w:jc w:val="both"/>
              <w:rPr>
                <w:rFonts w:eastAsia="Times New Roman"/>
              </w:rPr>
            </w:pPr>
            <w:r>
              <w:rPr>
                <w:rFonts w:eastAsia="Times New Roman"/>
              </w:rPr>
              <w:t>Dokumentu izstrāde un noformēšana atbilstoši reglamentējošiem dokumentiem. Pārvaldes dokumenti, to izstrādāšanas un noformēšanas vispārīgās un tehniskās prasības. (L4, Pd6)</w:t>
            </w:r>
          </w:p>
          <w:p>
            <w:pPr>
              <w:numPr>
                <w:ilvl w:val="0"/>
                <w:numId w:val="7"/>
              </w:numPr>
              <w:ind w:left="360" w:hanging="360"/>
              <w:spacing/>
              <w:jc w:val="both"/>
              <w:rPr>
                <w:rFonts w:eastAsia="Times New Roman"/>
              </w:rPr>
            </w:pPr>
            <w:r>
              <w:rPr>
                <w:rFonts w:eastAsia="Times New Roman"/>
              </w:rPr>
              <w:t>Valodu likuma prasību ievērošana dokumentu pārvaldībā, dokumentu valoda. Dokumenta struktūra, dokumenta saturs, rekvizīti. (L2, Pd6)</w:t>
            </w:r>
          </w:p>
          <w:p>
            <w:pPr>
              <w:numPr>
                <w:ilvl w:val="0"/>
                <w:numId w:val="7"/>
              </w:numPr>
              <w:ind w:left="360" w:hanging="360"/>
              <w:spacing/>
              <w:jc w:val="both"/>
              <w:rPr>
                <w:rFonts w:eastAsia="Times New Roman"/>
              </w:rPr>
            </w:pPr>
            <w:r>
              <w:rPr>
                <w:rFonts w:eastAsia="Times New Roman"/>
              </w:rPr>
              <w:t>Elektroniskie dokumenti, to aprites organizācija, glabāšana, elektroniskais paraksts. Dokumentu aprite. (L4, Pd6)</w:t>
            </w:r>
          </w:p>
          <w:p>
            <w:pPr>
              <w:numPr>
                <w:ilvl w:val="0"/>
                <w:numId w:val="7"/>
              </w:numPr>
              <w:ind w:left="360" w:hanging="360"/>
              <w:spacing/>
              <w:jc w:val="both"/>
              <w:rPr>
                <w:rFonts w:eastAsia="Times New Roman"/>
              </w:rPr>
            </w:pPr>
            <w:r>
              <w:rPr>
                <w:rFonts w:eastAsia="Times New Roman"/>
              </w:rPr>
              <w:t>Dokumentu iedalījums grupās, atšķirības, to būtība. Darbs ar dažādiem dokumentu veidiem. (L2, Pd6)</w:t>
            </w:r>
          </w:p>
          <w:p>
            <w:pPr>
              <w:numPr>
                <w:ilvl w:val="0"/>
                <w:numId w:val="7"/>
              </w:numPr>
              <w:ind w:left="360" w:hanging="360"/>
              <w:spacing/>
              <w:jc w:val="both"/>
              <w:rPr>
                <w:rFonts w:eastAsia="Times New Roman"/>
              </w:rPr>
            </w:pPr>
            <w:r>
              <w:rPr>
                <w:rFonts w:eastAsia="Times New Roman"/>
              </w:rPr>
              <w:t>Dokumentu pārvaldības sistēmas apraksta izstrādāšana, tā loma dokumentu aprites nodrošināšanā. (L2, Pd6)</w:t>
            </w:r>
          </w:p>
          <w:p>
            <w:pPr>
              <w:numPr>
                <w:ilvl w:val="0"/>
                <w:numId w:val="7"/>
              </w:numPr>
              <w:ind w:left="360" w:hanging="360"/>
              <w:spacing/>
              <w:jc w:val="both"/>
              <w:rPr>
                <w:rFonts w:eastAsia="Times New Roman"/>
              </w:rPr>
            </w:pPr>
            <w:r>
              <w:rPr>
                <w:rFonts w:eastAsia="Times New Roman"/>
              </w:rPr>
              <w:t>Lietu nomenklatūra, dokumentu sagatavošana uzglabāšanai arhīvā. Arhīva darba organizācija. (L2, Pd6)</w:t>
            </w:r>
          </w:p>
          <w:p>
            <w:pPr>
              <w:spacing/>
              <w:jc w:val="both"/>
              <w:rPr>
                <w:rFonts w:eastAsia="Times New Roman"/>
              </w:rPr>
            </w:pPr>
            <w:r>
              <w:rPr>
                <w:rFonts w:eastAsia="Times New Roman"/>
              </w:rPr>
            </w:r>
          </w:p>
          <w:p>
            <w:pPr>
              <w:spacing/>
              <w:jc w:val="both"/>
              <w:rPr>
                <w:rFonts w:eastAsia="Times New Roman"/>
              </w:rPr>
            </w:pPr>
            <w:r>
              <w:rPr>
                <w:rFonts w:eastAsia="Times New Roman"/>
              </w:rPr>
              <w:t>Praktiskie darbi:</w:t>
            </w:r>
          </w:p>
          <w:p>
            <w:pPr>
              <w:numPr>
                <w:ilvl w:val="0"/>
                <w:numId w:val="8"/>
              </w:numPr>
              <w:ind w:left="360" w:hanging="360"/>
              <w:spacing/>
              <w:jc w:val="both"/>
              <w:rPr>
                <w:rFonts w:eastAsia="Times New Roman"/>
              </w:rPr>
            </w:pPr>
            <w:r>
              <w:rPr>
                <w:rFonts w:eastAsia="Times New Roman"/>
              </w:rPr>
              <w:t>Rekvizītu noformēšana pārvaldes dokumentos. Dokumenta teksta izstrāde un noformēšana. (P4, Pd3)</w:t>
            </w:r>
          </w:p>
          <w:p>
            <w:pPr>
              <w:numPr>
                <w:ilvl w:val="0"/>
                <w:numId w:val="8"/>
              </w:numPr>
              <w:ind w:left="360" w:hanging="360"/>
              <w:spacing/>
              <w:jc w:val="both"/>
              <w:rPr>
                <w:rFonts w:eastAsia="Times New Roman"/>
              </w:rPr>
            </w:pPr>
            <w:r>
              <w:rPr>
                <w:rFonts w:eastAsia="Times New Roman"/>
              </w:rPr>
              <w:t>Pārvaldes dokumentu dienesta atzīmju noformēšana. Dokumenta saskaņošana. Dokumenta atvasinājumu sagatavošana. (P4, Pd3)</w:t>
            </w:r>
          </w:p>
          <w:p>
            <w:pPr>
              <w:numPr>
                <w:ilvl w:val="0"/>
                <w:numId w:val="8"/>
              </w:numPr>
              <w:ind w:left="360" w:hanging="360"/>
              <w:spacing/>
              <w:jc w:val="both"/>
              <w:rPr>
                <w:rFonts w:eastAsia="Times New Roman"/>
              </w:rPr>
            </w:pPr>
            <w:r>
              <w:rPr>
                <w:rFonts w:eastAsia="Times New Roman"/>
              </w:rPr>
              <w:t>Dokumentu pārvaldības sistēmas apraksta izstrādāšana. Saņemto un nosūtāmo dokumentu reģistrācija. (P4, Pd3)</w:t>
            </w:r>
          </w:p>
          <w:p>
            <w:pPr>
              <w:numPr>
                <w:ilvl w:val="0"/>
                <w:numId w:val="8"/>
              </w:numPr>
              <w:ind w:left="360" w:hanging="360"/>
              <w:spacing/>
              <w:jc w:val="both"/>
            </w:pPr>
            <w:r>
              <w:rPr>
                <w:rFonts w:eastAsia="Times New Roman"/>
              </w:rPr>
              <w:t xml:space="preserve">Dokumentu kvalitātes novērtēšana. (P4, Pd3) </w:t>
            </w: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rPr>
                <w:bCs w:val="0"/>
                <w:iCs w:val="0"/>
              </w:rPr>
            </w:pPr>
            <w:r>
              <w:rPr>
                <w:bCs w:val="0"/>
                <w:iCs w:val="0"/>
              </w:rPr>
              <w:t>Zināšanas</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rPr>
            </w:pPr>
            <w:r>
              <w:rPr>
                <w:rFonts w:eastAsia="Times New Roman"/>
              </w:rPr>
              <w:t>Demonstrē zināšanas un prasmi patstāvīgi pielietot dokumentu pārvaldību un arhīvu regulējošo tiesību un normatīvo aktu prasības.</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rPr>
            </w:pPr>
            <w:r>
              <w:rPr>
                <w:rFonts w:eastAsia="Times New Roman"/>
              </w:rPr>
              <w:t>Izstrādā un noformē dokumentus atbilstoši tiesību un normatīvo aktu prasībām.</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rPr>
            </w:pPr>
            <w:r>
              <w:rPr>
                <w:rFonts w:eastAsia="Times New Roman"/>
              </w:rPr>
              <w:t>Izstrādā lietu nomenklatūru.</w:t>
            </w:r>
          </w:p>
          <w:p>
            <w:pPr>
              <w:rPr>
                <w:rFonts w:eastAsia="Times New Roman"/>
              </w:rPr>
            </w:pPr>
            <w:r>
              <w:rPr>
                <w:rFonts w:eastAsia="Times New Roman"/>
              </w:rPr>
            </w:r>
          </w:p>
          <w:p>
            <w:pPr>
              <w:rPr>
                <w:rFonts w:eastAsia="Times New Roman"/>
              </w:rPr>
            </w:pPr>
            <w:r>
              <w:rPr>
                <w:rFonts w:eastAsia="Times New Roman"/>
              </w:rPr>
              <w:t>Prasmes</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rPr>
            </w:pPr>
            <w:r>
              <w:rPr>
                <w:rFonts w:eastAsia="Times New Roman"/>
              </w:rPr>
              <w:t>Demonstrē prasmi patstāvīgi veikt dokumentu arhivēšanu.</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 xml:space="preserve">Prot lietot informācijas tehnoloģiju rīkus un pakalpojumus dokumentu pārvaldībā un arhivēšanā. </w:t>
            </w:r>
          </w:p>
          <w:p>
            <w:pPr>
              <w:pStyle w:val="ListParagraph"/>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rPr>
            </w:pPr>
            <w:r>
              <w:rPr>
                <w:rFonts w:eastAsia="Times New Roman"/>
              </w:rPr>
              <w:t>Prot novērtēt izstrādāto dokumentu kvalitāti.</w:t>
            </w:r>
          </w:p>
          <w:p>
            <w:r/>
          </w:p>
          <w:p>
            <w:r>
              <w:t>Kompetence</w:t>
            </w:r>
          </w:p>
          <w:p>
            <w:pPr>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Spēj izmantot informācijas tehnoloģijas dokumentu izstrādē un noformēšanā.</w:t>
            </w:r>
          </w:p>
          <w:p>
            <w:pPr>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Spēj nodrošināt elektroniskās dokumentācijas un datu uzglabāšanu.</w:t>
            </w:r>
          </w:p>
          <w:p>
            <w:pPr>
              <w:numPr>
                <w:ilvl w:val="0"/>
                <w:numId w:val="1"/>
              </w:numPr>
              <w:ind w:left="397" w:hanging="397"/>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Spēja veidot efektīvu organizācijas vidi dokumentu izstrādei un lietošanai.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spacing/>
              <w:jc w:val="both"/>
              <w:rPr>
                <w:rFonts w:eastAsia="Times New Roman"/>
                <w:bCs w:val="0"/>
                <w:iCs w:val="0"/>
                <w:color w:val="000000"/>
              </w:rPr>
            </w:pPr>
            <w:r>
              <w:rPr>
                <w:bCs w:val="0"/>
                <w:iCs w:val="0"/>
              </w:rPr>
              <w:t xml:space="preserve">Patstāvīgo darbu ietvaros studējošie nostiprina lekcijās apgūto materiālu ar papildu literatūras vai citu materiālu apguvi, </w:t>
            </w:r>
            <w:r>
              <w:rPr>
                <w:rFonts w:eastAsia="Times New Roman"/>
                <w:bCs w:val="0"/>
                <w:iCs w:val="0"/>
                <w:color w:val="000000"/>
              </w:rPr>
              <w:t xml:space="preserve">analizē un salīdzina </w:t>
            </w:r>
            <w:r>
              <w:rPr>
                <w:rFonts w:eastAsia="Times New Roman"/>
                <w:bCs w:val="0"/>
                <w:iCs w:val="0"/>
                <w:color w:val="000000"/>
              </w:rPr>
              <w:t xml:space="preserve">būtiskākos aspektus dokumentu pārvaldībā un </w:t>
            </w:r>
            <w:r>
              <w:rPr>
                <w:rFonts w:eastAsia="Times New Roman"/>
                <w:bCs w:val="0"/>
                <w:iCs w:val="0"/>
                <w:color w:val="000000"/>
              </w:rPr>
              <w:t>informācijas</w:t>
            </w:r>
            <w:r>
              <w:rPr>
                <w:rFonts w:eastAsia="Times New Roman"/>
                <w:bCs w:val="0"/>
                <w:iCs w:val="0"/>
                <w:color w:val="000000"/>
              </w:rPr>
              <w:t xml:space="preserve"> </w:t>
            </w:r>
            <w:r>
              <w:rPr>
                <w:rFonts w:eastAsia="Times New Roman"/>
                <w:bCs w:val="0"/>
                <w:iCs w:val="0"/>
                <w:color w:val="000000"/>
              </w:rPr>
              <w:t>tehnoloģiju</w:t>
            </w:r>
            <w:r>
              <w:rPr>
                <w:rFonts w:eastAsia="Times New Roman"/>
                <w:bCs w:val="0"/>
                <w:iCs w:val="0"/>
                <w:color w:val="000000"/>
              </w:rPr>
              <w:t xml:space="preserve"> lietošanā.</w:t>
            </w:r>
            <w:r>
              <w:rPr>
                <w:rFonts w:eastAsia="Times New Roman"/>
                <w:bCs w:val="0"/>
                <w:iCs w:val="0"/>
                <w:color w:val="00000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Prasības kredītpunktu iegūšanai</w:t>
            </w:r>
          </w:p>
        </w:tc>
      </w:tr>
      <w:tr>
        <w:trPr>
          <w:trHeight w:val="0" w:hRule="auto"/>
        </w:trPr>
        <w:tc>
          <w:tcPr>
            <w:tcW w:w="9039"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spacing/>
              <w:jc w:val="both"/>
              <w:rPr>
                <w:rFonts w:eastAsia="Times New Roman"/>
              </w:rPr>
            </w:pPr>
            <w:r>
              <w:rPr>
                <w:bCs w:val="0"/>
                <w:iCs w:val="0"/>
              </w:rPr>
              <w:t xml:space="preserve">Studiju kursa gala vērtējumu veido patstāvīgo darbu un eksāmena vērtējums. </w:t>
            </w:r>
            <w:r>
              <w:rPr>
                <w:rFonts w:eastAsia="Times New Roman"/>
              </w:rPr>
              <w:t>Kurss paredz zināšanu, prasmju un iemaņu apguvi, patstāvīgu dokumentu izstrādi.</w:t>
            </w:r>
            <w:r>
              <w:rPr>
                <w:rFonts w:eastAsia="Times New Roman"/>
              </w:rPr>
            </w:r>
          </w:p>
          <w:p>
            <w:pPr>
              <w:spacing/>
              <w:jc w:val="both"/>
              <w:rPr>
                <w:rFonts w:eastAsia="Times New Roman"/>
              </w:rPr>
            </w:pPr>
            <w:r>
              <w:rPr>
                <w:rFonts w:eastAsia="Times New Roman"/>
              </w:rPr>
              <w:t>Prasības studiju kursa apguvei:</w:t>
            </w:r>
          </w:p>
          <w:p>
            <w:pPr>
              <w:numPr>
                <w:ilvl w:val="0"/>
                <w:numId w:val="9"/>
              </w:numPr>
              <w:ind w:left="360" w:hanging="360"/>
              <w:spacing/>
              <w:jc w:val="both"/>
              <w:rPr>
                <w:rFonts w:eastAsia="Times New Roman"/>
              </w:rPr>
            </w:pPr>
            <w:r>
              <w:rPr>
                <w:rFonts w:eastAsia="Times New Roman"/>
              </w:rPr>
              <w:t xml:space="preserve">Regulārs nodarbību apmeklējums un praktisko darbu izpilde </w:t>
            </w:r>
            <w:r>
              <w:t>–</w:t>
            </w:r>
            <w:r>
              <w:rPr>
                <w:rFonts w:eastAsia="Times New Roman"/>
              </w:rPr>
              <w:t xml:space="preserve"> 60%;</w:t>
            </w:r>
            <w:r>
              <w:rPr>
                <w:rFonts w:eastAsia="Times New Roman"/>
              </w:rPr>
            </w:r>
          </w:p>
          <w:p>
            <w:pPr>
              <w:numPr>
                <w:ilvl w:val="0"/>
                <w:numId w:val="9"/>
              </w:numPr>
              <w:ind w:left="360" w:hanging="360"/>
              <w:spacing/>
              <w:jc w:val="both"/>
            </w:pPr>
            <w:r>
              <w:rPr>
                <w:rFonts w:eastAsia="Times New Roman"/>
              </w:rPr>
              <w:t xml:space="preserve">Starppārbaudījums: patstāvīgā darba izpilde </w:t>
            </w:r>
            <w:r>
              <w:t>–</w:t>
            </w:r>
            <w:r>
              <w:rPr>
                <w:rFonts w:eastAsia="Times New Roman"/>
              </w:rPr>
              <w:t xml:space="preserve"> 4</w:t>
            </w:r>
            <w:r>
              <w:t>0%.</w:t>
            </w:r>
          </w:p>
          <w:p>
            <w:pPr>
              <w:numPr>
                <w:ilvl w:val="0"/>
                <w:numId w:val="9"/>
              </w:numPr>
              <w:ind w:left="360" w:hanging="360"/>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Noslēguma pārbaudījums: eksāmens – 40%.</w:t>
            </w:r>
          </w:p>
          <w:p>
            <w:pPr>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r>
          </w:p>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REZULTĀTU VĒRTĒŠANAS KRITĒRIJI</w:t>
            </w:r>
          </w:p>
          <w:p>
            <w:pPr>
              <w:spacing/>
              <w:jc w:val="both"/>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iegūtā kompetence atbilstīgi plānotajiem studiju rezultātiem.</w:t>
            </w:r>
          </w:p>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r>
          </w:p>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REZULTĀTU VĒRTĒŠANA</w:t>
            </w:r>
          </w:p>
          <w:tbl>
            <w:tblPr>
              <w:jc w:val="center"/>
              <w:tblInd w:w="0" w:type="dxa"/>
              <w:tblW w:w="7439" w:type="dxa"/>
            </w:tblPr>
            <w:tblGrid>
              <w:gridCol w:w="2599"/>
              <w:gridCol w:w="540"/>
              <w:gridCol w:w="539"/>
              <w:gridCol w:w="539"/>
              <w:gridCol w:w="539"/>
              <w:gridCol w:w="539"/>
              <w:gridCol w:w="528"/>
              <w:gridCol w:w="520"/>
              <w:gridCol w:w="562"/>
              <w:gridCol w:w="534"/>
            </w:tblGrid>
            <w:tr>
              <w:trPr>
                <w:trHeight w:val="0" w:hRule="auto"/>
              </w:trPr>
              <w:tc>
                <w:tcPr>
                  <w:tcW w:w="259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Pārbaudījumu veidi</w:t>
                  </w:r>
                </w:p>
              </w:tc>
              <w:tc>
                <w:tcPr>
                  <w:tcW w:w="4840" w:type="dxa"/>
                  <w:gridSpan w:val="9"/>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Studiju rezultāti</w:t>
                  </w:r>
                </w:p>
              </w:tc>
            </w:tr>
            <w:tr>
              <w:trPr>
                <w:trHeight w:val="0" w:hRule="auto"/>
              </w:trPr>
              <w:tc>
                <w:tcPr>
                  <w:tcW w:w="259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tc>
              <w:tc>
                <w:tcPr>
                  <w:tcW w:w="54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7.</w:t>
                  </w:r>
                </w:p>
              </w:tc>
              <w:tc>
                <w:tcPr>
                  <w:tcW w:w="56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8.</w:t>
                  </w:r>
                </w:p>
              </w:tc>
              <w:tc>
                <w:tcPr>
                  <w:tcW w:w="53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color w:val="000000"/>
                    </w:rPr>
                  </w:pPr>
                  <w:r>
                    <w:rPr>
                      <w:bCs w:val="0"/>
                      <w:iCs w:val="0"/>
                      <w:color w:val="000000"/>
                    </w:rPr>
                    <w:t>9.</w:t>
                  </w:r>
                </w:p>
              </w:tc>
            </w:tr>
            <w:tr>
              <w:trPr>
                <w:trHeight w:val="0" w:hRule="auto"/>
              </w:trPr>
              <w:tc>
                <w:tcPr>
                  <w:tcW w:w="259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1.starppārbaudījums</w:t>
                  </w:r>
                </w:p>
              </w:tc>
              <w:tc>
                <w:tcPr>
                  <w:tcW w:w="54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6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r>
            <w:tr>
              <w:trPr>
                <w:trHeight w:val="0" w:hRule="auto"/>
              </w:trPr>
              <w:tc>
                <w:tcPr>
                  <w:tcW w:w="259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2.eksāmens</w:t>
                  </w:r>
                </w:p>
              </w:tc>
              <w:tc>
                <w:tcPr>
                  <w:tcW w:w="54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6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c>
                <w:tcPr>
                  <w:tcW w:w="53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1"/>
                </w:tcPr>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w:t>
                  </w:r>
                </w:p>
              </w:tc>
            </w:tr>
          </w:tbl>
          <w:p>
            <w:pPr>
              <w:spacing/>
              <w:jc w:val="cente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r>
              <w:t>Lekcijas:</w:t>
            </w:r>
          </w:p>
          <w:p>
            <w:pPr>
              <w:numPr>
                <w:ilvl w:val="0"/>
                <w:numId w:val="10"/>
              </w:numPr>
              <w:ind w:left="360" w:hanging="360"/>
              <w:spacing/>
              <w:jc w:val="both"/>
              <w:rPr>
                <w:rFonts w:eastAsia="Times New Roman"/>
              </w:rPr>
            </w:pPr>
            <w:r>
              <w:rPr>
                <w:rFonts w:eastAsia="Times New Roman"/>
              </w:rPr>
              <w:t>Dokumentu izstrāde un noformēšana atbilstoši reglamentējošiem dokumentiem. Pārvaldes dokumenti, to izstrādāšanas un noformēšanas vispārīgās un tehniskās prasības. (L4, Pd6)</w:t>
            </w:r>
          </w:p>
          <w:p>
            <w:pPr>
              <w:numPr>
                <w:ilvl w:val="0"/>
                <w:numId w:val="10"/>
              </w:numPr>
              <w:ind w:left="360" w:hanging="360"/>
              <w:spacing/>
              <w:jc w:val="both"/>
              <w:rPr>
                <w:rFonts w:eastAsia="Times New Roman"/>
              </w:rPr>
            </w:pPr>
            <w:r>
              <w:rPr>
                <w:rFonts w:eastAsia="Times New Roman"/>
              </w:rPr>
              <w:t>Valodu likuma prasību ievērošana dokumentu pārvaldībā, dokumentu valoda. Dokumenta struktūra, dokumenta saturs, rekvizīti. (L2, Pd6)</w:t>
            </w:r>
          </w:p>
          <w:p>
            <w:pPr>
              <w:numPr>
                <w:ilvl w:val="0"/>
                <w:numId w:val="10"/>
              </w:numPr>
              <w:ind w:left="360" w:hanging="360"/>
              <w:spacing/>
              <w:jc w:val="both"/>
              <w:rPr>
                <w:rFonts w:eastAsia="Times New Roman"/>
              </w:rPr>
            </w:pPr>
            <w:r>
              <w:rPr>
                <w:rFonts w:eastAsia="Times New Roman"/>
              </w:rPr>
              <w:t>Elektroniskie dokumenti, to aprites organizācija, glabāšana, elektroniskais paraksts. Dokumentu aprite. (L4, Pd6)</w:t>
            </w:r>
          </w:p>
          <w:p>
            <w:pPr>
              <w:numPr>
                <w:ilvl w:val="0"/>
                <w:numId w:val="10"/>
              </w:numPr>
              <w:ind w:left="360" w:hanging="360"/>
              <w:spacing/>
              <w:jc w:val="both"/>
              <w:rPr>
                <w:rFonts w:eastAsia="Times New Roman"/>
              </w:rPr>
            </w:pPr>
            <w:r>
              <w:rPr>
                <w:rFonts w:eastAsia="Times New Roman"/>
              </w:rPr>
              <w:t>Dokumentu iedalījums grupās, atšķirības, to būtība. Darbs ar dažādiem dokumentu veidiem. (L2, Pd6)</w:t>
            </w:r>
          </w:p>
          <w:p>
            <w:pPr>
              <w:numPr>
                <w:ilvl w:val="0"/>
                <w:numId w:val="10"/>
              </w:numPr>
              <w:ind w:left="360" w:hanging="360"/>
              <w:spacing/>
              <w:jc w:val="both"/>
              <w:rPr>
                <w:rFonts w:eastAsia="Times New Roman"/>
              </w:rPr>
            </w:pPr>
            <w:r>
              <w:rPr>
                <w:rFonts w:eastAsia="Times New Roman"/>
              </w:rPr>
              <w:t>Dokumentu pārvaldības sistēmas apraksta izstrādāšana, tā loma dokumentu aprites nodrošināšanā. (L2, Pd6)</w:t>
            </w:r>
          </w:p>
          <w:p>
            <w:pPr>
              <w:numPr>
                <w:ilvl w:val="0"/>
                <w:numId w:val="10"/>
              </w:numPr>
              <w:ind w:left="360" w:hanging="360"/>
              <w:spacing/>
              <w:jc w:val="both"/>
              <w:rPr>
                <w:rFonts w:eastAsia="Times New Roman"/>
              </w:rPr>
            </w:pPr>
            <w:r>
              <w:rPr>
                <w:rFonts w:eastAsia="Times New Roman"/>
              </w:rPr>
              <w:t>Lietu nomenklatūra, dokumentu sagatavošana uzglabāšanai arhīvā. Arhīva darba organizācija. (L2, Pd6)</w:t>
            </w:r>
          </w:p>
          <w:p>
            <w:pPr>
              <w:spacing/>
              <w:jc w:val="both"/>
              <w:rPr>
                <w:rFonts w:eastAsia="Times New Roman"/>
                <w:sz w:val="20"/>
                <w:szCs w:val="20"/>
              </w:rPr>
            </w:pPr>
            <w:r>
              <w:rPr>
                <w:rFonts w:eastAsia="Times New Roman"/>
                <w:sz w:val="20"/>
                <w:szCs w:val="20"/>
              </w:rPr>
            </w:r>
          </w:p>
          <w:p>
            <w:pPr>
              <w:spacing/>
              <w:jc w:val="both"/>
              <w:rPr>
                <w:rFonts w:eastAsia="Times New Roman"/>
              </w:rPr>
            </w:pPr>
            <w:r>
              <w:rPr>
                <w:rFonts w:eastAsia="Times New Roman"/>
              </w:rPr>
              <w:t>Praktiskie darbi:</w:t>
            </w:r>
          </w:p>
          <w:p>
            <w:pPr>
              <w:numPr>
                <w:ilvl w:val="0"/>
                <w:numId w:val="11"/>
              </w:numPr>
              <w:ind w:left="360" w:hanging="360"/>
              <w:spacing/>
              <w:jc w:val="both"/>
              <w:rPr>
                <w:rFonts w:eastAsia="Times New Roman"/>
              </w:rPr>
            </w:pPr>
            <w:r>
              <w:rPr>
                <w:rFonts w:eastAsia="Times New Roman"/>
              </w:rPr>
              <w:t>Rekvizītu noformēšana pārvaldes dokumentos. Dokumenta teksta izstrāde un noformēšana. (P4, Pd3)</w:t>
            </w:r>
          </w:p>
          <w:p>
            <w:pPr>
              <w:numPr>
                <w:ilvl w:val="0"/>
                <w:numId w:val="11"/>
              </w:numPr>
              <w:ind w:left="360" w:hanging="360"/>
              <w:spacing/>
              <w:jc w:val="both"/>
              <w:rPr>
                <w:rFonts w:eastAsia="Times New Roman"/>
              </w:rPr>
            </w:pPr>
            <w:r>
              <w:rPr>
                <w:rFonts w:eastAsia="Times New Roman"/>
              </w:rPr>
              <w:t>Pārvaldes dokumentu dienesta atzīmju noformēšana. Dokumenta saskaņošana. Dokumenta atvasinājumu sagatavošana. (P4, Pd3)</w:t>
            </w:r>
          </w:p>
          <w:p>
            <w:pPr>
              <w:numPr>
                <w:ilvl w:val="0"/>
                <w:numId w:val="11"/>
              </w:numPr>
              <w:ind w:left="360" w:hanging="360"/>
              <w:spacing/>
              <w:jc w:val="both"/>
              <w:rPr>
                <w:rFonts w:eastAsia="Times New Roman"/>
              </w:rPr>
            </w:pPr>
            <w:r>
              <w:rPr>
                <w:rFonts w:eastAsia="Times New Roman"/>
              </w:rPr>
              <w:t>Dokumentu pārvaldības sistēmas apraksta izstrādāšana. Saņemto un nosūtāmo dokumentu reģistrācija. (P4, Pd3)</w:t>
            </w:r>
          </w:p>
          <w:p>
            <w:pPr>
              <w:numPr>
                <w:ilvl w:val="0"/>
                <w:numId w:val="11"/>
              </w:numPr>
              <w:ind w:left="360" w:hanging="360"/>
              <w:spacing/>
              <w:jc w:val="both"/>
              <w:rPr>
                <w:rFonts w:eastAsia="Times New Roman"/>
              </w:rPr>
            </w:pPr>
            <w:r>
              <w:rPr>
                <w:rFonts w:eastAsia="Times New Roman"/>
              </w:rPr>
              <w:t xml:space="preserve">Dokumentu kvalitātes novērtēšana. (P4, Pd3)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numPr>
                <w:ilvl w:val="0"/>
                <w:numId w:val="12"/>
              </w:numPr>
              <w:ind w:left="360" w:hanging="360"/>
              <w:spacing/>
              <w:jc w:val="both"/>
            </w:pPr>
            <w:r>
              <w:t>Janitēna, Z. (2013). Ievads dokumentu pārvaldībā. Rīga: Lietišķās informācijas dienests, 207 lpp.</w:t>
            </w:r>
          </w:p>
          <w:p>
            <w:pPr>
              <w:numPr>
                <w:ilvl w:val="0"/>
                <w:numId w:val="12"/>
              </w:numPr>
              <w:ind w:left="360" w:hanging="360"/>
              <w:spacing/>
              <w:jc w:val="both"/>
            </w:pPr>
            <w:r>
              <w:t>Kalve, I. (2013). Dokumentu pārvaldība: no A līdz Z. Rīga: Turība, 315 lpp.</w:t>
            </w:r>
          </w:p>
          <w:p>
            <w:pPr>
              <w:numPr>
                <w:ilvl w:val="0"/>
                <w:numId w:val="12"/>
              </w:numPr>
              <w:ind w:left="360" w:hanging="360"/>
              <w:spacing/>
              <w:jc w:val="both"/>
            </w:pPr>
            <w:r>
              <w:t>Robežniece, I. (2007). Dokumentu pārvaldība. Latvijas Brīvo arodbiedrību savienība. E-grāmata. (PDF). Rīga: Latvijas Brīvo arodbiedrību savienība.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numPr>
                <w:ilvl w:val="0"/>
                <w:numId w:val="13"/>
              </w:numPr>
              <w:ind w:left="360" w:hanging="360"/>
              <w:spacing/>
              <w:jc w:val="both"/>
              <w:rPr>
                <w:rFonts w:eastAsia="Times New Roman"/>
                <w:bCs w:val="0"/>
                <w:iCs w:val="0"/>
              </w:rPr>
            </w:pPr>
            <w:r>
              <w:rPr>
                <w:rFonts w:eastAsia="Times New Roman"/>
                <w:bCs w:val="0"/>
                <w:iCs w:val="0"/>
              </w:rPr>
              <w:t xml:space="preserve">Bahanovskis, V. (2005). Praktiskā lietvedība, Rokasgrāmata. Sēr. uzņēmējdarbības pamati. Rīga: Kamene, 254 lpp. </w:t>
            </w:r>
          </w:p>
          <w:p>
            <w:pPr>
              <w:numPr>
                <w:ilvl w:val="0"/>
                <w:numId w:val="13"/>
              </w:numPr>
              <w:ind w:left="360" w:hanging="360"/>
              <w:spacing/>
              <w:jc w:val="both"/>
              <w:rPr>
                <w:rFonts w:eastAsia="Times New Roman"/>
                <w:bCs w:val="0"/>
                <w:iCs w:val="0"/>
              </w:rPr>
            </w:pPr>
            <w:r>
              <w:rPr>
                <w:rFonts w:eastAsia="Times New Roman"/>
                <w:bCs w:val="0"/>
                <w:iCs w:val="0"/>
              </w:rPr>
              <w:t xml:space="preserve">Dimante, I. (2009). Lietvedība, lietišķā korespondence un arhivēšana: tālmācības studiju kurss. Rīga: SIA "Biznesa vadības koledža", 355 lpp. </w:t>
            </w:r>
          </w:p>
          <w:p>
            <w:pPr>
              <w:numPr>
                <w:ilvl w:val="0"/>
                <w:numId w:val="13"/>
              </w:numPr>
              <w:ind w:left="360" w:hanging="360"/>
              <w:spacing/>
              <w:jc w:val="both"/>
              <w:rPr>
                <w:rFonts w:eastAsia="Times New Roman"/>
                <w:bCs w:val="0"/>
                <w:iCs w:val="0"/>
              </w:rPr>
            </w:pPr>
            <w:r>
              <w:rPr>
                <w:rFonts w:eastAsia="Times New Roman"/>
                <w:bCs w:val="0"/>
                <w:iCs w:val="0"/>
              </w:rPr>
              <w:t>Kalve, I. (2007). Dokumentu datorizēta sagatavošana. Ieva Kalve, Jānis Augucēvičs. Rīga: Biznesa augstskola Turība, 73 lpp.</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rPr>
                <w:rStyle w:val="Hyperlink"/>
                <w:color w:val="000000"/>
                <w:u w:color="auto" w:val="none"/>
              </w:rPr>
            </w:pPr>
            <w:hyperlink r:id="rId8" w:history="1">
              <w:r>
                <w:rPr>
                  <w:rStyle w:val="Hyperlink"/>
                  <w:color w:val="000000"/>
                  <w:u w:color="auto" w:val="none"/>
                </w:rPr>
                <w:t>Likumi:</w:t>
              </w:r>
            </w:hyperlink>
          </w:p>
          <w:p>
            <w:pPr>
              <w:numPr>
                <w:ilvl w:val="0"/>
                <w:numId w:val="14"/>
              </w:numPr>
              <w:ind w:left="360" w:hanging="360"/>
              <w:rPr>
                <w:rStyle w:val="Hyperlink"/>
                <w:color w:val="000000"/>
              </w:rPr>
            </w:pPr>
            <w:hyperlink r:id="rId9" w:history="1">
              <w:r>
                <w:rPr>
                  <w:rStyle w:val="Hyperlink"/>
                  <w:color w:val="000000"/>
                </w:rPr>
                <w:t>http://www.likumi.lv</w:t>
              </w:r>
            </w:hyperlink>
          </w:p>
          <w:p>
            <w:pPr>
              <w:numPr>
                <w:ilvl w:val="0"/>
                <w:numId w:val="14"/>
              </w:numPr>
              <w:ind w:left="360" w:hanging="360"/>
              <w:rPr>
                <w:color w:val="000000"/>
              </w:rPr>
            </w:pPr>
            <w:r>
              <w:rPr>
                <w:color w:val="000000"/>
              </w:rPr>
              <w:t>Arhīvu likums.</w:t>
            </w:r>
          </w:p>
          <w:p>
            <w:pPr>
              <w:numPr>
                <w:ilvl w:val="0"/>
                <w:numId w:val="14"/>
              </w:numPr>
              <w:ind w:left="360" w:hanging="360"/>
              <w:rPr>
                <w:color w:val="000000"/>
              </w:rPr>
            </w:pPr>
            <w:r>
              <w:rPr>
                <w:color w:val="000000"/>
              </w:rPr>
              <w:t>Dokumentu juridiskā spēka likums.</w:t>
            </w:r>
          </w:p>
          <w:p>
            <w:pPr>
              <w:numPr>
                <w:ilvl w:val="0"/>
                <w:numId w:val="14"/>
              </w:numPr>
              <w:ind w:left="360" w:hanging="360"/>
              <w:rPr>
                <w:color w:val="000000"/>
              </w:rPr>
            </w:pPr>
            <w:r>
              <w:rPr>
                <w:color w:val="000000"/>
              </w:rPr>
              <w:t>Elektronisko dokumentu likums.</w:t>
            </w:r>
          </w:p>
          <w:p>
            <w:pPr>
              <w:numPr>
                <w:ilvl w:val="0"/>
                <w:numId w:val="14"/>
              </w:numPr>
              <w:ind w:left="360" w:hanging="360"/>
              <w:rPr>
                <w:color w:val="000000"/>
              </w:rPr>
            </w:pPr>
            <w:r>
              <w:rPr>
                <w:color w:val="000000"/>
              </w:rPr>
              <w:t>Iesniegumu likums.</w:t>
            </w:r>
          </w:p>
          <w:p>
            <w:pPr>
              <w:numPr>
                <w:ilvl w:val="0"/>
                <w:numId w:val="14"/>
              </w:numPr>
              <w:ind w:left="360" w:hanging="360"/>
              <w:rPr>
                <w:color w:val="000000"/>
              </w:rPr>
            </w:pPr>
            <w:r>
              <w:rPr>
                <w:color w:val="000000"/>
              </w:rPr>
              <w:t>Likums ”Par grāmatvedību</w:t>
            </w:r>
          </w:p>
          <w:p>
            <w:pPr>
              <w:numPr>
                <w:ilvl w:val="0"/>
                <w:numId w:val="14"/>
              </w:numPr>
              <w:ind w:left="360" w:hanging="360"/>
              <w:rPr>
                <w:color w:val="000000"/>
              </w:rPr>
            </w:pPr>
            <w:r>
              <w:rPr>
                <w:color w:val="000000"/>
              </w:rPr>
              <w:t>Likums ”Par Latvijas valsts ģerboni”.</w:t>
            </w:r>
          </w:p>
          <w:p>
            <w:pPr>
              <w:numPr>
                <w:ilvl w:val="0"/>
                <w:numId w:val="14"/>
              </w:numPr>
              <w:ind w:left="360" w:hanging="360"/>
              <w:rPr>
                <w:color w:val="000000"/>
              </w:rPr>
            </w:pPr>
            <w:r>
              <w:rPr>
                <w:color w:val="000000"/>
              </w:rPr>
              <w:t>Oficiālās elektroniskās adreses likums.</w:t>
            </w:r>
          </w:p>
          <w:p>
            <w:pPr>
              <w:numPr>
                <w:ilvl w:val="0"/>
                <w:numId w:val="14"/>
              </w:numPr>
              <w:ind w:left="360" w:hanging="360"/>
              <w:rPr>
                <w:color w:val="000000"/>
              </w:rPr>
            </w:pPr>
            <w:r>
              <w:rPr>
                <w:color w:val="000000"/>
              </w:rPr>
              <w:t xml:space="preserve">Pasta likums. </w:t>
            </w:r>
          </w:p>
          <w:p>
            <w:pPr>
              <w:numPr>
                <w:ilvl w:val="0"/>
                <w:numId w:val="14"/>
              </w:numPr>
              <w:ind w:left="360" w:hanging="360"/>
              <w:rPr>
                <w:color w:val="000000"/>
              </w:rPr>
            </w:pPr>
            <w:r>
              <w:rPr>
                <w:color w:val="000000"/>
              </w:rPr>
              <w:t>Valsts valodas likums.</w:t>
            </w:r>
          </w:p>
          <w:p>
            <w:pPr>
              <w:spacing/>
              <w:jc w:val="both"/>
              <w:rPr>
                <w:color w:val="000000"/>
              </w:rPr>
            </w:pPr>
            <w:r>
              <w:rPr>
                <w:color w:val="000000"/>
              </w:rPr>
              <w:t>MK noteikumi:</w:t>
            </w:r>
          </w:p>
          <w:p>
            <w:pPr>
              <w:numPr>
                <w:ilvl w:val="0"/>
                <w:numId w:val="15"/>
              </w:numPr>
              <w:ind w:left="360" w:hanging="360"/>
              <w:spacing/>
              <w:jc w:val="both"/>
              <w:rPr>
                <w:color w:val="000000"/>
              </w:rPr>
            </w:pPr>
            <w:r>
              <w:rPr>
                <w:color w:val="000000"/>
              </w:rPr>
              <w:t>MK noteikumi Nr.558 “Dokumentu izstrādāšanas un noformēšanas kārtība” no 04.09.2018.</w:t>
            </w:r>
          </w:p>
          <w:p>
            <w:pPr>
              <w:numPr>
                <w:ilvl w:val="0"/>
                <w:numId w:val="15"/>
              </w:numPr>
              <w:ind w:left="360" w:hanging="360"/>
              <w:spacing/>
              <w:jc w:val="both"/>
              <w:rPr>
                <w:color w:val="000000"/>
              </w:rPr>
            </w:pPr>
            <w:r>
              <w:rPr>
                <w:color w:val="000000"/>
              </w:rPr>
              <w:t>MK noteikumi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 28.06.2005.</w:t>
            </w:r>
          </w:p>
          <w:p>
            <w:pPr>
              <w:numPr>
                <w:ilvl w:val="0"/>
                <w:numId w:val="15"/>
              </w:numPr>
              <w:ind w:left="360" w:hanging="360"/>
              <w:spacing/>
              <w:jc w:val="both"/>
              <w:rPr>
                <w:color w:val="000000"/>
                <w:u w:color="auto" w:val="single"/>
              </w:rPr>
            </w:pPr>
            <w:r>
              <w:rPr>
                <w:color w:val="000000"/>
              </w:rPr>
              <w:t xml:space="preserve">Dokumentu izstrādāšanas un noformēšanas vadlīnijas. </w:t>
            </w:r>
            <w:r>
              <w:rPr>
                <w:color w:val="000000"/>
                <w:u w:color="auto" w:val="single"/>
              </w:rPr>
              <w:t>https://tm.gov.lv/lv/aktualitates/tm-informacija-presei/tieslietu-ministrija-izstradajusi-vadlinijas-dokumentu-izstradasanai-un-noformesanai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pStyle w:val="Nosaukumi"/>
            </w:pPr>
            <w:r>
              <w:t>Piezīmes</w:t>
            </w:r>
          </w:p>
        </w:tc>
      </w:tr>
      <w:tr>
        <w:trPr>
          <w:trHeight w:val="64" w:hRule="atLeast"/>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3064354" protected="0"/>
          </w:tcPr>
          <w:p>
            <w:pPr>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Kurss paredzēts maģistra studiju programmas “Sabiedrības un organizāciju vadība” B daļā.</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10"/>
      <w:footerReference w:type="default" r:id="rId11"/>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Calibri">
    <w:panose1 w:val="020F0502020204030204"/>
    <w:charset w:val="ba"/>
    <w:family w:val="swiss"/>
    <w:pitch w:val="default"/>
  </w:font>
  <w:font w:name="Tahoma">
    <w:panose1 w:val="020B0604030504040204"/>
    <w:charset w:val="cc"/>
    <w:family w:val="swiss"/>
    <w:pitch w:val="default"/>
  </w:font>
  <w:font w:name="Cambria">
    <w:panose1 w:val="02040503050406030204"/>
    <w:charset w:val="ba"/>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4</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
    <w:multiLevelType w:val="singleLevel"/>
    <w:name w:val="Bullet 2"/>
    <w:lvl w:ilvl="0">
      <w:start w:val="1"/>
      <w:numFmt w:val="decimal"/>
      <w:lvlText w:val="%1."/>
      <w:lvlJc w:val="left"/>
      <w:pPr>
        <w:tabs>
          <w:tab w:val="num" w:pos="360"/>
        </w:tabs>
        <w:ind w:left="360" w:hanging="360"/>
      </w:pPr>
      <w:rPr/>
    </w:lvl>
  </w:abstractNum>
  <w:abstractNum w:abstractNumId="3">
    <w:multiLevelType w:val="singleLevel"/>
    <w:name w:val="Bullet 3"/>
    <w:lvl w:ilvl="0">
      <w:start w:val="1"/>
      <w:numFmt w:val="decimal"/>
      <w:lvlText w:val="%1"/>
      <w:lvlJc w:val="left"/>
      <w:pPr>
        <w:tabs>
          <w:tab w:val="num" w:pos="0"/>
        </w:tabs>
        <w:ind w:left="0" w:hanging="0"/>
      </w:pPr>
      <w:rPr/>
    </w:lvl>
  </w:abstractNum>
  <w:abstractNum w:abstractNumId="4">
    <w:multiLevelType w:val="singleLevel"/>
    <w:name w:val="Bullet 4"/>
    <w:lvl w:ilvl="0">
      <w:start w:val="1"/>
      <w:numFmt w:val="lowerLetter"/>
      <w:lvlText w:val="%1"/>
      <w:lvlJc w:val="left"/>
      <w:pPr>
        <w:tabs>
          <w:tab w:val="num" w:pos="0"/>
        </w:tabs>
        <w:ind w:left="0" w:hanging="0"/>
      </w:pPr>
      <w:rPr/>
    </w:lvl>
  </w:abstractNum>
  <w:abstractNum w:abstractNumId="5">
    <w:multiLevelType w:val="singleLevel"/>
    <w:name w:val="Bullet 5"/>
    <w:lvl w:ilvl="0">
      <w:start w:val="1"/>
      <w:numFmt w:val="lowerRoman"/>
      <w:lvlText w:val="%1"/>
      <w:lvlJc w:val="left"/>
      <w:pPr>
        <w:tabs>
          <w:tab w:val="num" w:pos="0"/>
        </w:tabs>
        <w:ind w:left="0" w:hanging="0"/>
      </w:pPr>
      <w:rPr/>
    </w:lvl>
  </w:abstractNum>
  <w:abstractNum w:abstractNumId="6">
    <w:multiLevelType w:val="singleLevel"/>
    <w:name w:val="Bullet 6"/>
    <w:lvl w:ilvl="0">
      <w:start w:val="1"/>
      <w:numFmt w:val="decimal"/>
      <w:lvlText w:val="%1."/>
      <w:lvlJc w:val="left"/>
      <w:pPr>
        <w:tabs>
          <w:tab w:val="num" w:pos="360"/>
        </w:tabs>
        <w:ind w:left="360" w:hanging="360"/>
      </w:pPr>
      <w:rPr/>
    </w:lvl>
  </w:abstractNum>
  <w:abstractNum w:abstractNumId="7">
    <w:multiLevelType w:val="singleLevel"/>
    <w:name w:val="Bullet 7"/>
    <w:lvl w:ilvl="0">
      <w:start w:val="1"/>
      <w:numFmt w:val="decimal"/>
      <w:lvlText w:val="%1."/>
      <w:lvlJc w:val="left"/>
      <w:pPr>
        <w:tabs>
          <w:tab w:val="num" w:pos="360"/>
        </w:tabs>
        <w:ind w:left="360" w:hanging="360"/>
      </w:pPr>
      <w:rPr/>
    </w:lvl>
  </w:abstractNum>
  <w:abstractNum w:abstractNumId="8">
    <w:multiLevelType w:val="singleLevel"/>
    <w:name w:val="Bullet 8"/>
    <w:lvl w:ilvl="0">
      <w:start w:val="1"/>
      <w:numFmt w:val="decimal"/>
      <w:lvlText w:val="%1."/>
      <w:lvlJc w:val="left"/>
      <w:pPr>
        <w:tabs>
          <w:tab w:val="num" w:pos="360"/>
        </w:tabs>
        <w:ind w:left="360" w:hanging="360"/>
      </w:pPr>
      <w:rPr/>
    </w:lvl>
  </w:abstractNum>
  <w:abstractNum w:abstractNumId="9">
    <w:multiLevelType w:val="singleLevel"/>
    <w:name w:val="Bullet 9"/>
    <w:lvl w:ilvl="0">
      <w:start w:val="1"/>
      <w:numFmt w:val="decimal"/>
      <w:lvlText w:val="%1."/>
      <w:lvlJc w:val="left"/>
      <w:pPr>
        <w:tabs>
          <w:tab w:val="num" w:pos="360"/>
        </w:tabs>
        <w:ind w:left="360" w:hanging="360"/>
      </w:pPr>
      <w:rPr/>
    </w:lvl>
  </w:abstractNum>
  <w:abstractNum w:abstractNumId="10">
    <w:multiLevelType w:val="singleLevel"/>
    <w:name w:val="Bullet 10"/>
    <w:lvl w:ilvl="0">
      <w:start w:val="1"/>
      <w:numFmt w:val="decimal"/>
      <w:lvlText w:val="%1."/>
      <w:lvlJc w:val="left"/>
      <w:pPr>
        <w:tabs>
          <w:tab w:val="num" w:pos="360"/>
        </w:tabs>
        <w:ind w:left="360" w:hanging="360"/>
      </w:pPr>
      <w:rPr/>
    </w:lvl>
  </w:abstractNum>
  <w:abstractNum w:abstractNumId="11">
    <w:multiLevelType w:val="singleLevel"/>
    <w:name w:val="Bullet 11"/>
    <w:lvl w:ilvl="0">
      <w:start w:val="1"/>
      <w:numFmt w:val="decimal"/>
      <w:lvlText w:val="%1."/>
      <w:lvlJc w:val="left"/>
      <w:pPr>
        <w:tabs>
          <w:tab w:val="num" w:pos="360"/>
        </w:tabs>
        <w:ind w:left="360" w:hanging="360"/>
      </w:pPr>
      <w:rPr/>
    </w:lvl>
  </w:abstractNum>
  <w:abstractNum w:abstractNumId="12">
    <w:multiLevelType w:val="singleLevel"/>
    <w:name w:val="Bullet 12"/>
    <w:lvl w:ilvl="0">
      <w:start w:val="1"/>
      <w:numFmt w:val="decimal"/>
      <w:lvlText w:val="%1."/>
      <w:lvlJc w:val="left"/>
      <w:pPr>
        <w:tabs>
          <w:tab w:val="num" w:pos="360"/>
        </w:tabs>
        <w:ind w:left="360" w:hanging="360"/>
      </w:pPr>
      <w:rPr/>
    </w:lvl>
  </w:abstractNum>
  <w:abstractNum w:abstractNumId="13">
    <w:multiLevelType w:val="singleLevel"/>
    <w:name w:val="Bullet 13"/>
    <w:lvl w:ilvl="0">
      <w:start w:val="1"/>
      <w:numFmt w:val="decimal"/>
      <w:lvlText w:val="%1."/>
      <w:lvlJc w:val="left"/>
      <w:pPr>
        <w:tabs>
          <w:tab w:val="num" w:pos="360"/>
        </w:tabs>
        <w:ind w:left="360" w:hanging="360"/>
      </w:pPr>
      <w:rPr/>
    </w:lvl>
  </w:abstractNum>
  <w:abstractNum w:abstractNumId="14">
    <w:multiLevelType w:val="singleLevel"/>
    <w:name w:val="Bullet 14"/>
    <w:lvl w:ilvl="0">
      <w:start w:val="1"/>
      <w:numFmt w:val="decimal"/>
      <w:lvlText w:val="%1."/>
      <w:lvlJc w:val="left"/>
      <w:pPr>
        <w:tabs>
          <w:tab w:val="num" w:pos="360"/>
        </w:tabs>
        <w:ind w:left="360" w:hanging="360"/>
      </w:pPr>
      <w:r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82"/>
    <w:tmLastPosCaret>
      <w:tmLastPosPgfIdx w:val="0"/>
      <w:tmLastPosIdx w:val="88"/>
    </w:tmLastPosCaret>
    <w:tmLastPosAnchor>
      <w:tmLastPosPgfIdx w:val="0"/>
      <w:tmLastPosIdx w:val="0"/>
    </w:tmLastPosAnchor>
    <w:tmLastPosTblRect w:left="0" w:top="0" w:right="0" w:bottom="0"/>
  </w:tmLastPos>
  <w:tmAppRevision w:date="1583064354"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style>
  <w:style w:type="paragraph" w:styleId="annotationtext" w:customStyle="1">
    <w:name w:val="annotation text"/>
    <w:qFormat/>
    <w:basedOn w:val="Normal"/>
    <w:rPr>
      <w:sz w:val="20"/>
      <w:szCs w:val="20"/>
    </w:rPr>
  </w:style>
  <w:style w:type="paragraph" w:styleId="annotationsubject" w:customStyle="1">
    <w:name w:val="annotation subject"/>
    <w:qFormat/>
    <w:basedOn w:val="annotationtext"/>
    <w:next w:val="annotationtext"/>
    <w:rPr>
      <w:b/>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Pr>
      <w:rFonts w:ascii="Calibri" w:hAnsi="Calibri" w:cs="Calibri"/>
      <w:bCs w:val="0"/>
      <w:iCs w:val="0"/>
      <w:sz w:val="22"/>
      <w:szCs w:val="22"/>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rPr>
  </w:style>
  <w:style w:type="character" w:styleId="FooterChar" w:customStyle="1">
    <w:name w:val="Footer Char"/>
    <w:basedOn w:val="DefaultParagraphFont"/>
    <w:rPr>
      <w:rFonts w:ascii="Times New Roman" w:hAnsi="Times New Roman" w:cs="Times New Roman"/>
      <w:bCs w:val="0"/>
      <w:iCs w:val="0"/>
      <w:sz w:val="24"/>
      <w:szCs w:val="24"/>
    </w:rPr>
  </w:style>
  <w:style w:type="character" w:styleId="PlaceholderText">
    <w:name w:val="Placeholder Text"/>
    <w:basedOn w:val="DefaultParagraphFont"/>
    <w:rPr>
      <w:color w:val="808080"/>
    </w:rPr>
  </w:style>
  <w:style w:type="character" w:styleId="annotationreference" w:customStyle="1">
    <w:name w:val="annotation reference"/>
    <w:basedOn w:val="DefaultParagraphFont"/>
    <w:rPr>
      <w:sz w:val="16"/>
      <w:szCs w:val="16"/>
    </w:rPr>
  </w:style>
  <w:style w:type="character" w:styleId="CommentTextChar" w:customStyle="1">
    <w:name w:val="Comment Text Char"/>
    <w:basedOn w:val="DefaultParagraphFont"/>
    <w:rPr>
      <w:sz w:val="20"/>
      <w:szCs w:val="20"/>
    </w:rPr>
  </w:style>
  <w:style w:type="character" w:styleId="CommentSubjectChar" w:customStyle="1">
    <w:name w:val="Comment Subject Char"/>
    <w:basedOn w:val="CommentTextChar"/>
    <w:rPr>
      <w:b/>
      <w:sz w:val="20"/>
      <w:szCs w:val="20"/>
    </w:rPr>
  </w:style>
  <w:style w:type="character" w:styleId="BalloonTextChar" w:customStyle="1">
    <w:name w:val="Balloon Text Char"/>
    <w:basedOn w:val="DefaultParagraphFont"/>
    <w:rPr>
      <w:rFonts w:ascii="Tahoma" w:hAnsi="Tahoma" w:cs="Tahoma"/>
      <w:sz w:val="16"/>
      <w:szCs w:val="16"/>
    </w:rPr>
  </w:style>
  <w:style w:type="character" w:styleId="Hyperlink">
    <w:name w:val="Hyperlink"/>
    <w:basedOn w:val="DefaultParagraphFont"/>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style>
  <w:style w:type="paragraph" w:styleId="annotationtext" w:customStyle="1">
    <w:name w:val="annotation text"/>
    <w:qFormat/>
    <w:basedOn w:val="Normal"/>
    <w:rPr>
      <w:sz w:val="20"/>
      <w:szCs w:val="20"/>
    </w:rPr>
  </w:style>
  <w:style w:type="paragraph" w:styleId="annotationsubject" w:customStyle="1">
    <w:name w:val="annotation subject"/>
    <w:qFormat/>
    <w:basedOn w:val="annotationtext"/>
    <w:next w:val="annotationtext"/>
    <w:rPr>
      <w:b/>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tabs/>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Pr>
      <w:rFonts w:ascii="Calibri" w:hAnsi="Calibri" w:cs="Calibri"/>
      <w:bCs w:val="0"/>
      <w:iCs w:val="0"/>
      <w:sz w:val="22"/>
      <w:szCs w:val="22"/>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rPr>
  </w:style>
  <w:style w:type="character" w:styleId="FooterChar" w:customStyle="1">
    <w:name w:val="Footer Char"/>
    <w:basedOn w:val="DefaultParagraphFont"/>
    <w:rPr>
      <w:rFonts w:ascii="Times New Roman" w:hAnsi="Times New Roman" w:cs="Times New Roman"/>
      <w:bCs w:val="0"/>
      <w:iCs w:val="0"/>
      <w:sz w:val="24"/>
      <w:szCs w:val="24"/>
    </w:rPr>
  </w:style>
  <w:style w:type="character" w:styleId="PlaceholderText">
    <w:name w:val="Placeholder Text"/>
    <w:basedOn w:val="DefaultParagraphFont"/>
    <w:rPr>
      <w:color w:val="808080"/>
    </w:rPr>
  </w:style>
  <w:style w:type="character" w:styleId="annotationreference" w:customStyle="1">
    <w:name w:val="annotation reference"/>
    <w:basedOn w:val="DefaultParagraphFont"/>
    <w:rPr>
      <w:sz w:val="16"/>
      <w:szCs w:val="16"/>
    </w:rPr>
  </w:style>
  <w:style w:type="character" w:styleId="CommentTextChar" w:customStyle="1">
    <w:name w:val="Comment Text Char"/>
    <w:basedOn w:val="DefaultParagraphFont"/>
    <w:rPr>
      <w:sz w:val="20"/>
      <w:szCs w:val="20"/>
    </w:rPr>
  </w:style>
  <w:style w:type="character" w:styleId="CommentSubjectChar" w:customStyle="1">
    <w:name w:val="Comment Subject Char"/>
    <w:basedOn w:val="CommentTextChar"/>
    <w:rPr>
      <w:b/>
      <w:sz w:val="20"/>
      <w:szCs w:val="20"/>
    </w:rPr>
  </w:style>
  <w:style w:type="character" w:styleId="BalloonTextChar" w:customStyle="1">
    <w:name w:val="Balloon Text Char"/>
    <w:basedOn w:val="DefaultParagraphFont"/>
    <w:rPr>
      <w:rFonts w:ascii="Tahoma" w:hAnsi="Tahoma" w:cs="Tahoma"/>
      <w:sz w:val="16"/>
      <w:szCs w:val="16"/>
    </w:rPr>
  </w:style>
  <w:style w:type="character" w:styleId="Hyperlink">
    <w:name w:val="Hyperlink"/>
    <w:basedOn w:val="DefaultParagraphFont"/>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 TargetMode="External"/><Relationship Id="rId9" Type="http://schemas.openxmlformats.org/officeDocument/2006/relationships/hyperlink" Target="http://www.likumi.lv" TargetMode="External"/><Relationship Id="rId10" Type="http://schemas.openxmlformats.org/officeDocument/2006/relationships/header" Target="header1.xml"/><Relationship Id="rId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revision>3</cp:revision>
  <dcterms:created xsi:type="dcterms:W3CDTF">2020-03-01T11:21:00Z</dcterms:created>
  <dcterms:modified xsi:type="dcterms:W3CDTF">2020-03-01T14:05:54Z</dcterms:modified>
</cp:coreProperties>
</file>