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BD" w:rsidRPr="00ED18EB" w:rsidRDefault="002A09BD" w:rsidP="002A09BD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2A09BD" w:rsidRPr="00ED18EB" w:rsidRDefault="002A09BD" w:rsidP="002A09BD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2A09BD" w:rsidRPr="00ED18EB" w:rsidRDefault="002A09BD" w:rsidP="002A09BD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BD" w:rsidRPr="00ED18EB" w:rsidRDefault="002A09BD" w:rsidP="0078692D">
            <w:pPr>
              <w:pStyle w:val="Style1"/>
              <w:framePr w:wrap="around"/>
            </w:pPr>
            <w:bookmarkStart w:id="0" w:name="_Toc103779965"/>
            <w:bookmarkStart w:id="1" w:name="_GoBack"/>
            <w:r w:rsidRPr="00ED18EB">
              <w:t>Pūšaminstrumenta spēle (flauta) III</w:t>
            </w:r>
            <w:bookmarkEnd w:id="0"/>
            <w:bookmarkEnd w:id="1"/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BD" w:rsidRPr="00ED18EB" w:rsidRDefault="002A09BD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MākZ2638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1086000273"/>
            <w:placeholder>
              <w:docPart w:val="DFFFD6B6E5514CDF9B702BBFC16FBDF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A09BD" w:rsidRPr="00ED18EB" w:rsidRDefault="002A09BD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BD" w:rsidRPr="00ED18EB" w:rsidRDefault="002A09BD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BD" w:rsidRPr="00ED18EB" w:rsidRDefault="002A09BD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2A09BD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BD" w:rsidRPr="00ED18EB" w:rsidRDefault="002A09BD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Kursa autors(–i)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Mg.art., docentsVasilijs Šušerts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Priekšzināšanas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MākZ1587 Pūšaminstrumenta spēle (flauta) I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MākZ1588 Pūšaminstrumenta spēle (flauta) II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(flauta)” studējošajiem.</w:t>
            </w:r>
          </w:p>
          <w:p w:rsidR="002A09BD" w:rsidRPr="00ED18EB" w:rsidRDefault="002A09BD" w:rsidP="0078692D">
            <w:pPr>
              <w:shd w:val="clear" w:color="auto" w:fill="auto"/>
              <w:rPr>
                <w:rStyle w:val="Style2Char"/>
              </w:rPr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flautistu,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III semestris 3KP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Kontrolstunda.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Akadēmiskais koncerts.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lastRenderedPageBreak/>
              <w:t>Kolokvijs.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Ieskaite ar atzīmi.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visaptverošas zināšanas par pūšaminstrumentu (īpaši flautas) tehnoloģiju un atskaņojuma specifiku;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flautas koncertrepertuāra skaņdarbu pārzināšana;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2A09BD" w:rsidRPr="00ED18EB" w:rsidRDefault="002A09BD" w:rsidP="0078692D">
            <w:pPr>
              <w:pStyle w:val="Style2"/>
              <w:shd w:val="clear" w:color="auto" w:fill="auto"/>
            </w:pPr>
          </w:p>
          <w:p w:rsidR="002A09BD" w:rsidRPr="00ED18EB" w:rsidRDefault="002A09BD" w:rsidP="0078692D">
            <w:pPr>
              <w:pStyle w:val="Style2"/>
              <w:shd w:val="clear" w:color="auto" w:fill="auto"/>
            </w:pPr>
            <w:r w:rsidRPr="00ED18EB">
              <w:t>PRASMES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līdzekļus.</w:t>
            </w:r>
          </w:p>
          <w:p w:rsidR="002A09BD" w:rsidRPr="00ED18EB" w:rsidRDefault="002A09BD" w:rsidP="0078692D">
            <w:pPr>
              <w:pStyle w:val="Style2"/>
              <w:shd w:val="clear" w:color="auto" w:fill="auto"/>
            </w:pPr>
          </w:p>
          <w:p w:rsidR="002A09BD" w:rsidRPr="00ED18EB" w:rsidRDefault="002A09BD" w:rsidP="0078692D">
            <w:pPr>
              <w:pStyle w:val="Style2"/>
              <w:shd w:val="clear" w:color="auto" w:fill="auto"/>
            </w:pPr>
            <w:r w:rsidRPr="00ED18EB">
              <w:t>KOMPETENCE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flautu, un rast risinājumus;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Patstāvīgie uzdevumi: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ieskaite ar atzīmi.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 ar atzīmi.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ieskaite ar atzīmi – 50%. Regulārs nodarbību apmeklējums.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atskaņot no galvas ieskaites ar atzīmi programmu.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III semestris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Kontrolstunda: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gammas līdz sešām zīmēm;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lasīšana no lapas tonalitātēs līdz četrām alterācijas zīmēm.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Akadēmiskais koncerts: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lastRenderedPageBreak/>
              <w:t>– viens skaņdarbs (var pēc notīm).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Kolokvijs.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Ieskaite ar atzīmi: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trīs dažāda rakstura skaņdarbi (viens – patstāvīgi sagatavots skaņdarbs pēc izvēles).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2A09BD" w:rsidRPr="00ED18EB" w:rsidRDefault="002A09BD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vērtē 10 ballu skalā.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skaņas kvalitāte;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Pūšaminstrumenta flauta spēles tehnikas apguve.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2A09BD" w:rsidRPr="00ED18EB" w:rsidRDefault="002A09BD" w:rsidP="0078692D">
            <w:pPr>
              <w:shd w:val="clear" w:color="auto" w:fill="auto"/>
            </w:pPr>
            <w:proofErr w:type="gramStart"/>
            <w:r w:rsidRPr="00ED18EB">
              <w:t>Dažādu stilu un žanru skaņdarbu flautai apguve</w:t>
            </w:r>
            <w:proofErr w:type="gramEnd"/>
            <w:r w:rsidRPr="00ED18EB">
              <w:t>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lastRenderedPageBreak/>
              <w:t>Etīdes: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Popp, R. A. (2000). Classical Studies No 31:125 (Flute). Universal Edition 16042.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Harris, P., Adams, S. (1994). 76 Graded Studies for the Flute. Book One. Faber Music.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125 easy classical studies for flute Ed. Frans Vester (2010). Universal edition.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Stamitz, A. Caprices for flute solo. Part I (1–4). Part II (4–8). 1999–2015 Virtual Sheet Music.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Bach, J. S. Sonaten Flötensonaten – Band 1 Urtextausgabe – flute and harpsichord (piano). Content – BWV 1030 – BWV 1031 – BWV 1032 (2010). Edition Peters.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Bach, C. P. E. Sonata in E minor, first and second movements: Adagio and Allegro (1994). Bärenreiter HM 71.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Handel, G. F. Sonata in G minor HWV 360 (1999). Bärenreiter BA 4225.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Koncerti: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Carl Philipp Emanuel Bach. Flute Concerto in D minor, Wq 83 (2014). Henle.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 xml:space="preserve">Vivaldi. Concerto 2 “La Notte” for flute, string orchestra and basso continuo (1983). Schott Music. 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Wolfgang Amadeus Mozart. Flute Concertos No. 1 In G. and No. 2 in D Major, K. 314 (2009). Hal Leonard, Schirmer.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Solo skaņdarbi: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 xml:space="preserve">Debussy, C. Syrinx. For flute solo. Virtual Sheet Music. 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Music for Flute &amp; Piano. Advanced Level Volume 5 (2008). Music Minus One.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Telemann Fantasien für Flöte solo (1999).Wiener Urtext Edition.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The Flute Collection. Intermediate to advanced level (2007). G Schirmer, Inc.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2A09BD" w:rsidRPr="00ED18EB" w:rsidRDefault="002A09BD" w:rsidP="0078692D">
            <w:pPr>
              <w:shd w:val="clear" w:color="auto" w:fill="auto"/>
            </w:pP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III semestris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Boehms, T. 24 kaprīzes, op. 26.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Andersens, J. 24 Pētījumi op.15.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Bahs, J. S. Sonatas BWV 1030–1035.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Telemans, G. F. 12 fantāzijas solo flautai.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Mocarts, W. A. Flautas koncerts Nr. 1 G dur.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Debussy, C. Syrinx.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 xml:space="preserve">Morgan, R. (1991). Twentieth–Century Music: A History of Musical Style in Modern Europe and America. New York: W. W. Norton &amp; Company 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Unbeaten Tracks (2003). 8 contemporary pieces for flute and piano. Ed. by P. Davis. London: Faber Music Ltd.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 xml:space="preserve">Carolyn Nussbaum Music Company: </w:t>
            </w:r>
            <w:hyperlink r:id="rId5" w:history="1">
              <w:r w:rsidRPr="00ED18EB">
                <w:rPr>
                  <w:rStyle w:val="Hyperlink"/>
                </w:rPr>
                <w:t>http://www.flute4u.com/store/</w:t>
              </w:r>
            </w:hyperlink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 xml:space="preserve">Flute World: </w:t>
            </w:r>
            <w:hyperlink r:id="rId6" w:history="1">
              <w:r w:rsidRPr="00ED18EB">
                <w:rPr>
                  <w:rStyle w:val="Hyperlink"/>
                </w:rPr>
                <w:t>https://www.fluteworld.com/</w:t>
              </w:r>
            </w:hyperlink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2A09BD" w:rsidRPr="00ED18EB" w:rsidRDefault="002A09BD" w:rsidP="0078692D">
            <w:pPr>
              <w:shd w:val="clear" w:color="auto" w:fill="auto"/>
            </w:pP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BD" w:rsidRPr="00ED18EB" w:rsidRDefault="002A09BD" w:rsidP="0078692D">
            <w:pPr>
              <w:pStyle w:val="Nosaukumi"/>
            </w:pPr>
            <w:r w:rsidRPr="00ED18EB">
              <w:t>Piezīmes</w:t>
            </w:r>
          </w:p>
        </w:tc>
      </w:tr>
      <w:tr w:rsidR="002A09BD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BD" w:rsidRPr="00ED18EB" w:rsidRDefault="002A09BD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2A09BD" w:rsidRPr="00ED18EB" w:rsidRDefault="002A09BD" w:rsidP="0078692D">
            <w:pPr>
              <w:shd w:val="clear" w:color="auto" w:fill="auto"/>
            </w:pPr>
            <w:r w:rsidRPr="00ED18EB">
              <w:lastRenderedPageBreak/>
              <w:t>Kursu apgūst latviešu vai angļu valodā.</w:t>
            </w:r>
          </w:p>
          <w:p w:rsidR="002A09BD" w:rsidRPr="00ED18EB" w:rsidRDefault="002A09BD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2A09BD" w:rsidRPr="00ED18EB" w:rsidRDefault="002A09BD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2A09BD" w:rsidRPr="00ED18EB" w:rsidRDefault="002A09BD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</w:p>
        </w:tc>
      </w:tr>
    </w:tbl>
    <w:p w:rsidR="00ED36EA" w:rsidRDefault="00ED36EA"/>
    <w:sectPr w:rsidR="00ED36EA" w:rsidSect="002A09BD">
      <w:pgSz w:w="11906" w:h="16838"/>
      <w:pgMar w:top="1440" w:right="56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BD"/>
    <w:rsid w:val="002A09BD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B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A09B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A09B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A09B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A0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09B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A09B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A09B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A09B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A09B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A09B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A09B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B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B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A09B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2A09B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2A09B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2A0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09B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A09B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2A09B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2A09B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2A09B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2A09B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2A09B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B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luteworld.com/" TargetMode="External"/><Relationship Id="rId5" Type="http://schemas.openxmlformats.org/officeDocument/2006/relationships/hyperlink" Target="http://www.flute4u.com/stor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FFD6B6E5514CDF9B702BBFC16FB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8F030-7DA8-4FD7-8F09-ADEDDA13C55A}"/>
      </w:docPartPr>
      <w:docPartBody>
        <w:p w:rsidR="00000000" w:rsidRDefault="0041750A" w:rsidP="0041750A">
          <w:pPr>
            <w:pStyle w:val="DFFFD6B6E5514CDF9B702BBFC16FBDF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0A"/>
    <w:rsid w:val="0041750A"/>
    <w:rsid w:val="0089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50A"/>
    <w:rPr>
      <w:color w:val="808080"/>
    </w:rPr>
  </w:style>
  <w:style w:type="paragraph" w:customStyle="1" w:styleId="DFFFD6B6E5514CDF9B702BBFC16FBDF5">
    <w:name w:val="DFFFD6B6E5514CDF9B702BBFC16FBDF5"/>
    <w:rsid w:val="0041750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50A"/>
    <w:rPr>
      <w:color w:val="808080"/>
    </w:rPr>
  </w:style>
  <w:style w:type="paragraph" w:customStyle="1" w:styleId="DFFFD6B6E5514CDF9B702BBFC16FBDF5">
    <w:name w:val="DFFFD6B6E5514CDF9B702BBFC16FBDF5"/>
    <w:rsid w:val="004175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5840</Words>
  <Characters>3330</Characters>
  <Application>Microsoft Office Word</Application>
  <DocSecurity>0</DocSecurity>
  <Lines>27</Lines>
  <Paragraphs>18</Paragraphs>
  <ScaleCrop>false</ScaleCrop>
  <Company/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2023-07-13T11:27:00Z</dcterms:created>
  <dcterms:modified xsi:type="dcterms:W3CDTF">2023-07-13T11:27:00Z</dcterms:modified>
</cp:coreProperties>
</file>