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p w:rsidR="00965FA8" w:rsidRPr="00ED18EB" w:rsidRDefault="00965FA8" w:rsidP="00965FA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65FA8" w:rsidRPr="00ED18EB" w:rsidRDefault="00965FA8" w:rsidP="00965FA8">
      <w:pPr>
        <w:jc w:val="center"/>
        <w:rPr>
          <w:b/>
          <w:sz w:val="32"/>
          <w:szCs w:val="32"/>
          <w:lang w:val="de-DE"/>
        </w:rPr>
      </w:pPr>
      <w:r w:rsidRPr="00ED18EB">
        <w:rPr>
          <w:b/>
          <w:sz w:val="32"/>
          <w:szCs w:val="32"/>
        </w:rPr>
        <w:t>STUDIJU KURSA APRAKSTS</w:t>
      </w:r>
    </w:p>
    <w:p w:rsidR="00965FA8" w:rsidRPr="00ED18EB" w:rsidRDefault="00965FA8" w:rsidP="00965FA8">
      <w:pPr>
        <w:pStyle w:val="Header"/>
        <w:jc w:val="center"/>
        <w:rPr>
          <w:rFonts w:ascii="Times New Roman" w:hAnsi="Times New Roman" w:cs="Times New Roman"/>
          <w:b/>
          <w:sz w:val="32"/>
          <w:szCs w:val="32"/>
        </w:rPr>
      </w:pPr>
      <w:bookmarkStart w:id="0" w:name="_GoBack"/>
      <w:bookmarkEnd w:id="0"/>
      <w:r w:rsidRPr="00ED18EB">
        <w:rPr>
          <w:rFonts w:ascii="Times New Roman" w:hAnsi="Times New Roman" w:cs="Times New Roman"/>
          <w:b/>
          <w:sz w:val="32"/>
          <w:szCs w:val="32"/>
        </w:rPr>
        <w:t>DAUGAVPILS UNIVERSITĀTES</w:t>
      </w:r>
    </w:p>
    <w:p w:rsidR="00965FA8" w:rsidRPr="00ED18EB" w:rsidRDefault="00965FA8" w:rsidP="00965FA8">
      <w:pPr>
        <w:jc w:val="center"/>
        <w:rPr>
          <w:b/>
          <w:sz w:val="32"/>
          <w:szCs w:val="32"/>
          <w:lang w:val="de-DE"/>
        </w:rPr>
      </w:pPr>
      <w:r w:rsidRPr="00ED18EB">
        <w:rPr>
          <w:b/>
          <w:sz w:val="32"/>
          <w:szCs w:val="32"/>
        </w:rPr>
        <w:t>STUDIJU KURSA APRAKSTS</w:t>
      </w:r>
    </w:p>
    <w:p w:rsidR="00965FA8" w:rsidRPr="00ED18EB" w:rsidRDefault="00965FA8" w:rsidP="00965FA8">
      <w:pPr>
        <w:shd w:val="clear" w:color="auto" w:fill="auto"/>
        <w:rPr>
          <w:szCs w:val="22"/>
        </w:rPr>
      </w:pP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965FA8" w:rsidRPr="00ED18EB" w:rsidTr="005E54E7">
        <w:tc>
          <w:tcPr>
            <w:tcW w:w="4219" w:type="dxa"/>
          </w:tcPr>
          <w:p w:rsidR="00965FA8" w:rsidRPr="00ED18EB" w:rsidRDefault="00965FA8"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965FA8" w:rsidRPr="00ED18EB" w:rsidRDefault="00965FA8" w:rsidP="005E54E7">
            <w:pPr>
              <w:pStyle w:val="Style1"/>
              <w:framePr w:wrap="around"/>
            </w:pPr>
            <w:bookmarkStart w:id="1" w:name="_Toc94194614"/>
            <w:bookmarkStart w:id="2" w:name="_Toc94237271"/>
            <w:bookmarkStart w:id="3" w:name="_Toc103736908"/>
            <w:bookmarkStart w:id="4" w:name="_Toc103779723"/>
            <w:r w:rsidRPr="00ED18EB">
              <w:t>Mūzikas semiotika II</w:t>
            </w:r>
            <w:bookmarkEnd w:id="1"/>
            <w:bookmarkEnd w:id="2"/>
            <w:bookmarkEnd w:id="3"/>
            <w:bookmarkEnd w:id="4"/>
          </w:p>
        </w:tc>
      </w:tr>
      <w:tr w:rsidR="00965FA8" w:rsidRPr="00ED18EB" w:rsidTr="005E54E7">
        <w:tc>
          <w:tcPr>
            <w:tcW w:w="4219" w:type="dxa"/>
          </w:tcPr>
          <w:p w:rsidR="00965FA8" w:rsidRPr="00ED18EB" w:rsidRDefault="00965FA8" w:rsidP="005E54E7">
            <w:pPr>
              <w:pStyle w:val="Nosaukumi"/>
            </w:pPr>
            <w:r w:rsidRPr="00ED18EB">
              <w:t>Studiju kursa kods (DUIS)</w:t>
            </w:r>
          </w:p>
        </w:tc>
        <w:tc>
          <w:tcPr>
            <w:tcW w:w="5102" w:type="dxa"/>
            <w:vAlign w:val="center"/>
          </w:tcPr>
          <w:p w:rsidR="00965FA8" w:rsidRPr="00ED18EB" w:rsidRDefault="00965FA8" w:rsidP="005E54E7">
            <w:pPr>
              <w:shd w:val="clear" w:color="auto" w:fill="auto"/>
              <w:rPr>
                <w:lang w:eastAsia="lv-LV"/>
              </w:rPr>
            </w:pPr>
            <w:r w:rsidRPr="00ED18EB">
              <w:rPr>
                <w:szCs w:val="22"/>
                <w:lang w:eastAsia="lv-LV"/>
              </w:rPr>
              <w:t>MākZ4426</w:t>
            </w:r>
          </w:p>
        </w:tc>
      </w:tr>
      <w:tr w:rsidR="00965FA8" w:rsidRPr="00ED18EB" w:rsidTr="005E54E7">
        <w:tc>
          <w:tcPr>
            <w:tcW w:w="4219" w:type="dxa"/>
          </w:tcPr>
          <w:p w:rsidR="00965FA8" w:rsidRPr="00ED18EB" w:rsidRDefault="00965FA8" w:rsidP="005E54E7">
            <w:pPr>
              <w:pStyle w:val="Nosaukumi"/>
            </w:pPr>
            <w:r w:rsidRPr="00ED18EB">
              <w:t>Zinātnes nozare</w:t>
            </w:r>
          </w:p>
        </w:tc>
        <w:sdt>
          <w:sdtPr>
            <w:rPr>
              <w:b/>
              <w:vanish/>
              <w:szCs w:val="22"/>
            </w:rPr>
            <w:id w:val="-684049414"/>
            <w:placeholder>
              <w:docPart w:val="A50A54A8F50E40A791017AE1B1E6060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02" w:type="dxa"/>
              </w:tcPr>
              <w:p w:rsidR="00965FA8" w:rsidRPr="00ED18EB" w:rsidRDefault="00965FA8" w:rsidP="005E54E7">
                <w:pPr>
                  <w:shd w:val="clear" w:color="auto" w:fill="auto"/>
                  <w:rPr>
                    <w:b/>
                  </w:rPr>
                </w:pPr>
                <w:r w:rsidRPr="00ED18EB">
                  <w:rPr>
                    <w:b/>
                    <w:vanish/>
                    <w:szCs w:val="22"/>
                  </w:rPr>
                  <w:t>Mākslas zinātne</w:t>
                </w:r>
              </w:p>
            </w:tc>
          </w:sdtContent>
        </w:sdt>
      </w:tr>
      <w:tr w:rsidR="00965FA8" w:rsidRPr="00ED18EB" w:rsidTr="005E54E7">
        <w:tc>
          <w:tcPr>
            <w:tcW w:w="4219" w:type="dxa"/>
          </w:tcPr>
          <w:p w:rsidR="00965FA8" w:rsidRPr="00ED18EB" w:rsidRDefault="00965FA8" w:rsidP="005E54E7">
            <w:pPr>
              <w:pStyle w:val="Nosaukumi"/>
            </w:pPr>
            <w:r w:rsidRPr="00ED18EB">
              <w:t>Kursa līmenis</w:t>
            </w:r>
          </w:p>
        </w:tc>
        <w:tc>
          <w:tcPr>
            <w:tcW w:w="5102" w:type="dxa"/>
          </w:tcPr>
          <w:p w:rsidR="00965FA8" w:rsidRPr="00ED18EB" w:rsidRDefault="00965FA8" w:rsidP="005E54E7">
            <w:pPr>
              <w:shd w:val="clear" w:color="auto" w:fill="auto"/>
              <w:rPr>
                <w:lang w:eastAsia="lv-LV"/>
              </w:rPr>
            </w:pPr>
            <w:r w:rsidRPr="00ED18EB">
              <w:rPr>
                <w:szCs w:val="22"/>
              </w:rPr>
              <w:t>3.</w:t>
            </w:r>
          </w:p>
        </w:tc>
      </w:tr>
      <w:tr w:rsidR="00965FA8" w:rsidRPr="00ED18EB" w:rsidTr="005E54E7">
        <w:tc>
          <w:tcPr>
            <w:tcW w:w="4219" w:type="dxa"/>
          </w:tcPr>
          <w:p w:rsidR="00965FA8" w:rsidRPr="00ED18EB" w:rsidRDefault="00965FA8" w:rsidP="005E54E7">
            <w:pPr>
              <w:pStyle w:val="Nosaukumi"/>
              <w:rPr>
                <w:u w:val="single"/>
              </w:rPr>
            </w:pPr>
            <w:r w:rsidRPr="00ED18EB">
              <w:t>Kredītpunkti</w:t>
            </w:r>
          </w:p>
        </w:tc>
        <w:tc>
          <w:tcPr>
            <w:tcW w:w="5102" w:type="dxa"/>
            <w:vAlign w:val="center"/>
          </w:tcPr>
          <w:p w:rsidR="00965FA8" w:rsidRPr="00ED18EB" w:rsidRDefault="00965FA8" w:rsidP="005E54E7">
            <w:pPr>
              <w:shd w:val="clear" w:color="auto" w:fill="auto"/>
              <w:rPr>
                <w:lang w:eastAsia="lv-LV"/>
              </w:rPr>
            </w:pPr>
            <w:r w:rsidRPr="00ED18EB">
              <w:rPr>
                <w:szCs w:val="22"/>
              </w:rPr>
              <w:t>1</w:t>
            </w:r>
          </w:p>
        </w:tc>
      </w:tr>
      <w:tr w:rsidR="00965FA8" w:rsidRPr="00ED18EB" w:rsidTr="005E54E7">
        <w:tc>
          <w:tcPr>
            <w:tcW w:w="4219" w:type="dxa"/>
          </w:tcPr>
          <w:p w:rsidR="00965FA8" w:rsidRPr="00ED18EB" w:rsidRDefault="00965FA8" w:rsidP="005E54E7">
            <w:pPr>
              <w:pStyle w:val="Nosaukumi"/>
              <w:rPr>
                <w:u w:val="single"/>
              </w:rPr>
            </w:pPr>
            <w:r w:rsidRPr="00ED18EB">
              <w:t>ECTS kredītpunkti</w:t>
            </w:r>
          </w:p>
        </w:tc>
        <w:tc>
          <w:tcPr>
            <w:tcW w:w="5102" w:type="dxa"/>
          </w:tcPr>
          <w:p w:rsidR="00965FA8" w:rsidRPr="00ED18EB" w:rsidRDefault="00965FA8" w:rsidP="005E54E7">
            <w:pPr>
              <w:shd w:val="clear" w:color="auto" w:fill="auto"/>
            </w:pPr>
            <w:r w:rsidRPr="00ED18EB">
              <w:rPr>
                <w:szCs w:val="22"/>
              </w:rPr>
              <w:t>1,5</w:t>
            </w:r>
          </w:p>
        </w:tc>
      </w:tr>
      <w:tr w:rsidR="00965FA8" w:rsidRPr="00ED18EB" w:rsidTr="005E54E7">
        <w:tc>
          <w:tcPr>
            <w:tcW w:w="4219" w:type="dxa"/>
          </w:tcPr>
          <w:p w:rsidR="00965FA8" w:rsidRPr="00ED18EB" w:rsidRDefault="00965FA8" w:rsidP="005E54E7">
            <w:pPr>
              <w:pStyle w:val="Nosaukumi"/>
            </w:pPr>
            <w:r w:rsidRPr="00ED18EB">
              <w:t>Kopējais kontaktstundu skaits</w:t>
            </w:r>
          </w:p>
        </w:tc>
        <w:tc>
          <w:tcPr>
            <w:tcW w:w="5102" w:type="dxa"/>
            <w:vAlign w:val="center"/>
          </w:tcPr>
          <w:p w:rsidR="00965FA8" w:rsidRPr="00ED18EB" w:rsidRDefault="00965FA8" w:rsidP="005E54E7">
            <w:pPr>
              <w:shd w:val="clear" w:color="auto" w:fill="auto"/>
              <w:rPr>
                <w:lang w:eastAsia="lv-LV"/>
              </w:rPr>
            </w:pPr>
            <w:r w:rsidRPr="00ED18EB">
              <w:rPr>
                <w:szCs w:val="22"/>
              </w:rPr>
              <w:t>16</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965FA8" w:rsidRPr="00ED18EB" w:rsidTr="005E54E7">
        <w:tc>
          <w:tcPr>
            <w:tcW w:w="4219" w:type="dxa"/>
          </w:tcPr>
          <w:p w:rsidR="00965FA8" w:rsidRPr="00ED18EB" w:rsidRDefault="00965FA8" w:rsidP="005E54E7">
            <w:pPr>
              <w:pStyle w:val="Nosaukumi2"/>
              <w:framePr w:wrap="around"/>
            </w:pPr>
            <w:r w:rsidRPr="00ED18EB">
              <w:t>Lekciju stundu skaits</w:t>
            </w:r>
          </w:p>
        </w:tc>
        <w:tc>
          <w:tcPr>
            <w:tcW w:w="5102" w:type="dxa"/>
          </w:tcPr>
          <w:p w:rsidR="00965FA8" w:rsidRPr="00ED18EB" w:rsidRDefault="00965FA8" w:rsidP="005E54E7">
            <w:pPr>
              <w:shd w:val="clear" w:color="auto" w:fill="auto"/>
            </w:pPr>
            <w:r w:rsidRPr="00ED18EB">
              <w:rPr>
                <w:szCs w:val="22"/>
              </w:rPr>
              <w:t>12</w:t>
            </w:r>
          </w:p>
        </w:tc>
      </w:tr>
      <w:tr w:rsidR="00965FA8" w:rsidRPr="00ED18EB" w:rsidTr="005E54E7">
        <w:tc>
          <w:tcPr>
            <w:tcW w:w="4219" w:type="dxa"/>
          </w:tcPr>
          <w:p w:rsidR="00965FA8" w:rsidRPr="00ED18EB" w:rsidRDefault="00965FA8" w:rsidP="005E54E7">
            <w:pPr>
              <w:pStyle w:val="Nosaukumi2"/>
              <w:framePr w:wrap="around"/>
            </w:pPr>
            <w:r w:rsidRPr="00ED18EB">
              <w:t>Semināru stundu skaits</w:t>
            </w:r>
          </w:p>
        </w:tc>
        <w:tc>
          <w:tcPr>
            <w:tcW w:w="5102" w:type="dxa"/>
          </w:tcPr>
          <w:p w:rsidR="00965FA8" w:rsidRPr="00ED18EB" w:rsidRDefault="00965FA8" w:rsidP="005E54E7">
            <w:pPr>
              <w:shd w:val="clear" w:color="auto" w:fill="auto"/>
            </w:pPr>
            <w:r w:rsidRPr="00ED18EB">
              <w:rPr>
                <w:szCs w:val="22"/>
              </w:rPr>
              <w:t>4</w:t>
            </w:r>
          </w:p>
        </w:tc>
      </w:tr>
      <w:tr w:rsidR="00965FA8" w:rsidRPr="00ED18EB" w:rsidTr="005E54E7">
        <w:tc>
          <w:tcPr>
            <w:tcW w:w="4219" w:type="dxa"/>
          </w:tcPr>
          <w:p w:rsidR="00965FA8" w:rsidRPr="00ED18EB" w:rsidRDefault="00965FA8" w:rsidP="005E54E7">
            <w:pPr>
              <w:pStyle w:val="Nosaukumi2"/>
              <w:framePr w:wrap="around"/>
            </w:pPr>
            <w:r w:rsidRPr="00ED18EB">
              <w:t>Praktisko darbu stundu skaits</w:t>
            </w:r>
          </w:p>
        </w:tc>
        <w:tc>
          <w:tcPr>
            <w:tcW w:w="5102" w:type="dxa"/>
          </w:tcPr>
          <w:p w:rsidR="00965FA8" w:rsidRPr="00ED18EB" w:rsidRDefault="00965FA8" w:rsidP="005E54E7">
            <w:pPr>
              <w:shd w:val="clear" w:color="auto" w:fill="auto"/>
            </w:pPr>
          </w:p>
        </w:tc>
      </w:tr>
      <w:tr w:rsidR="00965FA8" w:rsidRPr="00ED18EB" w:rsidTr="005E54E7">
        <w:tc>
          <w:tcPr>
            <w:tcW w:w="4219" w:type="dxa"/>
          </w:tcPr>
          <w:p w:rsidR="00965FA8" w:rsidRPr="00ED18EB" w:rsidRDefault="00965FA8" w:rsidP="005E54E7">
            <w:pPr>
              <w:pStyle w:val="Nosaukumi2"/>
              <w:framePr w:wrap="around"/>
            </w:pPr>
            <w:r w:rsidRPr="00ED18EB">
              <w:t>Laboratorijas darbu stundu skaits</w:t>
            </w:r>
          </w:p>
        </w:tc>
        <w:tc>
          <w:tcPr>
            <w:tcW w:w="5102" w:type="dxa"/>
          </w:tcPr>
          <w:p w:rsidR="00965FA8" w:rsidRPr="00ED18EB" w:rsidRDefault="00965FA8" w:rsidP="005E54E7">
            <w:pPr>
              <w:shd w:val="clear" w:color="auto" w:fill="auto"/>
            </w:pPr>
          </w:p>
        </w:tc>
      </w:tr>
      <w:tr w:rsidR="00965FA8" w:rsidRPr="00ED18EB" w:rsidTr="005E54E7">
        <w:tc>
          <w:tcPr>
            <w:tcW w:w="4219" w:type="dxa"/>
          </w:tcPr>
          <w:p w:rsidR="00965FA8" w:rsidRPr="00ED18EB" w:rsidRDefault="00965FA8" w:rsidP="005E54E7">
            <w:pPr>
              <w:pStyle w:val="Nosaukumi2"/>
              <w:framePr w:wrap="around"/>
            </w:pPr>
            <w:r w:rsidRPr="00ED18EB">
              <w:t>Studējošā patstāvīgā darba stundu skaits</w:t>
            </w:r>
          </w:p>
        </w:tc>
        <w:tc>
          <w:tcPr>
            <w:tcW w:w="5102" w:type="dxa"/>
            <w:vAlign w:val="center"/>
          </w:tcPr>
          <w:p w:rsidR="00965FA8" w:rsidRPr="00ED18EB" w:rsidRDefault="00965FA8" w:rsidP="005E54E7">
            <w:pPr>
              <w:shd w:val="clear" w:color="auto" w:fill="auto"/>
              <w:rPr>
                <w:lang w:eastAsia="lv-LV"/>
              </w:rPr>
            </w:pPr>
            <w:r w:rsidRPr="00ED18EB">
              <w:rPr>
                <w:szCs w:val="22"/>
              </w:rPr>
              <w:t>24</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965FA8" w:rsidRPr="00ED18EB" w:rsidTr="005E54E7">
        <w:tc>
          <w:tcPr>
            <w:tcW w:w="9320" w:type="dxa"/>
          </w:tcPr>
          <w:p w:rsidR="00965FA8" w:rsidRPr="00ED18EB" w:rsidRDefault="00965FA8" w:rsidP="005E54E7">
            <w:pPr>
              <w:shd w:val="clear" w:color="auto" w:fill="auto"/>
              <w:rPr>
                <w:lang w:eastAsia="lv-LV"/>
              </w:rPr>
            </w:pPr>
          </w:p>
        </w:tc>
      </w:tr>
      <w:tr w:rsidR="00965FA8" w:rsidRPr="00ED18EB" w:rsidTr="005E54E7">
        <w:tc>
          <w:tcPr>
            <w:tcW w:w="9320" w:type="dxa"/>
          </w:tcPr>
          <w:p w:rsidR="00965FA8" w:rsidRPr="00ED18EB" w:rsidRDefault="00965FA8" w:rsidP="005E54E7">
            <w:pPr>
              <w:pStyle w:val="Nosaukumi"/>
            </w:pPr>
            <w:r w:rsidRPr="00ED18EB">
              <w:t>Kursa autors(–i)</w:t>
            </w:r>
          </w:p>
        </w:tc>
      </w:tr>
      <w:tr w:rsidR="00965FA8" w:rsidRPr="00ED18EB" w:rsidTr="005E54E7">
        <w:tc>
          <w:tcPr>
            <w:tcW w:w="9320" w:type="dxa"/>
          </w:tcPr>
          <w:p w:rsidR="00965FA8" w:rsidRPr="00ED18EB" w:rsidRDefault="00965FA8" w:rsidP="005E54E7">
            <w:pPr>
              <w:shd w:val="clear" w:color="auto" w:fill="auto"/>
            </w:pPr>
            <w:r w:rsidRPr="00ED18EB">
              <w:rPr>
                <w:szCs w:val="22"/>
              </w:rPr>
              <w:t>Dr. art., asoc. viesprofesore Baiba Jaunslaviete</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Kursa docētājs(–i)</w:t>
            </w:r>
          </w:p>
        </w:tc>
      </w:tr>
      <w:tr w:rsidR="00965FA8" w:rsidRPr="00ED18EB" w:rsidTr="005E54E7">
        <w:tc>
          <w:tcPr>
            <w:tcW w:w="9320" w:type="dxa"/>
          </w:tcPr>
          <w:p w:rsidR="00965FA8" w:rsidRPr="00ED18EB" w:rsidRDefault="00965FA8" w:rsidP="005E54E7">
            <w:pPr>
              <w:shd w:val="clear" w:color="auto" w:fill="auto"/>
            </w:pPr>
            <w:r w:rsidRPr="00ED18EB">
              <w:rPr>
                <w:szCs w:val="22"/>
              </w:rPr>
              <w:t>Dr. art., asoc. viesprofesore Baiba Jaunslaviete</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Priekšzināšanas</w:t>
            </w:r>
          </w:p>
        </w:tc>
      </w:tr>
      <w:tr w:rsidR="00965FA8" w:rsidRPr="00ED18EB" w:rsidTr="005E54E7">
        <w:tc>
          <w:tcPr>
            <w:tcW w:w="9320" w:type="dxa"/>
          </w:tcPr>
          <w:p w:rsidR="00965FA8" w:rsidRPr="00ED18EB" w:rsidRDefault="00965FA8" w:rsidP="005E54E7">
            <w:pPr>
              <w:shd w:val="clear" w:color="auto" w:fill="auto"/>
            </w:pPr>
            <w:r w:rsidRPr="00ED18EB">
              <w:rPr>
                <w:szCs w:val="22"/>
              </w:rPr>
              <w:t>MākZ3058 Mūzikas semiotika I</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 xml:space="preserve">Studiju kursa anotācija </w:t>
            </w:r>
          </w:p>
        </w:tc>
      </w:tr>
      <w:tr w:rsidR="00965FA8" w:rsidRPr="00ED18EB" w:rsidTr="005E54E7">
        <w:tc>
          <w:tcPr>
            <w:tcW w:w="9320" w:type="dxa"/>
          </w:tcPr>
          <w:p w:rsidR="00965FA8" w:rsidRPr="00ED18EB" w:rsidRDefault="00965FA8" w:rsidP="005E54E7">
            <w:pPr>
              <w:shd w:val="clear" w:color="auto" w:fill="auto"/>
              <w:rPr>
                <w:b/>
                <w:i/>
              </w:rPr>
            </w:pPr>
            <w:r w:rsidRPr="00ED18EB">
              <w:rPr>
                <w:b/>
                <w:i/>
                <w:szCs w:val="22"/>
                <w:shd w:val="clear" w:color="auto" w:fill="FFFFFF"/>
              </w:rPr>
              <w:t xml:space="preserve">Studiju kurss tiek </w:t>
            </w:r>
            <w:proofErr w:type="gramStart"/>
            <w:r w:rsidRPr="00ED18EB">
              <w:rPr>
                <w:b/>
                <w:i/>
                <w:szCs w:val="22"/>
                <w:shd w:val="clear" w:color="auto" w:fill="FFFFFF"/>
              </w:rPr>
              <w:t>realizēts modulī “</w:t>
            </w:r>
            <w:r w:rsidRPr="00ED18EB">
              <w:rPr>
                <w:b/>
                <w:i/>
                <w:szCs w:val="22"/>
              </w:rPr>
              <w:t>Vispārējā un Latvijas mūzikas vēsture”</w:t>
            </w:r>
            <w:proofErr w:type="gramEnd"/>
            <w:r w:rsidRPr="00ED18EB">
              <w:rPr>
                <w:b/>
                <w:i/>
                <w:szCs w:val="22"/>
              </w:rPr>
              <w:t>.</w:t>
            </w:r>
          </w:p>
          <w:p w:rsidR="00965FA8" w:rsidRPr="00ED18EB" w:rsidRDefault="00965FA8" w:rsidP="005E54E7">
            <w:pPr>
              <w:shd w:val="clear" w:color="auto" w:fill="auto"/>
            </w:pPr>
            <w:r w:rsidRPr="00ED18EB">
              <w:rPr>
                <w:szCs w:val="22"/>
              </w:rPr>
              <w:t>Kurss paredzēts profesionālās bakalaura studiju programmas “Mūzika” studējošajiem.</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KURSA MĒRĶIS – veidot vispusīgu priekšstatu par mūzikas semiotiku un tās pavērtajām iespējām skaņdarba un tā interpretācijas analīzē.</w:t>
            </w:r>
          </w:p>
          <w:p w:rsidR="00965FA8" w:rsidRPr="00ED18EB" w:rsidRDefault="00965FA8" w:rsidP="005E54E7">
            <w:pPr>
              <w:shd w:val="clear" w:color="auto" w:fill="auto"/>
            </w:pPr>
            <w:r w:rsidRPr="00ED18EB">
              <w:rPr>
                <w:szCs w:val="22"/>
              </w:rPr>
              <w:t>KURSA UZDEVUMI:</w:t>
            </w:r>
          </w:p>
          <w:p w:rsidR="00965FA8" w:rsidRPr="00ED18EB" w:rsidRDefault="00965FA8" w:rsidP="005E54E7">
            <w:pPr>
              <w:shd w:val="clear" w:color="auto" w:fill="auto"/>
            </w:pPr>
            <w:r w:rsidRPr="00ED18EB">
              <w:rPr>
                <w:szCs w:val="22"/>
              </w:rPr>
              <w:t>1. Iepazīstināt ar nozīmīgākajām mūzikas semiotikas teorijas nostādnēm saiknē ar šīs zinātnes nozares vēsturisko attīstību.</w:t>
            </w:r>
          </w:p>
          <w:p w:rsidR="00965FA8" w:rsidRPr="00ED18EB" w:rsidRDefault="00965FA8" w:rsidP="005E54E7">
            <w:pPr>
              <w:shd w:val="clear" w:color="auto" w:fill="auto"/>
            </w:pPr>
            <w:r w:rsidRPr="00ED18EB">
              <w:rPr>
                <w:szCs w:val="22"/>
              </w:rPr>
              <w:t>2. Attīstīt pašu studējošo iemaņas mūzikas un atskaņotājmākslas semiotiskā analīzē, kas ļauj argumentēti izvērtēt dažādu interpretācijas variantu pamatotību.</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Studiju kursa kalendārais plāns</w:t>
            </w:r>
          </w:p>
        </w:tc>
      </w:tr>
      <w:tr w:rsidR="00965FA8" w:rsidRPr="00ED18EB" w:rsidTr="005E54E7">
        <w:tc>
          <w:tcPr>
            <w:tcW w:w="9320" w:type="dxa"/>
          </w:tcPr>
          <w:p w:rsidR="00965FA8" w:rsidRPr="00ED18EB" w:rsidRDefault="00965FA8" w:rsidP="005E54E7">
            <w:pPr>
              <w:shd w:val="clear" w:color="auto" w:fill="auto"/>
            </w:pPr>
            <w:r w:rsidRPr="00ED18EB">
              <w:rPr>
                <w:szCs w:val="22"/>
              </w:rPr>
              <w:t>VI semestris</w:t>
            </w:r>
          </w:p>
          <w:p w:rsidR="00965FA8" w:rsidRPr="00ED18EB" w:rsidRDefault="00965FA8" w:rsidP="005E54E7">
            <w:pPr>
              <w:shd w:val="clear" w:color="auto" w:fill="auto"/>
            </w:pPr>
            <w:r w:rsidRPr="00ED18EB">
              <w:rPr>
                <w:szCs w:val="22"/>
              </w:rPr>
              <w:t>Kursa struktūra: lekcijas (L) – 12 stundas, semināri (S) – 4 stundas, patstāvīgais darbs (Pd) – 24 stundas</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1. Skaņdarba semiotiskas analīzes pamatprincipi. L3, S1</w:t>
            </w:r>
          </w:p>
          <w:p w:rsidR="00965FA8" w:rsidRPr="00ED18EB" w:rsidRDefault="00965FA8" w:rsidP="005E54E7">
            <w:pPr>
              <w:shd w:val="clear" w:color="auto" w:fill="auto"/>
            </w:pPr>
            <w:r w:rsidRPr="00ED18EB">
              <w:rPr>
                <w:szCs w:val="22"/>
              </w:rPr>
              <w:lastRenderedPageBreak/>
              <w:t xml:space="preserve">2. Skaņdarba interpretācijas semiotiskas analīzes pamatprincipi. L3, S1 </w:t>
            </w:r>
          </w:p>
          <w:p w:rsidR="00965FA8" w:rsidRPr="00ED18EB" w:rsidRDefault="00965FA8" w:rsidP="005E54E7">
            <w:pPr>
              <w:shd w:val="clear" w:color="auto" w:fill="auto"/>
            </w:pPr>
            <w:r w:rsidRPr="00ED18EB">
              <w:rPr>
                <w:szCs w:val="22"/>
              </w:rPr>
              <w:t>3. Mūzikas semiotikas loma laikmeta kultūrvēsturiskā konteksta izpratnē. L3, S1</w:t>
            </w:r>
          </w:p>
          <w:p w:rsidR="00965FA8" w:rsidRPr="00ED18EB" w:rsidRDefault="00965FA8" w:rsidP="005E54E7">
            <w:pPr>
              <w:shd w:val="clear" w:color="auto" w:fill="auto"/>
            </w:pPr>
            <w:r w:rsidRPr="00ED18EB">
              <w:rPr>
                <w:szCs w:val="22"/>
              </w:rPr>
              <w:t>4. Mūzikas semiotikas loma komponista un atskaņotājmākslinieka individuālā stila izpratnē. L3, S1</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lastRenderedPageBreak/>
              <w:t>Studiju rezultāti</w:t>
            </w:r>
          </w:p>
        </w:tc>
      </w:tr>
      <w:tr w:rsidR="00965FA8" w:rsidRPr="00ED18EB" w:rsidTr="005E54E7">
        <w:tc>
          <w:tcPr>
            <w:tcW w:w="9320" w:type="dxa"/>
          </w:tcPr>
          <w:p w:rsidR="00965FA8" w:rsidRPr="00ED18EB" w:rsidRDefault="00965FA8" w:rsidP="005E54E7">
            <w:pPr>
              <w:shd w:val="clear" w:color="auto" w:fill="auto"/>
            </w:pPr>
            <w:r w:rsidRPr="00ED18EB">
              <w:rPr>
                <w:szCs w:val="22"/>
              </w:rPr>
              <w:t>ZINĀŠANAS</w:t>
            </w:r>
            <w:r w:rsidRPr="00ED18EB">
              <w:rPr>
                <w:szCs w:val="22"/>
                <w:lang w:eastAsia="ru-RU"/>
              </w:rPr>
              <w:t xml:space="preserve"> </w:t>
            </w:r>
          </w:p>
          <w:p w:rsidR="00965FA8" w:rsidRPr="00ED18EB" w:rsidRDefault="00965FA8" w:rsidP="005E54E7">
            <w:pPr>
              <w:shd w:val="clear" w:color="auto" w:fill="auto"/>
            </w:pPr>
            <w:r w:rsidRPr="00ED18EB">
              <w:rPr>
                <w:szCs w:val="22"/>
              </w:rPr>
              <w:t>1. Pārzina mūzikas semiotikas terminoloģiju.</w:t>
            </w:r>
          </w:p>
          <w:p w:rsidR="00965FA8" w:rsidRPr="00ED18EB" w:rsidRDefault="00965FA8" w:rsidP="005E54E7">
            <w:pPr>
              <w:shd w:val="clear" w:color="auto" w:fill="auto"/>
            </w:pPr>
            <w:r w:rsidRPr="00ED18EB">
              <w:rPr>
                <w:szCs w:val="22"/>
              </w:rPr>
              <w:t>2. Pārzina vēsturiski nozīmīgākās zīmju sistēmas dažādu laikmetu mūzikā.</w:t>
            </w:r>
          </w:p>
          <w:p w:rsidR="00965FA8" w:rsidRPr="00ED18EB" w:rsidRDefault="00965FA8" w:rsidP="005E54E7">
            <w:pPr>
              <w:shd w:val="clear" w:color="auto" w:fill="auto"/>
            </w:pPr>
            <w:r w:rsidRPr="00ED18EB">
              <w:rPr>
                <w:szCs w:val="22"/>
              </w:rPr>
              <w:t>3. Prot sasaistīt mūzikas semiotiku ar citiem mūzikas vēstures un teorijas kursiem un specialitāti.</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PRASMES</w:t>
            </w:r>
            <w:r w:rsidRPr="00ED18EB">
              <w:rPr>
                <w:szCs w:val="22"/>
                <w:lang w:eastAsia="ru-RU"/>
              </w:rPr>
              <w:t xml:space="preserve"> </w:t>
            </w:r>
          </w:p>
          <w:p w:rsidR="00965FA8" w:rsidRPr="00ED18EB" w:rsidRDefault="00965FA8" w:rsidP="005E54E7">
            <w:pPr>
              <w:shd w:val="clear" w:color="auto" w:fill="auto"/>
            </w:pPr>
            <w:r w:rsidRPr="00ED18EB">
              <w:rPr>
                <w:szCs w:val="22"/>
              </w:rPr>
              <w:t>4. Prasme semiotiski analizēt dažādu laikmetu skaņdarbus un to interpretācijas saiknē ar kultūrvēsturisko kontekstu.</w:t>
            </w:r>
          </w:p>
          <w:p w:rsidR="00965FA8" w:rsidRPr="00ED18EB" w:rsidRDefault="00965FA8" w:rsidP="005E54E7">
            <w:pPr>
              <w:shd w:val="clear" w:color="auto" w:fill="auto"/>
            </w:pPr>
            <w:r w:rsidRPr="00ED18EB">
              <w:rPr>
                <w:szCs w:val="22"/>
              </w:rPr>
              <w:t>5. Prasme semiotiski analizēt dažādu laikmetu skaņdarbus un to interpretācijas saiknē ar komponista/atskaņotājmākslinieka</w:t>
            </w:r>
            <w:proofErr w:type="gramStart"/>
            <w:r w:rsidRPr="00ED18EB">
              <w:rPr>
                <w:szCs w:val="22"/>
              </w:rPr>
              <w:t xml:space="preserve">  </w:t>
            </w:r>
            <w:proofErr w:type="gramEnd"/>
            <w:r w:rsidRPr="00ED18EB">
              <w:rPr>
                <w:szCs w:val="22"/>
              </w:rPr>
              <w:t>individuālo stilu.</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KOMPETENCE</w:t>
            </w:r>
          </w:p>
          <w:p w:rsidR="00965FA8" w:rsidRPr="00ED18EB" w:rsidRDefault="00965FA8" w:rsidP="005E54E7">
            <w:pPr>
              <w:shd w:val="clear" w:color="auto" w:fill="auto"/>
            </w:pPr>
            <w:r w:rsidRPr="00ED18EB">
              <w:rPr>
                <w:szCs w:val="22"/>
              </w:rPr>
              <w:t xml:space="preserve">6. Demonstrē izpratni par dažādu mūzikas valodas līdzekļu </w:t>
            </w:r>
            <w:proofErr w:type="gramStart"/>
            <w:r w:rsidRPr="00ED18EB">
              <w:rPr>
                <w:szCs w:val="22"/>
              </w:rPr>
              <w:t>(</w:t>
            </w:r>
            <w:proofErr w:type="gramEnd"/>
            <w:r w:rsidRPr="00ED18EB">
              <w:rPr>
                <w:szCs w:val="22"/>
              </w:rPr>
              <w:t>harmonijas, melodikas, faktūras, ritma u. c.) un formas aspektu lomu semiotiskā vēstījuma veidošanā.</w:t>
            </w:r>
          </w:p>
          <w:p w:rsidR="00965FA8" w:rsidRPr="00ED18EB" w:rsidRDefault="00965FA8" w:rsidP="005E54E7">
            <w:pPr>
              <w:shd w:val="clear" w:color="auto" w:fill="auto"/>
            </w:pPr>
            <w:r w:rsidRPr="00ED18EB">
              <w:rPr>
                <w:szCs w:val="22"/>
              </w:rPr>
              <w:t>7. Demonstrē izpratni par dažādu atskaņojuma līdzekļu (tempa, dinamikas, agoģikas, artikulācijas utt.) lomu semiotiskā vēstījuma veidošanā.</w:t>
            </w:r>
          </w:p>
          <w:p w:rsidR="00965FA8" w:rsidRPr="00ED18EB" w:rsidRDefault="00965FA8" w:rsidP="005E54E7">
            <w:pPr>
              <w:shd w:val="clear" w:color="auto" w:fill="auto"/>
            </w:pPr>
            <w:r w:rsidRPr="00ED18EB">
              <w:rPr>
                <w:szCs w:val="22"/>
              </w:rPr>
              <w:t>8. Iegūtās zināšanas izmanto profesionālajā darbībā, veidojot vispusīgā semiotiskā analīzē balstītus skaņdarba interpretācijas variantus.</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rPr>
                <w:lang w:val="lv-LV"/>
              </w:rPr>
            </w:pPr>
            <w:r w:rsidRPr="00ED18EB">
              <w:rPr>
                <w:lang w:val="lv-LV"/>
              </w:rPr>
              <w:t>Studējošo patstāvīgo darbu organizācijas un uzdevumu raksturojums</w:t>
            </w:r>
          </w:p>
        </w:tc>
      </w:tr>
      <w:tr w:rsidR="00965FA8" w:rsidRPr="00ED18EB" w:rsidTr="005E54E7">
        <w:tc>
          <w:tcPr>
            <w:tcW w:w="9320" w:type="dxa"/>
          </w:tcPr>
          <w:p w:rsidR="00965FA8" w:rsidRPr="00ED18EB" w:rsidRDefault="00965FA8" w:rsidP="005E54E7">
            <w:pPr>
              <w:shd w:val="clear" w:color="auto" w:fill="auto"/>
            </w:pPr>
            <w:r w:rsidRPr="00ED18EB">
              <w:rPr>
                <w:szCs w:val="22"/>
              </w:rPr>
              <w:t>Studējošo patstāvīgais darbs (Pd) 24 stundas:</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 teorētiskās literatūras studijas;</w:t>
            </w:r>
          </w:p>
          <w:p w:rsidR="00965FA8" w:rsidRPr="00ED18EB" w:rsidRDefault="00965FA8" w:rsidP="005E54E7">
            <w:pPr>
              <w:shd w:val="clear" w:color="auto" w:fill="auto"/>
            </w:pPr>
            <w:r w:rsidRPr="00ED18EB">
              <w:rPr>
                <w:szCs w:val="22"/>
              </w:rPr>
              <w:t>• dažādu stilu, žanru un kompozīcijas tehniku skaņdarbu analīze mūzikas semiotikas rakursā;</w:t>
            </w:r>
          </w:p>
          <w:p w:rsidR="00965FA8" w:rsidRPr="00ED18EB" w:rsidRDefault="00965FA8" w:rsidP="005E54E7">
            <w:pPr>
              <w:shd w:val="clear" w:color="auto" w:fill="auto"/>
            </w:pPr>
            <w:r w:rsidRPr="00ED18EB">
              <w:rPr>
                <w:szCs w:val="22"/>
              </w:rPr>
              <w:t>• dažādu stilu, žanru un kompozīcijas tehniku skaņdarbu interpretāciju analīze mūzikas semiotikas rakursā;</w:t>
            </w:r>
          </w:p>
          <w:p w:rsidR="00965FA8" w:rsidRPr="00ED18EB" w:rsidRDefault="00965FA8" w:rsidP="005E54E7">
            <w:pPr>
              <w:shd w:val="clear" w:color="auto" w:fill="auto"/>
            </w:pPr>
            <w:r w:rsidRPr="00ED18EB">
              <w:rPr>
                <w:szCs w:val="22"/>
              </w:rPr>
              <w:t>• prezentāciju gatavošana nolūkā sniegt padziļinātu ieskatu atsevišķās tēmās.</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Prasības kredītpunktu iegūšanai</w:t>
            </w:r>
          </w:p>
        </w:tc>
      </w:tr>
      <w:tr w:rsidR="00965FA8" w:rsidRPr="00ED18EB" w:rsidTr="005E54E7">
        <w:tc>
          <w:tcPr>
            <w:tcW w:w="9320" w:type="dxa"/>
          </w:tcPr>
          <w:p w:rsidR="00965FA8" w:rsidRPr="00ED18EB" w:rsidRDefault="00965FA8" w:rsidP="005E54E7">
            <w:pPr>
              <w:shd w:val="clear" w:color="auto" w:fill="auto"/>
            </w:pPr>
            <w:r w:rsidRPr="00ED18EB">
              <w:rPr>
                <w:rStyle w:val="Style2Char"/>
                <w:szCs w:val="22"/>
              </w:rPr>
              <w:t>Pārbaudes veids</w:t>
            </w:r>
            <w:r w:rsidRPr="00ED18EB">
              <w:rPr>
                <w:szCs w:val="22"/>
              </w:rPr>
              <w:t xml:space="preserve"> – ieskaite ar atzīmi VI semestrī.</w:t>
            </w:r>
          </w:p>
          <w:p w:rsidR="00965FA8" w:rsidRPr="00ED18EB" w:rsidRDefault="00965FA8" w:rsidP="005E54E7">
            <w:pPr>
              <w:shd w:val="clear" w:color="auto" w:fill="auto"/>
            </w:pPr>
          </w:p>
          <w:p w:rsidR="00965FA8" w:rsidRPr="00ED18EB" w:rsidRDefault="00965FA8" w:rsidP="005E54E7">
            <w:pPr>
              <w:pStyle w:val="Style2"/>
            </w:pPr>
            <w:r w:rsidRPr="00ED18EB">
              <w:t>Pārbaudījuma prasības:</w:t>
            </w:r>
          </w:p>
          <w:p w:rsidR="00965FA8" w:rsidRPr="00ED18EB" w:rsidRDefault="00965FA8" w:rsidP="005E54E7">
            <w:pPr>
              <w:shd w:val="clear" w:color="auto" w:fill="auto"/>
            </w:pPr>
            <w:r w:rsidRPr="00ED18EB">
              <w:rPr>
                <w:szCs w:val="22"/>
              </w:rPr>
              <w:t>• regulārs un aktīvs darbs semināros, demonstrējot mūzikas semiotikas teorijas izpratni un prasmi izmantot to skaņdarbu un interpretāciju analīzē;</w:t>
            </w:r>
          </w:p>
          <w:p w:rsidR="00965FA8" w:rsidRPr="00ED18EB" w:rsidRDefault="00965FA8" w:rsidP="005E54E7">
            <w:pPr>
              <w:shd w:val="clear" w:color="auto" w:fill="auto"/>
            </w:pPr>
            <w:r w:rsidRPr="00ED18EB">
              <w:rPr>
                <w:szCs w:val="22"/>
              </w:rPr>
              <w:t>• kvalitatīvi izpildīti kursa programmā norādītie patstāvīgie darbi: prezentācijas par kādu no apgūtajiem literatūras avotiem; skaņdarba semiotiska analīze (pēc dotā plāna); skaņdarba interpretāciju salīdzinoša semiotiska analīze (pēc dotā plāna).</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 xml:space="preserve">Studējošo darbība studiju procesā mūzikas semiotikas kursā tiek vērtēta pēc šādiem komponentiem: </w:t>
            </w:r>
          </w:p>
          <w:p w:rsidR="00965FA8" w:rsidRPr="00ED18EB" w:rsidRDefault="00965FA8" w:rsidP="005E54E7">
            <w:pPr>
              <w:shd w:val="clear" w:color="auto" w:fill="auto"/>
            </w:pPr>
            <w:r w:rsidRPr="00ED18EB">
              <w:rPr>
                <w:szCs w:val="22"/>
              </w:rPr>
              <w:t>• mūzikas semiotikas teorijas un vēstures zināšanas, specifiskās terminoloģijas korekts lietojums;</w:t>
            </w:r>
          </w:p>
          <w:p w:rsidR="00965FA8" w:rsidRPr="00ED18EB" w:rsidRDefault="00965FA8" w:rsidP="005E54E7">
            <w:pPr>
              <w:shd w:val="clear" w:color="auto" w:fill="auto"/>
            </w:pPr>
            <w:r w:rsidRPr="00ED18EB">
              <w:rPr>
                <w:szCs w:val="22"/>
              </w:rPr>
              <w:t>• prasme semiotiski analizēt skaņdarba interpretāciju, saistot to ar mūzikas vēstures, harmonijas, polifonijas, mūzikas formas un specialitātes kursos apgūto vielu.</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STUDIJU REZULTĀTU VĒRTĒŠANAS KRITĒRIJI</w:t>
            </w:r>
          </w:p>
          <w:p w:rsidR="00965FA8" w:rsidRPr="00ED18EB" w:rsidRDefault="00965FA8" w:rsidP="005E54E7">
            <w:pPr>
              <w:shd w:val="clear" w:color="auto" w:fill="auto"/>
            </w:pPr>
            <w:r w:rsidRPr="00ED18EB">
              <w:rPr>
                <w:szCs w:val="22"/>
              </w:rPr>
              <w:t xml:space="preserve">Studiju kursa apguve tā noslēgumā tiek vērtēta 10 ballu skalā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 vadoties pēc šādiem kritērijiem: iegūto zināšanu apjoms un kvalitāte, iegūtās prasmes un kompetence atbilstoši plānotajiem studiju rezultātiem.</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lastRenderedPageBreak/>
              <w:t>Kursa saturs</w:t>
            </w:r>
          </w:p>
        </w:tc>
      </w:tr>
      <w:tr w:rsidR="00965FA8" w:rsidRPr="00ED18EB" w:rsidTr="005E54E7">
        <w:tc>
          <w:tcPr>
            <w:tcW w:w="9320" w:type="dxa"/>
          </w:tcPr>
          <w:p w:rsidR="00965FA8" w:rsidRPr="00ED18EB" w:rsidRDefault="00965FA8" w:rsidP="005E54E7">
            <w:pPr>
              <w:shd w:val="clear" w:color="auto" w:fill="auto"/>
            </w:pPr>
            <w:r w:rsidRPr="00ED18EB">
              <w:rPr>
                <w:szCs w:val="22"/>
              </w:rPr>
              <w:t>VI semestris</w:t>
            </w:r>
          </w:p>
          <w:p w:rsidR="00965FA8" w:rsidRPr="00ED18EB" w:rsidRDefault="00965FA8" w:rsidP="005E54E7">
            <w:pPr>
              <w:shd w:val="clear" w:color="auto" w:fill="auto"/>
            </w:pPr>
            <w:r w:rsidRPr="00ED18EB">
              <w:rPr>
                <w:szCs w:val="22"/>
              </w:rPr>
              <w:t>1. Skaņdarba semiotiskas analīzes pamatprincipi. Mūzikas formas un atsevišķu mūzikas valodas līdzekļu – melodikas, harmonijas, faktūras, ritma, tembra u. tml. – loma skaņdarbā kā zīmju sistēmā. L3</w:t>
            </w:r>
          </w:p>
          <w:p w:rsidR="00965FA8" w:rsidRPr="00ED18EB" w:rsidRDefault="00965FA8" w:rsidP="005E54E7">
            <w:pPr>
              <w:shd w:val="clear" w:color="auto" w:fill="auto"/>
            </w:pPr>
            <w:r w:rsidRPr="00ED18EB">
              <w:rPr>
                <w:szCs w:val="22"/>
              </w:rPr>
              <w:t>2. Seminārs: prezentācijas un pārrunas par studējošo analizētajiem dažādu stilu, žanru un kompozīcijas tehniku skaņdarbiem, pievēršot uzmanību 1) zīmēm, kurās noteicošā loma ir atsevišķam mūzikas valodas līdzeklim, 2) zīmēm, kas rodas dažādu mūzikas valodas līdzekļu mijiedarbes rezultātā. S1</w:t>
            </w:r>
          </w:p>
          <w:p w:rsidR="00965FA8" w:rsidRPr="00ED18EB" w:rsidRDefault="00965FA8" w:rsidP="005E54E7">
            <w:pPr>
              <w:shd w:val="clear" w:color="auto" w:fill="auto"/>
            </w:pPr>
            <w:r w:rsidRPr="00ED18EB">
              <w:rPr>
                <w:szCs w:val="22"/>
              </w:rPr>
              <w:t xml:space="preserve">3. Skaņdarba interpretācijas semiotiskas analīzes pamatprincipi. Aļģirda Greima formulētā semiotiskā kvadrāta ideja; tās adaptācija Ēro Tarasti un Līnas Navickaites–Martinelli pētījumos, kas veltīti atskaņotājmākslas semiotikai. Četras semiotiskā kvadrāta kategorijas (spēles tehnika – atskaņotājmākslinieka individualitātes/gribas izpausme – atbilstība tai vai citai atskaņotājmākslas tradīcijai – atbilstība autora iecerei) kā kodols skaņdarba interpretācijas semiotiskai analīzei. L3 </w:t>
            </w:r>
          </w:p>
          <w:p w:rsidR="00965FA8" w:rsidRPr="00ED18EB" w:rsidRDefault="00965FA8" w:rsidP="005E54E7">
            <w:pPr>
              <w:shd w:val="clear" w:color="auto" w:fill="auto"/>
            </w:pPr>
            <w:r w:rsidRPr="00ED18EB">
              <w:rPr>
                <w:szCs w:val="22"/>
              </w:rPr>
              <w:t xml:space="preserve">4. Seminārs: prezentācijas un pārrunas par studējošo analizētajām atsevišķu skaņdarbu interpretācijām, akcentējot salīdzinājuma aspektu, kā arī pievēršot uzmanību konkrētu atskaņojuma līdzekļu </w:t>
            </w:r>
            <w:proofErr w:type="gramStart"/>
            <w:r w:rsidRPr="00ED18EB">
              <w:rPr>
                <w:szCs w:val="22"/>
              </w:rPr>
              <w:t>(</w:t>
            </w:r>
            <w:proofErr w:type="gramEnd"/>
            <w:r w:rsidRPr="00ED18EB">
              <w:rPr>
                <w:szCs w:val="22"/>
              </w:rPr>
              <w:t>tempa izvēles, dinamikas, agoģikas, artikulācijas u. c.) lomai konkrētam interpretam vai tradīcijai raksturīgajā zīmju sistēmā. S1</w:t>
            </w:r>
          </w:p>
          <w:p w:rsidR="00965FA8" w:rsidRPr="00ED18EB" w:rsidRDefault="00965FA8" w:rsidP="005E54E7">
            <w:pPr>
              <w:shd w:val="clear" w:color="auto" w:fill="auto"/>
            </w:pPr>
            <w:r w:rsidRPr="00ED18EB">
              <w:rPr>
                <w:szCs w:val="22"/>
              </w:rPr>
              <w:t>5. Mūzikas semiotikas loma laikmeta kultūrvēsturiskā konteksta izpratnē. Skaņdarbā un tā interpretācijā ietverto zīmju saikne ar konkrētu laiku un vietu – nacionālo vai reģionālo kultūru, sabiedriski politiskajiem notikumiem, vispārpieņemtiem estētiskajiem ideāliem, kas ietekmējuši skaņdarbu vai tā interpretāciju,</w:t>
            </w:r>
            <w:proofErr w:type="gramStart"/>
            <w:r w:rsidRPr="00ED18EB">
              <w:rPr>
                <w:szCs w:val="22"/>
              </w:rPr>
              <w:t xml:space="preserve">  </w:t>
            </w:r>
            <w:proofErr w:type="gramEnd"/>
            <w:r w:rsidRPr="00ED18EB">
              <w:rPr>
                <w:szCs w:val="22"/>
              </w:rPr>
              <w:t>konkrētām mūzikas un mūzikas izglītības institūcijām; u. tml. L3</w:t>
            </w:r>
          </w:p>
          <w:p w:rsidR="00965FA8" w:rsidRPr="00ED18EB" w:rsidRDefault="00965FA8" w:rsidP="005E54E7">
            <w:pPr>
              <w:shd w:val="clear" w:color="auto" w:fill="auto"/>
            </w:pPr>
            <w:r w:rsidRPr="00ED18EB">
              <w:rPr>
                <w:szCs w:val="22"/>
              </w:rPr>
              <w:t>6. Seminārs: prezentācijas un pārrunas par studējošo analizētajiem skaņdarbiem un to interpretācijām, saistot analīzē gūtos rezultātus ar studējošo iepazīto literatūru par konkrētā laikmeta kultūrvēsturisko kontekstu. S1</w:t>
            </w:r>
          </w:p>
          <w:p w:rsidR="00965FA8" w:rsidRPr="00ED18EB" w:rsidRDefault="00965FA8" w:rsidP="005E54E7">
            <w:pPr>
              <w:shd w:val="clear" w:color="auto" w:fill="auto"/>
            </w:pPr>
            <w:r w:rsidRPr="00ED18EB">
              <w:rPr>
                <w:szCs w:val="22"/>
              </w:rPr>
              <w:t>7. Mūzikas semiotikas loma komponista un atskaņotājmākslinieka individuālā stila izpratnē. Iekšējie un ārējie determinanti, kas nosaka komponista/atskaņotājmākslinieka stilu. Konverģences un diverģences loma mūzikas stilā, to savstarpējā mijiedarbe. L3</w:t>
            </w:r>
          </w:p>
          <w:p w:rsidR="00965FA8" w:rsidRPr="00ED18EB" w:rsidRDefault="00965FA8" w:rsidP="005E54E7">
            <w:pPr>
              <w:shd w:val="clear" w:color="auto" w:fill="auto"/>
            </w:pPr>
            <w:r w:rsidRPr="00ED18EB">
              <w:rPr>
                <w:szCs w:val="22"/>
              </w:rPr>
              <w:t xml:space="preserve">8. Seminārs: prezentācijas un pārrunas par studējošo analizētajiem skaņdarbiem un to interpretācijām, saistot analīzē gūtos rezultātus ar studējošo iepazīto literatūru par konkrētā mūziķa biogrāfiju un personību. Skaņdarbi izraugāmi, pievēršot uzmanību arī konkrēta komponista zīmju sistēmas specifikai </w:t>
            </w:r>
            <w:proofErr w:type="gramStart"/>
            <w:r w:rsidRPr="00ED18EB">
              <w:rPr>
                <w:szCs w:val="22"/>
              </w:rPr>
              <w:t>(</w:t>
            </w:r>
            <w:proofErr w:type="gramEnd"/>
            <w:r w:rsidRPr="00ED18EB">
              <w:rPr>
                <w:szCs w:val="22"/>
              </w:rPr>
              <w:t>piemēram, krusta figūra u. c. simboli J. S. Baha mūzikā; monogrammas, piemēram D–Es–C–H Dmitrija Šostakoviča mūzikā; u. tml.).</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Obligāti izmantojamie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t>Cumming, N. (2001). Semiotics. In: The New Grove Dictionary of Music and Musicians, Vol. 23. London: Macmillan. Pieejams arī Grove Music Online</w:t>
            </w:r>
          </w:p>
          <w:p w:rsidR="00965FA8" w:rsidRPr="00ED18EB" w:rsidRDefault="00965FA8" w:rsidP="005E54E7">
            <w:pPr>
              <w:shd w:val="clear" w:color="auto" w:fill="auto"/>
            </w:pPr>
            <w:r w:rsidRPr="00ED18EB">
              <w:rPr>
                <w:szCs w:val="22"/>
              </w:rPr>
              <w:t xml:space="preserve">Kruks, S. (2017). Dmitrija Šostakoviča Astotā stīgu kvarteta pragmatika. Krāj. "Mūzikas akadēmijas raksti", XIV, 61.–78. lpp. Pieejams: </w:t>
            </w:r>
            <w:hyperlink r:id="rId7" w:history="1">
              <w:r w:rsidRPr="00ED18EB">
                <w:rPr>
                  <w:rStyle w:val="Hyperlink"/>
                  <w:szCs w:val="22"/>
                </w:rPr>
                <w:t>https://www.jvlma.lv/data/sadala_muzikas_akademijas_raksti/2017.pdf</w:t>
              </w:r>
            </w:hyperlink>
            <w:r w:rsidRPr="00ED18EB">
              <w:rPr>
                <w:szCs w:val="22"/>
              </w:rPr>
              <w:t xml:space="preserve"> </w:t>
            </w:r>
          </w:p>
          <w:p w:rsidR="00965FA8" w:rsidRPr="00ED18EB" w:rsidRDefault="00965FA8" w:rsidP="005E54E7">
            <w:pPr>
              <w:shd w:val="clear" w:color="auto" w:fill="auto"/>
            </w:pPr>
            <w:r w:rsidRPr="00ED18EB">
              <w:rPr>
                <w:szCs w:val="22"/>
              </w:rPr>
              <w:t xml:space="preserve">Navickaitė–Martinelli, L. (2014). Piano Performance in a Semiotic Key: Society, Musical Canon and Novel Discourses. Helsinki: Semiotic Society of Finland. Pieejams: </w:t>
            </w:r>
            <w:hyperlink r:id="rId8" w:history="1">
              <w:r w:rsidRPr="00ED18EB">
                <w:rPr>
                  <w:rStyle w:val="Hyperlink"/>
                  <w:szCs w:val="22"/>
                </w:rPr>
                <w:t>https://helda.helsinki.fi/bitstream/handle/10138/136475/pianoper.pdf?sequence=1</w:t>
              </w:r>
            </w:hyperlink>
          </w:p>
          <w:p w:rsidR="00965FA8" w:rsidRPr="00ED18EB" w:rsidRDefault="00965FA8" w:rsidP="005E54E7">
            <w:pPr>
              <w:shd w:val="clear" w:color="auto" w:fill="auto"/>
            </w:pPr>
            <w:r w:rsidRPr="00ED18EB">
              <w:rPr>
                <w:szCs w:val="22"/>
              </w:rPr>
              <w:t xml:space="preserve">Pētersone, L. (2018). "Klavieru trio Latvijas atskaņotājmākslā". Promocijas darbs (JVLMA). 1.1. nodaļa: "Semiotikas skatpunkts", 13.–21. lpp. Pieejams: </w:t>
            </w:r>
            <w:hyperlink r:id="rId9" w:history="1">
              <w:r w:rsidRPr="00ED18EB">
                <w:rPr>
                  <w:rStyle w:val="Hyperlink"/>
                  <w:szCs w:val="22"/>
                </w:rPr>
                <w:t>http://www.music.lv/userdata/8/Liga_Petersone_Promocijas_darbs.pdf</w:t>
              </w:r>
            </w:hyperlink>
          </w:p>
          <w:p w:rsidR="00965FA8" w:rsidRPr="00ED18EB" w:rsidRDefault="00965FA8" w:rsidP="005E54E7">
            <w:pPr>
              <w:shd w:val="clear" w:color="auto" w:fill="auto"/>
              <w:rPr>
                <w:rStyle w:val="Hyperlink"/>
              </w:rPr>
            </w:pPr>
            <w:r w:rsidRPr="00ED18EB">
              <w:rPr>
                <w:szCs w:val="22"/>
              </w:rPr>
              <w:t xml:space="preserve">Salgar, O. H. (2016). Musical Semiotics as a Tool for the Social Study of Music. In "Ethnomusicology Translations" No. 2. Pieejams: </w:t>
            </w:r>
            <w:hyperlink r:id="rId10" w:history="1">
              <w:r w:rsidRPr="00ED18EB">
                <w:rPr>
                  <w:rStyle w:val="Hyperlink"/>
                  <w:szCs w:val="22"/>
                </w:rPr>
                <w:t>https://pdfs.semanticscholar.org/e5ff/1a4a4d188dcb7155c52b50f0ffda9f00d244.pdf</w:t>
              </w:r>
            </w:hyperlink>
          </w:p>
          <w:p w:rsidR="00965FA8" w:rsidRPr="00ED18EB" w:rsidRDefault="00965FA8" w:rsidP="005E54E7">
            <w:pPr>
              <w:shd w:val="clear" w:color="auto" w:fill="auto"/>
            </w:pPr>
            <w:r w:rsidRPr="00ED18EB">
              <w:rPr>
                <w:szCs w:val="22"/>
              </w:rPr>
              <w:t xml:space="preserve">Tarasti, E. (2018). Musical Semiotics – a Discipline, its History and Theories, Past and Present (online publication; DOI </w:t>
            </w:r>
            <w:hyperlink r:id="rId11" w:history="1">
              <w:r w:rsidRPr="00ED18EB">
                <w:rPr>
                  <w:rStyle w:val="Hyperlink"/>
                  <w:szCs w:val="22"/>
                </w:rPr>
                <w:t>https://doi.org/10.7202/1051395ar</w:t>
              </w:r>
            </w:hyperlink>
            <w:r w:rsidRPr="00ED18EB">
              <w:rPr>
                <w:szCs w:val="22"/>
              </w:rPr>
              <w:t xml:space="preserve">). Pieejams: </w:t>
            </w:r>
            <w:hyperlink r:id="rId12" w:history="1">
              <w:r w:rsidRPr="00ED18EB">
                <w:rPr>
                  <w:rStyle w:val="Hyperlink"/>
                  <w:szCs w:val="22"/>
                </w:rPr>
                <w:t>https://www.erudit.org/en/journals/rssi/2016–v36–n3–rssi03971/1051395ar/</w:t>
              </w:r>
            </w:hyperlink>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lastRenderedPageBreak/>
              <w:t>Papildus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t>Agejevs, V. (2005). Semiotika. Rīga: Jumava</w:t>
            </w:r>
          </w:p>
          <w:p w:rsidR="00965FA8" w:rsidRPr="00ED18EB" w:rsidRDefault="00965FA8" w:rsidP="005E54E7">
            <w:pPr>
              <w:shd w:val="clear" w:color="auto" w:fill="auto"/>
            </w:pPr>
            <w:r w:rsidRPr="00ED18EB">
              <w:rPr>
                <w:szCs w:val="22"/>
              </w:rPr>
              <w:t xml:space="preserve">Grauzdiņa, I. Jūras tēla metamorfozes Maijas Einfeldes mūzikā. Krāj. "Mūzikas akadēmijas raksti", XIII, 307.–328. lpp. Pieejams: </w:t>
            </w:r>
          </w:p>
          <w:p w:rsidR="00965FA8" w:rsidRPr="00ED18EB" w:rsidRDefault="00E27562" w:rsidP="005E54E7">
            <w:pPr>
              <w:shd w:val="clear" w:color="auto" w:fill="auto"/>
              <w:rPr>
                <w:rStyle w:val="Hyperlink"/>
              </w:rPr>
            </w:pPr>
            <w:hyperlink r:id="rId13" w:history="1">
              <w:r w:rsidR="00965FA8" w:rsidRPr="00ED18EB">
                <w:rPr>
                  <w:rStyle w:val="Hyperlink"/>
                  <w:szCs w:val="22"/>
                </w:rPr>
                <w:t>https://www.jvlma.lv/data/sadala_muzikas_akademijas_raksti/2016.pdf</w:t>
              </w:r>
            </w:hyperlink>
          </w:p>
          <w:p w:rsidR="00965FA8" w:rsidRPr="00ED18EB" w:rsidRDefault="00965FA8" w:rsidP="005E54E7">
            <w:pPr>
              <w:shd w:val="clear" w:color="auto" w:fill="auto"/>
              <w:rPr>
                <w:rStyle w:val="Hyperlink"/>
              </w:rPr>
            </w:pPr>
            <w:r w:rsidRPr="00ED18EB">
              <w:rPr>
                <w:szCs w:val="22"/>
              </w:rPr>
              <w:t xml:space="preserve">Guillemette, L.; Cossette, J. The Semiotic Process and the Classification of Signs </w:t>
            </w:r>
            <w:proofErr w:type="gramStart"/>
            <w:r w:rsidRPr="00ED18EB">
              <w:rPr>
                <w:szCs w:val="22"/>
              </w:rPr>
              <w:t>[</w:t>
            </w:r>
            <w:proofErr w:type="gramEnd"/>
            <w:r w:rsidRPr="00ED18EB">
              <w:rPr>
                <w:szCs w:val="22"/>
              </w:rPr>
              <w:t>par U. Eko semiotiku]. Pieejams:</w:t>
            </w:r>
            <w:proofErr w:type="gramStart"/>
            <w:r w:rsidRPr="00ED18EB">
              <w:rPr>
                <w:szCs w:val="22"/>
              </w:rPr>
              <w:t xml:space="preserve">  </w:t>
            </w:r>
            <w:proofErr w:type="gramEnd"/>
            <w:r w:rsidR="00E27562">
              <w:fldChar w:fldCharType="begin"/>
            </w:r>
            <w:r w:rsidR="00E27562">
              <w:instrText xml:space="preserve"> HYPERLINK "http://www.signosemio.com/eco/semiotic-process-and-classification-of-signs.asp" </w:instrText>
            </w:r>
            <w:r w:rsidR="00E27562">
              <w:fldChar w:fldCharType="separate"/>
            </w:r>
            <w:r w:rsidRPr="00ED18EB">
              <w:rPr>
                <w:rStyle w:val="Hyperlink"/>
                <w:szCs w:val="22"/>
              </w:rPr>
              <w:t>http://www.signosemio.com/eco/semiotic–process–and–classification–of–signs.asp</w:t>
            </w:r>
            <w:r w:rsidR="00E27562">
              <w:rPr>
                <w:rStyle w:val="Hyperlink"/>
                <w:szCs w:val="22"/>
              </w:rPr>
              <w:fldChar w:fldCharType="end"/>
            </w:r>
          </w:p>
          <w:p w:rsidR="00965FA8" w:rsidRPr="00ED18EB" w:rsidRDefault="00965FA8" w:rsidP="005E54E7">
            <w:pPr>
              <w:shd w:val="clear" w:color="auto" w:fill="auto"/>
            </w:pPr>
            <w:r w:rsidRPr="00ED18EB">
              <w:rPr>
                <w:szCs w:val="22"/>
              </w:rPr>
              <w:t xml:space="preserve">Proceedings of the International Conference on Music Semiotics in Memory of Raymond Monelle. University of Edingburgh, 26–28 October 2012, UK. Edited by N. Panos et al. Pieejams: </w:t>
            </w:r>
            <w:hyperlink r:id="rId14" w:history="1">
              <w:r w:rsidRPr="00ED18EB">
                <w:rPr>
                  <w:rStyle w:val="Hyperlink"/>
                  <w:szCs w:val="22"/>
                </w:rPr>
                <w:t>https://sites.eca.ed.ac.uk/edmusemiotics/files/2014/02/ICMS_MRM–Publication.pdf</w:t>
              </w:r>
            </w:hyperlink>
          </w:p>
          <w:p w:rsidR="00965FA8" w:rsidRPr="00ED18EB" w:rsidRDefault="00965FA8" w:rsidP="005E54E7">
            <w:pPr>
              <w:shd w:val="clear" w:color="auto" w:fill="auto"/>
              <w:rPr>
                <w:rStyle w:val="Hyperlink"/>
              </w:rPr>
            </w:pPr>
            <w:r w:rsidRPr="00ED18EB">
              <w:rPr>
                <w:szCs w:val="22"/>
              </w:rPr>
              <w:t xml:space="preserve">Romanovska, A. Semiotika. Nacionālā enciklopēdija. Pieejams: </w:t>
            </w:r>
            <w:hyperlink r:id="rId15" w:history="1">
              <w:r w:rsidRPr="00ED18EB">
                <w:rPr>
                  <w:rStyle w:val="Hyperlink"/>
                  <w:szCs w:val="22"/>
                </w:rPr>
                <w:t>https://enciklopedija.lv/skirklis/8068–semiotika–</w:t>
              </w:r>
            </w:hyperlink>
          </w:p>
          <w:p w:rsidR="00965FA8" w:rsidRPr="00ED18EB" w:rsidRDefault="00965FA8" w:rsidP="005E54E7">
            <w:pPr>
              <w:shd w:val="clear" w:color="auto" w:fill="auto"/>
            </w:pPr>
            <w:r w:rsidRPr="00ED18EB">
              <w:rPr>
                <w:szCs w:val="22"/>
              </w:rPr>
              <w:t>Tarasti E. Signs of Music: A Guide to Musical Semiotics. Berlin: Mouton de Gruyter, 2002.</w:t>
            </w:r>
          </w:p>
          <w:p w:rsidR="00965FA8" w:rsidRPr="00ED18EB" w:rsidRDefault="00965FA8" w:rsidP="005E54E7">
            <w:pPr>
              <w:shd w:val="clear" w:color="auto" w:fill="auto"/>
            </w:pPr>
            <w:r w:rsidRPr="00ED18EB">
              <w:rPr>
                <w:szCs w:val="22"/>
              </w:rPr>
              <w:t xml:space="preserve">Кошелев, А. (сост.). </w:t>
            </w:r>
            <w:hyperlink r:id="rId16" w:history="1">
              <w:r w:rsidRPr="00ED18EB">
                <w:rPr>
                  <w:rStyle w:val="Hyperlink"/>
                  <w:szCs w:val="22"/>
                </w:rPr>
                <w:t>Ю.М. Лотман и тартуско–московская семиотическая школа</w:t>
              </w:r>
            </w:hyperlink>
            <w:r w:rsidRPr="00ED18EB">
              <w:rPr>
                <w:szCs w:val="22"/>
              </w:rPr>
              <w:t xml:space="preserve"> (</w:t>
            </w:r>
            <w:hyperlink r:id="rId17" w:history="1">
              <w:r w:rsidRPr="00ED18EB">
                <w:rPr>
                  <w:rStyle w:val="Hyperlink"/>
                  <w:szCs w:val="22"/>
                </w:rPr>
                <w:t>Сборник</w:t>
              </w:r>
            </w:hyperlink>
            <w:r w:rsidRPr="00ED18EB">
              <w:rPr>
                <w:szCs w:val="22"/>
              </w:rPr>
              <w:t>). Москва: Гнозис, 1994</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Periodika un citi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t xml:space="preserve">Signata: Annals of Semiotics, t. sk. raksti par mūzikas semiotiku </w:t>
            </w:r>
            <w:proofErr w:type="gramStart"/>
            <w:r w:rsidRPr="00ED18EB">
              <w:rPr>
                <w:szCs w:val="22"/>
              </w:rPr>
              <w:t>(</w:t>
            </w:r>
            <w:proofErr w:type="gramEnd"/>
            <w:r w:rsidRPr="00ED18EB">
              <w:rPr>
                <w:szCs w:val="22"/>
              </w:rPr>
              <w:t xml:space="preserve">2015, Nr. 6). Pieejams: </w:t>
            </w:r>
            <w:hyperlink r:id="rId18" w:history="1">
              <w:r w:rsidRPr="00ED18EB">
                <w:rPr>
                  <w:rStyle w:val="Hyperlink"/>
                  <w:szCs w:val="22"/>
                </w:rPr>
                <w:t>https://journals.openedition.org/signata/1040</w:t>
              </w:r>
            </w:hyperlink>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Krājumi:</w:t>
            </w:r>
          </w:p>
          <w:p w:rsidR="00965FA8" w:rsidRPr="00ED18EB" w:rsidRDefault="00965FA8" w:rsidP="005E54E7">
            <w:pPr>
              <w:shd w:val="clear" w:color="auto" w:fill="auto"/>
            </w:pPr>
            <w:r w:rsidRPr="00ED18EB">
              <w:rPr>
                <w:szCs w:val="22"/>
              </w:rPr>
              <w:t>Mūzikas akadēmijas raksti (JVLMA izdevums, no 2004)</w:t>
            </w:r>
          </w:p>
          <w:p w:rsidR="00965FA8" w:rsidRPr="00ED18EB" w:rsidRDefault="00965FA8" w:rsidP="005E54E7">
            <w:pPr>
              <w:shd w:val="clear" w:color="auto" w:fill="auto"/>
            </w:pPr>
            <w:r w:rsidRPr="00ED18EB">
              <w:rPr>
                <w:szCs w:val="22"/>
              </w:rPr>
              <w:t>Mūzikas zinātne šodien: pastāvīgais un mainīgais / Music Science Today: The Permanent and the Changeable (DU MMF izdevums, no 2009)</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Piezīmes</w:t>
            </w:r>
          </w:p>
        </w:tc>
      </w:tr>
      <w:tr w:rsidR="00965FA8" w:rsidRPr="00ED18EB" w:rsidTr="005E54E7">
        <w:tc>
          <w:tcPr>
            <w:tcW w:w="9320" w:type="dxa"/>
          </w:tcPr>
          <w:p w:rsidR="00965FA8" w:rsidRPr="00ED18EB" w:rsidRDefault="00965FA8" w:rsidP="005E54E7">
            <w:pPr>
              <w:shd w:val="clear" w:color="auto" w:fill="auto"/>
            </w:pPr>
            <w:r w:rsidRPr="00ED18EB">
              <w:rPr>
                <w:szCs w:val="22"/>
              </w:rPr>
              <w:t xml:space="preserve">Profesionālās bakalaura studiju programmas ”Mūzika” A2 daļas studiju kurss. </w:t>
            </w:r>
          </w:p>
          <w:p w:rsidR="00965FA8" w:rsidRPr="00ED18EB" w:rsidRDefault="00965FA8" w:rsidP="005E54E7">
            <w:pPr>
              <w:shd w:val="clear" w:color="auto" w:fill="auto"/>
            </w:pPr>
            <w:r w:rsidRPr="00ED18EB">
              <w:rPr>
                <w:szCs w:val="22"/>
              </w:rPr>
              <w:t>Kurss tiek docēts latviešu valodā.</w:t>
            </w:r>
          </w:p>
          <w:p w:rsidR="00965FA8" w:rsidRPr="00ED18EB" w:rsidRDefault="00965FA8" w:rsidP="005E54E7">
            <w:pPr>
              <w:shd w:val="clear" w:color="auto" w:fill="auto"/>
            </w:pPr>
          </w:p>
        </w:tc>
      </w:tr>
    </w:tbl>
    <w:p w:rsidR="00965FA8" w:rsidRPr="00ED18EB" w:rsidRDefault="00965FA8" w:rsidP="00965FA8">
      <w:pPr>
        <w:shd w:val="clear" w:color="auto" w:fill="auto"/>
        <w:autoSpaceDE/>
        <w:autoSpaceDN/>
        <w:adjustRightInd/>
        <w:spacing w:after="160" w:line="259" w:lineRule="auto"/>
        <w:rPr>
          <w:szCs w:val="22"/>
        </w:rPr>
      </w:pPr>
      <w:r w:rsidRPr="00ED18EB">
        <w:rPr>
          <w:szCs w:val="22"/>
        </w:rPr>
        <w:br w:type="page"/>
      </w:r>
    </w:p>
    <w:p w:rsidR="00965FA8" w:rsidRDefault="00965FA8"/>
    <w:sectPr w:rsidR="00965FA8" w:rsidSect="00965FA8">
      <w:footerReference w:type="default" r:id="rId19"/>
      <w:pgSz w:w="11906" w:h="16838"/>
      <w:pgMar w:top="1440" w:right="5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562" w:rsidRDefault="00E27562" w:rsidP="00965FA8">
      <w:r>
        <w:separator/>
      </w:r>
    </w:p>
  </w:endnote>
  <w:endnote w:type="continuationSeparator" w:id="0">
    <w:p w:rsidR="00E27562" w:rsidRDefault="00E27562" w:rsidP="0096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A8" w:rsidRDefault="00965FA8">
    <w:pPr>
      <w:pStyle w:val="Footer"/>
      <w:jc w:val="right"/>
    </w:pPr>
  </w:p>
  <w:p w:rsidR="00965FA8" w:rsidRDefault="00965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562" w:rsidRDefault="00E27562" w:rsidP="00965FA8">
      <w:r>
        <w:separator/>
      </w:r>
    </w:p>
  </w:footnote>
  <w:footnote w:type="continuationSeparator" w:id="0">
    <w:p w:rsidR="00E27562" w:rsidRDefault="00E27562" w:rsidP="00965F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8"/>
    <w:rsid w:val="00190AEE"/>
    <w:rsid w:val="003E4FEB"/>
    <w:rsid w:val="00476ACE"/>
    <w:rsid w:val="00965FA8"/>
    <w:rsid w:val="00E275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A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5FA8"/>
    <w:rPr>
      <w:color w:val="0000FF"/>
      <w:u w:val="single"/>
    </w:rPr>
  </w:style>
  <w:style w:type="paragraph" w:customStyle="1" w:styleId="Nosaukumi">
    <w:name w:val="Nosaukumi"/>
    <w:basedOn w:val="Normal"/>
    <w:link w:val="NosaukumiChar"/>
    <w:autoRedefine/>
    <w:qFormat/>
    <w:rsid w:val="00965FA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5FA8"/>
    <w:pPr>
      <w:framePr w:hSpace="180" w:wrap="around" w:vAnchor="text" w:hAnchor="margin" w:y="1"/>
      <w:shd w:val="clear" w:color="auto" w:fill="auto"/>
    </w:pPr>
    <w:rPr>
      <w:i/>
      <w:iCs w:val="0"/>
      <w:szCs w:val="22"/>
    </w:rPr>
  </w:style>
  <w:style w:type="paragraph" w:styleId="Header">
    <w:name w:val="header"/>
    <w:basedOn w:val="Normal"/>
    <w:link w:val="HeaderChar"/>
    <w:uiPriority w:val="99"/>
    <w:unhideWhenUsed/>
    <w:rsid w:val="00965FA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5FA8"/>
    <w:rPr>
      <w:shd w:val="clear" w:color="auto" w:fill="FFFFFF" w:themeFill="background1"/>
    </w:rPr>
  </w:style>
  <w:style w:type="paragraph" w:customStyle="1" w:styleId="Style1">
    <w:name w:val="Style1"/>
    <w:basedOn w:val="Nosaukumi"/>
    <w:link w:val="Style1Char"/>
    <w:autoRedefine/>
    <w:qFormat/>
    <w:rsid w:val="00965FA8"/>
    <w:pPr>
      <w:framePr w:wrap="around" w:hAnchor="text"/>
      <w:ind w:right="399"/>
    </w:pPr>
    <w:rPr>
      <w:sz w:val="24"/>
      <w:shd w:val="clear" w:color="auto" w:fill="FFFFFF"/>
    </w:rPr>
  </w:style>
  <w:style w:type="character" w:customStyle="1" w:styleId="NosaukumiChar">
    <w:name w:val="Nosaukumi Char"/>
    <w:basedOn w:val="DefaultParagraphFont"/>
    <w:link w:val="Nosaukumi"/>
    <w:rsid w:val="00965FA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5FA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5FA8"/>
    <w:rPr>
      <w:caps/>
      <w:szCs w:val="22"/>
    </w:rPr>
  </w:style>
  <w:style w:type="character" w:customStyle="1" w:styleId="Style2Char">
    <w:name w:val="Style2 Char"/>
    <w:basedOn w:val="DefaultParagraphFont"/>
    <w:link w:val="Style2"/>
    <w:rsid w:val="00965FA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5FA8"/>
    <w:rPr>
      <w:rFonts w:ascii="Tahoma" w:hAnsi="Tahoma" w:cs="Tahoma"/>
      <w:sz w:val="16"/>
      <w:szCs w:val="16"/>
    </w:rPr>
  </w:style>
  <w:style w:type="character" w:customStyle="1" w:styleId="BalloonTextChar">
    <w:name w:val="Balloon Text Char"/>
    <w:basedOn w:val="DefaultParagraphFont"/>
    <w:link w:val="BalloonText"/>
    <w:uiPriority w:val="99"/>
    <w:semiHidden/>
    <w:rsid w:val="00965FA8"/>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965FA8"/>
    <w:pPr>
      <w:tabs>
        <w:tab w:val="center" w:pos="4153"/>
        <w:tab w:val="right" w:pos="8306"/>
      </w:tabs>
    </w:pPr>
  </w:style>
  <w:style w:type="character" w:customStyle="1" w:styleId="FooterChar">
    <w:name w:val="Footer Char"/>
    <w:basedOn w:val="DefaultParagraphFont"/>
    <w:link w:val="Footer"/>
    <w:uiPriority w:val="99"/>
    <w:rsid w:val="00965FA8"/>
    <w:rPr>
      <w:rFonts w:ascii="Times New Roman" w:eastAsia="Calibri" w:hAnsi="Times New Roman" w:cs="Times New Roman"/>
      <w:bCs/>
      <w:iCs/>
      <w:szCs w:val="24"/>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A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5FA8"/>
    <w:rPr>
      <w:color w:val="0000FF"/>
      <w:u w:val="single"/>
    </w:rPr>
  </w:style>
  <w:style w:type="paragraph" w:customStyle="1" w:styleId="Nosaukumi">
    <w:name w:val="Nosaukumi"/>
    <w:basedOn w:val="Normal"/>
    <w:link w:val="NosaukumiChar"/>
    <w:autoRedefine/>
    <w:qFormat/>
    <w:rsid w:val="00965FA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5FA8"/>
    <w:pPr>
      <w:framePr w:hSpace="180" w:wrap="around" w:vAnchor="text" w:hAnchor="margin" w:y="1"/>
      <w:shd w:val="clear" w:color="auto" w:fill="auto"/>
    </w:pPr>
    <w:rPr>
      <w:i/>
      <w:iCs w:val="0"/>
      <w:szCs w:val="22"/>
    </w:rPr>
  </w:style>
  <w:style w:type="paragraph" w:styleId="Header">
    <w:name w:val="header"/>
    <w:basedOn w:val="Normal"/>
    <w:link w:val="HeaderChar"/>
    <w:uiPriority w:val="99"/>
    <w:unhideWhenUsed/>
    <w:rsid w:val="00965FA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5FA8"/>
    <w:rPr>
      <w:shd w:val="clear" w:color="auto" w:fill="FFFFFF" w:themeFill="background1"/>
    </w:rPr>
  </w:style>
  <w:style w:type="paragraph" w:customStyle="1" w:styleId="Style1">
    <w:name w:val="Style1"/>
    <w:basedOn w:val="Nosaukumi"/>
    <w:link w:val="Style1Char"/>
    <w:autoRedefine/>
    <w:qFormat/>
    <w:rsid w:val="00965FA8"/>
    <w:pPr>
      <w:framePr w:wrap="around" w:hAnchor="text"/>
      <w:ind w:right="399"/>
    </w:pPr>
    <w:rPr>
      <w:sz w:val="24"/>
      <w:shd w:val="clear" w:color="auto" w:fill="FFFFFF"/>
    </w:rPr>
  </w:style>
  <w:style w:type="character" w:customStyle="1" w:styleId="NosaukumiChar">
    <w:name w:val="Nosaukumi Char"/>
    <w:basedOn w:val="DefaultParagraphFont"/>
    <w:link w:val="Nosaukumi"/>
    <w:rsid w:val="00965FA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5FA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5FA8"/>
    <w:rPr>
      <w:caps/>
      <w:szCs w:val="22"/>
    </w:rPr>
  </w:style>
  <w:style w:type="character" w:customStyle="1" w:styleId="Style2Char">
    <w:name w:val="Style2 Char"/>
    <w:basedOn w:val="DefaultParagraphFont"/>
    <w:link w:val="Style2"/>
    <w:rsid w:val="00965FA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5FA8"/>
    <w:rPr>
      <w:rFonts w:ascii="Tahoma" w:hAnsi="Tahoma" w:cs="Tahoma"/>
      <w:sz w:val="16"/>
      <w:szCs w:val="16"/>
    </w:rPr>
  </w:style>
  <w:style w:type="character" w:customStyle="1" w:styleId="BalloonTextChar">
    <w:name w:val="Balloon Text Char"/>
    <w:basedOn w:val="DefaultParagraphFont"/>
    <w:link w:val="BalloonText"/>
    <w:uiPriority w:val="99"/>
    <w:semiHidden/>
    <w:rsid w:val="00965FA8"/>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965FA8"/>
    <w:pPr>
      <w:tabs>
        <w:tab w:val="center" w:pos="4153"/>
        <w:tab w:val="right" w:pos="8306"/>
      </w:tabs>
    </w:pPr>
  </w:style>
  <w:style w:type="character" w:customStyle="1" w:styleId="FooterChar">
    <w:name w:val="Footer Char"/>
    <w:basedOn w:val="DefaultParagraphFont"/>
    <w:link w:val="Footer"/>
    <w:uiPriority w:val="99"/>
    <w:rsid w:val="00965FA8"/>
    <w:rPr>
      <w:rFonts w:ascii="Times New Roman" w:eastAsia="Calibri" w:hAnsi="Times New Roman" w:cs="Times New Roman"/>
      <w:bCs/>
      <w:iCs/>
      <w:szCs w:val="24"/>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da.helsinki.fi/bitstream/handle/10138/136475/pianoper.pdf?sequence=1" TargetMode="External"/><Relationship Id="rId13" Type="http://schemas.openxmlformats.org/officeDocument/2006/relationships/hyperlink" Target="https://www.jvlma.lv/data/sadala_muzikas_akademijas_raksti/2016.pdf" TargetMode="External"/><Relationship Id="rId18" Type="http://schemas.openxmlformats.org/officeDocument/2006/relationships/hyperlink" Target="https://journals.openedition.org/signata/1040"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https://www.jvlma.lv/data/sadala_muzikas_akademijas_raksti/2017.pdf" TargetMode="External"/><Relationship Id="rId12" Type="http://schemas.openxmlformats.org/officeDocument/2006/relationships/hyperlink" Target="https://www.erudit.org/en/journals/rssi/2016-v36-n3-rssi03971/1051395ar/" TargetMode="External"/><Relationship Id="rId17" Type="http://schemas.openxmlformats.org/officeDocument/2006/relationships/hyperlink" Target="https://www.google.lv/search?hl=lv&amp;tbo=p&amp;tbm=bks&amp;q=inauthor:%22%D0%A1%D0%B1%D0%BE%D1%80%D0%BD%D0%B8%D0%BA%22" TargetMode="External"/><Relationship Id="rId2" Type="http://schemas.microsoft.com/office/2007/relationships/stylesWithEffects" Target="stylesWithEffects.xml"/><Relationship Id="rId16" Type="http://schemas.openxmlformats.org/officeDocument/2006/relationships/hyperlink" Target="https://biblio.du.lv/Alise/lv/book.aspx?id=1050&amp;ident=9401349"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doi.org/10.7202/1051395ar" TargetMode="External"/><Relationship Id="rId5" Type="http://schemas.openxmlformats.org/officeDocument/2006/relationships/footnotes" Target="footnotes.xml"/><Relationship Id="rId15" Type="http://schemas.openxmlformats.org/officeDocument/2006/relationships/hyperlink" Target="https://enciklopedija.lv/skirklis/8068-semiotika-" TargetMode="External"/><Relationship Id="rId10" Type="http://schemas.openxmlformats.org/officeDocument/2006/relationships/hyperlink" Target="https://pdfs.semanticscholar.org/e5ff/1a4a4d188dcb7155c52b50f0ffda9f00d244.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usic.lv/userdata/8/Liga_Petersone_Promocijas_darbs.pdf" TargetMode="External"/><Relationship Id="rId14" Type="http://schemas.openxmlformats.org/officeDocument/2006/relationships/hyperlink" Target="https://sites.eca.ed.ac.uk/edmusemiotics/files/2014/02/ICMS_MRM-Publication.pdf"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0A54A8F50E40A791017AE1B1E6060D"/>
        <w:category>
          <w:name w:val="General"/>
          <w:gallery w:val="placeholder"/>
        </w:category>
        <w:types>
          <w:type w:val="bbPlcHdr"/>
        </w:types>
        <w:behaviors>
          <w:behavior w:val="content"/>
        </w:behaviors>
        <w:guid w:val="{A026B73B-C349-487C-913B-986679859BE1}"/>
      </w:docPartPr>
      <w:docPartBody>
        <w:p w:rsidR="002D6EE6" w:rsidRDefault="00706D97" w:rsidP="00706D97">
          <w:pPr>
            <w:pStyle w:val="A50A54A8F50E40A791017AE1B1E6060D"/>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97"/>
    <w:rsid w:val="002B3BE9"/>
    <w:rsid w:val="002D6EE6"/>
    <w:rsid w:val="00706D97"/>
    <w:rsid w:val="00D83E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D97"/>
    <w:rPr>
      <w:color w:val="808080"/>
    </w:rPr>
  </w:style>
  <w:style w:type="paragraph" w:customStyle="1" w:styleId="D2D71DEF11ED4BBB9F3AB6383C253348">
    <w:name w:val="D2D71DEF11ED4BBB9F3AB6383C253348"/>
    <w:rsid w:val="00706D97"/>
  </w:style>
  <w:style w:type="paragraph" w:customStyle="1" w:styleId="A50A54A8F50E40A791017AE1B1E6060D">
    <w:name w:val="A50A54A8F50E40A791017AE1B1E6060D"/>
    <w:rsid w:val="00706D9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D97"/>
    <w:rPr>
      <w:color w:val="808080"/>
    </w:rPr>
  </w:style>
  <w:style w:type="paragraph" w:customStyle="1" w:styleId="D2D71DEF11ED4BBB9F3AB6383C253348">
    <w:name w:val="D2D71DEF11ED4BBB9F3AB6383C253348"/>
    <w:rsid w:val="00706D97"/>
  </w:style>
  <w:style w:type="paragraph" w:customStyle="1" w:styleId="A50A54A8F50E40A791017AE1B1E6060D">
    <w:name w:val="A50A54A8F50E40A791017AE1B1E6060D"/>
    <w:rsid w:val="00706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7007</Words>
  <Characters>3995</Characters>
  <Application>Microsoft Office Word</Application>
  <DocSecurity>0</DocSecurity>
  <Lines>33</Lines>
  <Paragraphs>21</Paragraphs>
  <ScaleCrop>false</ScaleCrop>
  <Company/>
  <LinksUpToDate>false</LinksUpToDate>
  <CharactersWithSpaces>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2023-07-13T08:20:00Z</dcterms:created>
  <dcterms:modified xsi:type="dcterms:W3CDTF">2023-07-13T08:22:00Z</dcterms:modified>
</cp:coreProperties>
</file>