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795198" w:rsidRDefault="001B4907" w:rsidP="001B4907">
      <w:pPr>
        <w:pStyle w:val="Header"/>
        <w:jc w:val="center"/>
        <w:rPr>
          <w:b/>
        </w:rPr>
      </w:pPr>
      <w:r w:rsidRPr="00795198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795198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613" w:type="dxa"/>
        <w:jc w:val="center"/>
        <w:tblLook w:val="04A0" w:firstRow="1" w:lastRow="0" w:firstColumn="1" w:lastColumn="0" w:noHBand="0" w:noVBand="1"/>
      </w:tblPr>
      <w:tblGrid>
        <w:gridCol w:w="4639"/>
        <w:gridCol w:w="4974"/>
      </w:tblGrid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74" w:type="dxa"/>
          </w:tcPr>
          <w:p w:rsidR="001B4907" w:rsidRPr="00700176" w:rsidRDefault="0090648A" w:rsidP="0053197F">
            <w:pPr>
              <w:rPr>
                <w:b/>
                <w:i/>
              </w:rPr>
            </w:pPr>
            <w:bookmarkStart w:id="0" w:name="_GoBack"/>
            <w:r w:rsidRPr="00700176">
              <w:rPr>
                <w:b/>
                <w:i/>
              </w:rPr>
              <w:t xml:space="preserve">Finanšu menedžments </w:t>
            </w:r>
            <w:bookmarkEnd w:id="0"/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74" w:type="dxa"/>
            <w:vAlign w:val="center"/>
          </w:tcPr>
          <w:p w:rsidR="001B4907" w:rsidRPr="00026C21" w:rsidRDefault="0090648A" w:rsidP="00DB269A">
            <w:pPr>
              <w:rPr>
                <w:lang w:eastAsia="lv-LV"/>
              </w:rPr>
            </w:pPr>
            <w:r w:rsidRPr="000A1C6C">
              <w:rPr>
                <w:bCs w:val="0"/>
                <w:iCs w:val="0"/>
              </w:rPr>
              <w:t>MākZ</w:t>
            </w:r>
            <w:r>
              <w:rPr>
                <w:bCs w:val="0"/>
                <w:iCs w:val="0"/>
              </w:rPr>
              <w:t>1507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74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74" w:type="dxa"/>
            <w:shd w:val="clear" w:color="auto" w:fill="auto"/>
          </w:tcPr>
          <w:p w:rsidR="001B4907" w:rsidRPr="00026C21" w:rsidRDefault="001B4CF3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74" w:type="dxa"/>
            <w:vAlign w:val="center"/>
          </w:tcPr>
          <w:p w:rsidR="001B4907" w:rsidRPr="00026C21" w:rsidRDefault="0053197F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74" w:type="dxa"/>
          </w:tcPr>
          <w:p w:rsidR="001B4907" w:rsidRPr="00026C21" w:rsidRDefault="0053197F" w:rsidP="00DB269A">
            <w:r>
              <w:t>3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53197F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74" w:type="dxa"/>
          </w:tcPr>
          <w:p w:rsidR="001B4907" w:rsidRPr="001B4CF3" w:rsidRDefault="0053197F" w:rsidP="00DB269A">
            <w:pPr>
              <w:rPr>
                <w:bCs w:val="0"/>
              </w:rPr>
            </w:pPr>
            <w:r>
              <w:rPr>
                <w:bCs w:val="0"/>
              </w:rPr>
              <w:t>16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74" w:type="dxa"/>
          </w:tcPr>
          <w:p w:rsidR="001B4907" w:rsidRPr="00026C21" w:rsidRDefault="0053197F" w:rsidP="00DB269A">
            <w:r>
              <w:t>16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74" w:type="dxa"/>
          </w:tcPr>
          <w:p w:rsidR="001B4907" w:rsidRPr="00026C21" w:rsidRDefault="0053197F" w:rsidP="00DB269A"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74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53197F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2C1E98" w:rsidRDefault="009A6AF6" w:rsidP="008D4CBD">
            <w:r w:rsidRPr="00EB5FB5">
              <w:t>Mg. oec.</w:t>
            </w:r>
            <w:r>
              <w:t xml:space="preserve">, </w:t>
            </w:r>
            <w:proofErr w:type="spellStart"/>
            <w:r>
              <w:t>vieslekt</w:t>
            </w:r>
            <w:proofErr w:type="spellEnd"/>
            <w:r>
              <w:t xml:space="preserve">. </w:t>
            </w:r>
            <w:r w:rsidR="00220308">
              <w:t xml:space="preserve">Rita </w:t>
            </w:r>
            <w:proofErr w:type="spellStart"/>
            <w:r w:rsidR="00220308">
              <w:t>Baltere</w:t>
            </w:r>
            <w:proofErr w:type="spellEnd"/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2C1E98" w:rsidRDefault="00220308" w:rsidP="00424008">
            <w:r w:rsidRPr="00EB5FB5">
              <w:t>Mg. oec.</w:t>
            </w:r>
            <w:r>
              <w:t xml:space="preserve">, </w:t>
            </w:r>
            <w:proofErr w:type="spellStart"/>
            <w:r>
              <w:t>vieslekt</w:t>
            </w:r>
            <w:proofErr w:type="spellEnd"/>
            <w:r>
              <w:t xml:space="preserve">. Rita </w:t>
            </w:r>
            <w:proofErr w:type="spellStart"/>
            <w:r>
              <w:t>Baltere</w:t>
            </w:r>
            <w:proofErr w:type="spellEnd"/>
            <w:r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C7713F" w:rsidP="008D4CBD">
            <w:pPr>
              <w:snapToGrid w:val="0"/>
            </w:pPr>
            <w:r>
              <w:t xml:space="preserve">Nav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F8598A">
        <w:trPr>
          <w:trHeight w:val="1119"/>
          <w:jc w:val="center"/>
        </w:trPr>
        <w:tc>
          <w:tcPr>
            <w:tcW w:w="9613" w:type="dxa"/>
            <w:gridSpan w:val="2"/>
          </w:tcPr>
          <w:p w:rsidR="00A33208" w:rsidRPr="007D227F" w:rsidRDefault="00A33208" w:rsidP="00A33208">
            <w:pPr>
              <w:jc w:val="both"/>
              <w:rPr>
                <w:rFonts w:eastAsia="Calibri"/>
              </w:rPr>
            </w:pPr>
            <w:r w:rsidRPr="00A33208">
              <w:t>Studiju kursa mērķis:</w:t>
            </w:r>
            <w:r w:rsidRPr="000A1C6C">
              <w:rPr>
                <w:rFonts w:ascii="Verdana" w:eastAsia="Calibri" w:hAnsi="Verdana" w:cs="Verdana"/>
                <w:sz w:val="16"/>
                <w:szCs w:val="16"/>
              </w:rPr>
              <w:t xml:space="preserve"> </w:t>
            </w:r>
            <w:r w:rsidRPr="000A1C6C">
              <w:rPr>
                <w:rFonts w:eastAsia="Calibri"/>
              </w:rPr>
              <w:t>sniegt zināšanas un profesionālās iemaņas finanšu piesaistīšanas, plānošanas un pārvaldīšanas jomā, investēšanas lēmumu pieņemšanā, finansiālo problēmu risināšanā, lai studējošie spētu prof</w:t>
            </w:r>
            <w:r>
              <w:rPr>
                <w:rFonts w:eastAsia="Calibri"/>
              </w:rPr>
              <w:t xml:space="preserve">esionāli </w:t>
            </w:r>
            <w:r w:rsidRPr="000A1C6C">
              <w:rPr>
                <w:rFonts w:eastAsia="Calibri"/>
              </w:rPr>
              <w:t xml:space="preserve">izvērtēt finanšu lēmumus, plānot </w:t>
            </w:r>
            <w:r>
              <w:rPr>
                <w:rFonts w:eastAsia="Calibri"/>
              </w:rPr>
              <w:t>f</w:t>
            </w:r>
            <w:r w:rsidRPr="007D227F">
              <w:rPr>
                <w:rFonts w:eastAsia="Calibri"/>
              </w:rPr>
              <w:t>inanšu plūsmu un apgūtu finanšu kapitāla labas pārvaldības principus.</w:t>
            </w:r>
          </w:p>
          <w:p w:rsidR="00FB5842" w:rsidRDefault="00A33208" w:rsidP="00A33208">
            <w:pPr>
              <w:tabs>
                <w:tab w:val="left" w:pos="2212"/>
              </w:tabs>
              <w:jc w:val="both"/>
            </w:pPr>
            <w:r w:rsidRPr="007D227F">
              <w:tab/>
            </w:r>
          </w:p>
          <w:p w:rsidR="00A33208" w:rsidRPr="00A33208" w:rsidRDefault="00A33208" w:rsidP="00A33208">
            <w:pPr>
              <w:tabs>
                <w:tab w:val="left" w:pos="2212"/>
              </w:tabs>
              <w:jc w:val="both"/>
            </w:pPr>
            <w:r w:rsidRPr="00A33208">
              <w:t xml:space="preserve">Studiju kursa uzdevumi: </w:t>
            </w:r>
          </w:p>
          <w:p w:rsidR="00A33208" w:rsidRPr="007D227F" w:rsidRDefault="00A33208" w:rsidP="00A33208">
            <w:pPr>
              <w:pStyle w:val="Default"/>
            </w:pPr>
            <w:r>
              <w:t>-i</w:t>
            </w:r>
            <w:r w:rsidRPr="007D227F">
              <w:t>zprast</w:t>
            </w:r>
            <w:r>
              <w:t xml:space="preserve"> finanšu vadības būtību un lomu;</w:t>
            </w:r>
          </w:p>
          <w:p w:rsidR="00A33208" w:rsidRPr="007D227F" w:rsidRDefault="00A33208" w:rsidP="00A33208">
            <w:pPr>
              <w:pStyle w:val="Default"/>
              <w:spacing w:after="28"/>
            </w:pPr>
            <w:r>
              <w:t>-a</w:t>
            </w:r>
            <w:r w:rsidRPr="007D227F">
              <w:t>pgūt finanšu analīzes un vadības metodes, naudas un kapitāla plūsmu vadības principus</w:t>
            </w:r>
            <w:r>
              <w:t>;</w:t>
            </w:r>
            <w:r w:rsidRPr="007D227F">
              <w:t xml:space="preserve"> </w:t>
            </w:r>
          </w:p>
          <w:p w:rsidR="00A33208" w:rsidRPr="007D227F" w:rsidRDefault="00A33208" w:rsidP="00A33208">
            <w:pPr>
              <w:pStyle w:val="Default"/>
              <w:spacing w:after="28"/>
            </w:pPr>
            <w:r>
              <w:t>-n</w:t>
            </w:r>
            <w:r w:rsidRPr="007D227F">
              <w:t>oskaidrot finanšu instrumentu veidus un to i</w:t>
            </w:r>
            <w:r>
              <w:t>zmantošanu finansēšanas procesā;</w:t>
            </w:r>
            <w:r w:rsidRPr="007D227F">
              <w:t xml:space="preserve"> </w:t>
            </w:r>
          </w:p>
          <w:p w:rsidR="00A33208" w:rsidRPr="007D227F" w:rsidRDefault="00A33208" w:rsidP="00A33208">
            <w:pPr>
              <w:pStyle w:val="Default"/>
              <w:spacing w:after="28"/>
            </w:pPr>
            <w:r>
              <w:t>-a</w:t>
            </w:r>
            <w:r w:rsidRPr="007D227F">
              <w:t>pgūt īstermiņa un ilgtermiņa finansēšanas principus un investīcij</w:t>
            </w:r>
            <w:r w:rsidR="00FB5842">
              <w:t>u projektu vērtēšanas metodiku;</w:t>
            </w:r>
          </w:p>
          <w:p w:rsidR="00A33208" w:rsidRDefault="00FB5842" w:rsidP="00A33208">
            <w:pPr>
              <w:jc w:val="both"/>
            </w:pPr>
            <w:r>
              <w:t>-p</w:t>
            </w:r>
            <w:r w:rsidR="00A33208" w:rsidRPr="007D227F">
              <w:t>ārbaudīt studējošo iegūtās teorētiskās zināšanas un spēju pielietot tās finanšu vadības procesā.</w:t>
            </w:r>
          </w:p>
          <w:p w:rsidR="00FB5842" w:rsidRDefault="00FB5842" w:rsidP="00A33208">
            <w:pPr>
              <w:jc w:val="both"/>
            </w:pPr>
          </w:p>
          <w:p w:rsidR="00874BE5" w:rsidRPr="00FB5842" w:rsidRDefault="00A33208" w:rsidP="00A33208">
            <w:pPr>
              <w:jc w:val="both"/>
            </w:pPr>
            <w:r w:rsidRPr="00D337F5">
              <w:t xml:space="preserve">Studiju </w:t>
            </w:r>
            <w:r>
              <w:t>kursā</w:t>
            </w:r>
            <w:r w:rsidRPr="0032220E">
              <w:rPr>
                <w:color w:val="FF0000"/>
              </w:rPr>
              <w:t xml:space="preserve"> </w:t>
            </w:r>
            <w:r>
              <w:t xml:space="preserve">tiek apgūtas </w:t>
            </w:r>
            <w:r w:rsidRPr="00D337F5">
              <w:t xml:space="preserve">finanšu vadības aktuālās problēmas un </w:t>
            </w:r>
            <w:r>
              <w:t>gūta kompetence to risinājumos, sniegta izpratne par to, kā veidot, papildus piesaistīt un izdevīgāk izmantot finanšu resursus, padziļinātas zināšanas par to; kādi ir finanšu riski un to ietekmes mazināšanas iespējas, veidotas prasmes efektīvi pārvaldīt finanšu plūsmas.</w:t>
            </w:r>
            <w:r w:rsidRPr="00D337F5"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780E55">
              <w:t>Studiju kursa kalendārais plāns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760BDE" w:rsidRDefault="00120A95" w:rsidP="00760BDE">
            <w:r>
              <w:t>Lekcijas (L) 1</w:t>
            </w:r>
            <w:r w:rsidR="00823E12">
              <w:t xml:space="preserve">6 </w:t>
            </w:r>
            <w:proofErr w:type="spellStart"/>
            <w:r w:rsidR="00823E12">
              <w:t>st</w:t>
            </w:r>
            <w:proofErr w:type="spellEnd"/>
            <w:r w:rsidR="00823E12">
              <w:t xml:space="preserve">, </w:t>
            </w:r>
            <w:r>
              <w:t xml:space="preserve">semināri (S) 16 </w:t>
            </w:r>
            <w:proofErr w:type="spellStart"/>
            <w:r>
              <w:t>st</w:t>
            </w:r>
            <w:proofErr w:type="spellEnd"/>
            <w:r>
              <w:t xml:space="preserve">, </w:t>
            </w:r>
            <w:r w:rsidR="004B3B3D" w:rsidRPr="00916D56">
              <w:t xml:space="preserve">patstāvīgais darbs </w:t>
            </w:r>
            <w:r w:rsidR="006B25F0">
              <w:t>(</w:t>
            </w:r>
            <w:proofErr w:type="spellStart"/>
            <w:r w:rsidR="006B25F0">
              <w:t>Pd</w:t>
            </w:r>
            <w:proofErr w:type="spellEnd"/>
            <w:r w:rsidR="006B25F0">
              <w:t xml:space="preserve">) </w:t>
            </w:r>
            <w:r w:rsidR="00823E12">
              <w:t>4</w:t>
            </w:r>
            <w:r>
              <w:t>8</w:t>
            </w:r>
            <w:r w:rsidR="004B3B3D">
              <w:t xml:space="preserve"> </w:t>
            </w:r>
            <w:r w:rsidR="004B3B3D" w:rsidRPr="00916D56">
              <w:t>st.</w:t>
            </w:r>
          </w:p>
          <w:p w:rsidR="00780E55" w:rsidRDefault="00780E55" w:rsidP="00780E55">
            <w:pPr>
              <w:overflowPunct w:val="0"/>
              <w:jc w:val="both"/>
              <w:textAlignment w:val="baseline"/>
            </w:pPr>
            <w:r w:rsidRPr="00C31C7A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>
              <w:t>Finanšu vadības būtība un loma. L2, P2, Pd6</w:t>
            </w:r>
          </w:p>
          <w:p w:rsidR="00780E55" w:rsidRDefault="00780E55" w:rsidP="00780E55">
            <w:pPr>
              <w:overflowPunct w:val="0"/>
              <w:jc w:val="both"/>
              <w:textAlignment w:val="baseline"/>
            </w:pPr>
            <w:r>
              <w:t>2. tēma. Aktīvu pārvaldīšana (investīciju projektu novērtēšana, aktīvu vērtības noteikšana, apgrozāmo līdzekļu vadīšana). L2, P2, Pd6</w:t>
            </w:r>
          </w:p>
          <w:p w:rsidR="00780E55" w:rsidRDefault="00780E55" w:rsidP="00780E55">
            <w:pPr>
              <w:overflowPunct w:val="0"/>
              <w:jc w:val="both"/>
              <w:textAlignment w:val="baseline"/>
            </w:pPr>
            <w:r>
              <w:t>3. tēma. Pasīvu pārvaldīšana (pašu un aizņemta kapitāla pārvaldīšana, kapitāla cenas un struktūras novērtēšana). L2, P2, Pd6</w:t>
            </w:r>
          </w:p>
          <w:p w:rsidR="00780E55" w:rsidRDefault="00780E55" w:rsidP="00780E55">
            <w:pPr>
              <w:overflowPunct w:val="0"/>
              <w:jc w:val="both"/>
              <w:textAlignment w:val="baseline"/>
            </w:pPr>
            <w:r>
              <w:rPr>
                <w:bCs w:val="0"/>
              </w:rPr>
              <w:t xml:space="preserve">4. tēma. Izmaksu vadība. </w:t>
            </w:r>
            <w:r>
              <w:t xml:space="preserve">L2, P2, Pd6 </w:t>
            </w:r>
          </w:p>
          <w:p w:rsidR="00780E55" w:rsidRDefault="00780E55" w:rsidP="00780E55">
            <w:pPr>
              <w:overflowPunct w:val="0"/>
              <w:jc w:val="both"/>
              <w:textAlignment w:val="baseline"/>
              <w:rPr>
                <w:bCs w:val="0"/>
              </w:rPr>
            </w:pPr>
            <w:r>
              <w:rPr>
                <w:bCs w:val="0"/>
              </w:rPr>
              <w:t xml:space="preserve">5. tēma. Budžeta sastādīšana. Naudas plūsmas prognozēšana. Finanšu risku vadība. </w:t>
            </w:r>
            <w:r>
              <w:t>L2, P2, Pd6</w:t>
            </w:r>
          </w:p>
          <w:p w:rsidR="00780E55" w:rsidRPr="00333FB4" w:rsidRDefault="00780E55" w:rsidP="00780E55">
            <w:pPr>
              <w:overflowPunct w:val="0"/>
              <w:jc w:val="both"/>
              <w:textAlignment w:val="baseline"/>
              <w:rPr>
                <w:bCs w:val="0"/>
              </w:rPr>
            </w:pPr>
            <w:r>
              <w:rPr>
                <w:bCs w:val="0"/>
              </w:rPr>
              <w:lastRenderedPageBreak/>
              <w:t xml:space="preserve">6. tēma. </w:t>
            </w:r>
            <w:r>
              <w:t>F</w:t>
            </w:r>
            <w:r w:rsidRPr="00D337F5">
              <w:t>i</w:t>
            </w:r>
            <w:r>
              <w:t xml:space="preserve">nanšu vadības </w:t>
            </w:r>
            <w:proofErr w:type="spellStart"/>
            <w:r>
              <w:t>problēmrisinājumi</w:t>
            </w:r>
            <w:proofErr w:type="spellEnd"/>
            <w:r>
              <w:t>.</w:t>
            </w:r>
            <w:r>
              <w:rPr>
                <w:bCs w:val="0"/>
              </w:rPr>
              <w:t xml:space="preserve"> </w:t>
            </w:r>
            <w:r>
              <w:t>L2, P2, Pd6</w:t>
            </w:r>
          </w:p>
          <w:p w:rsidR="00780E55" w:rsidRDefault="00780E55" w:rsidP="00780E55">
            <w:pPr>
              <w:overflowPunct w:val="0"/>
              <w:jc w:val="both"/>
              <w:textAlignment w:val="baseline"/>
            </w:pPr>
            <w:r>
              <w:t xml:space="preserve">7. tēma. </w:t>
            </w:r>
            <w:r w:rsidRPr="007D585C">
              <w:t>Starptautiskā finanšu vadība</w:t>
            </w:r>
            <w:r>
              <w:t>.</w:t>
            </w:r>
            <w:r>
              <w:rPr>
                <w:bCs w:val="0"/>
              </w:rPr>
              <w:t xml:space="preserve"> </w:t>
            </w:r>
            <w:r>
              <w:t>L2, P2, Pd6</w:t>
            </w:r>
          </w:p>
          <w:p w:rsidR="00780E55" w:rsidRDefault="00780E55" w:rsidP="00780E55">
            <w:pPr>
              <w:overflowPunct w:val="0"/>
              <w:jc w:val="both"/>
              <w:textAlignment w:val="baseline"/>
            </w:pPr>
            <w:r>
              <w:rPr>
                <w:bCs w:val="0"/>
                <w:iCs w:val="0"/>
              </w:rPr>
              <w:t>8. tēma. ES struktūrfondu līdzekļu un citu finanšu atbalsta instrumentu piesaiste.</w:t>
            </w:r>
            <w:r>
              <w:rPr>
                <w:bCs w:val="0"/>
              </w:rPr>
              <w:t xml:space="preserve"> </w:t>
            </w:r>
            <w:r>
              <w:t>L2, P2, Pd6</w:t>
            </w:r>
          </w:p>
          <w:p w:rsidR="008D4CBD" w:rsidRPr="002F4325" w:rsidRDefault="00614914" w:rsidP="00614914">
            <w:pPr>
              <w:rPr>
                <w:bCs w:val="0"/>
              </w:rPr>
            </w:pPr>
            <w:r w:rsidRPr="00C26310">
              <w:t>Gala pārbaudījums</w:t>
            </w:r>
            <w:r>
              <w:t>/diferencētā ieskaite</w:t>
            </w:r>
            <w:r w:rsidRPr="00C26310">
              <w:t xml:space="preserve">: </w:t>
            </w:r>
            <w:r>
              <w:rPr>
                <w:bCs w:val="0"/>
                <w:color w:val="000000"/>
              </w:rPr>
              <w:t>konkrētu tēmu</w:t>
            </w:r>
            <w:r w:rsidRPr="00C26310">
              <w:rPr>
                <w:bCs w:val="0"/>
                <w:color w:val="000000"/>
              </w:rPr>
              <w:t xml:space="preserve"> izpēte un </w:t>
            </w:r>
            <w:r>
              <w:rPr>
                <w:bCs w:val="0"/>
                <w:color w:val="000000"/>
              </w:rPr>
              <w:t xml:space="preserve">to </w:t>
            </w:r>
            <w:r w:rsidRPr="00C26310">
              <w:t>prezentācija</w:t>
            </w:r>
            <w:r>
              <w:t xml:space="preserve">. </w:t>
            </w:r>
            <w:r w:rsidR="00C825DC" w:rsidRPr="00FF6890"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6032E" w:rsidRDefault="009E30C9" w:rsidP="0086032E">
            <w:pPr>
              <w:spacing w:after="160"/>
              <w:jc w:val="both"/>
            </w:pPr>
            <w:r w:rsidRPr="009E30C9">
              <w:t>ZINĀŠANAS:</w:t>
            </w:r>
          </w:p>
          <w:p w:rsidR="0086032E" w:rsidRPr="0086032E" w:rsidRDefault="00337D3B" w:rsidP="0086032E">
            <w:pPr>
              <w:spacing w:after="160"/>
              <w:jc w:val="both"/>
            </w:pPr>
            <w:r>
              <w:rPr>
                <w:bCs w:val="0"/>
                <w:iCs w:val="0"/>
              </w:rPr>
              <w:t xml:space="preserve">1. Studējošie demonstrē zināšanas un izpratni par finanšu pārskatu sastādīšanas principiem, </w:t>
            </w:r>
            <w:r w:rsidRPr="004D6BAE">
              <w:rPr>
                <w:bCs w:val="0"/>
                <w:iCs w:val="0"/>
              </w:rPr>
              <w:t>finansēm un to vadīšanu</w:t>
            </w:r>
            <w:r>
              <w:rPr>
                <w:bCs w:val="0"/>
                <w:iCs w:val="0"/>
              </w:rPr>
              <w:t>, finanšu instrumentiem un to izmantošanu praksē.</w:t>
            </w:r>
          </w:p>
          <w:p w:rsidR="0086032E" w:rsidRDefault="0086032E" w:rsidP="0086032E">
            <w:pPr>
              <w:autoSpaceDE/>
              <w:autoSpaceDN/>
              <w:adjustRightInd/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2. Izzina kapitāla un naudas plūsmu vadības principus.</w:t>
            </w:r>
          </w:p>
          <w:p w:rsidR="0086032E" w:rsidRDefault="0086032E" w:rsidP="0086032E">
            <w:pPr>
              <w:autoSpaceDE/>
              <w:autoSpaceDN/>
              <w:adjustRightInd/>
              <w:jc w:val="both"/>
              <w:rPr>
                <w:bCs w:val="0"/>
                <w:iCs w:val="0"/>
              </w:rPr>
            </w:pPr>
          </w:p>
          <w:p w:rsidR="00120A95" w:rsidRDefault="00120A95" w:rsidP="00120A95">
            <w:pPr>
              <w:autoSpaceDE/>
              <w:autoSpaceDN/>
              <w:adjustRightInd/>
              <w:jc w:val="both"/>
            </w:pPr>
            <w:r w:rsidRPr="0060536C">
              <w:t>PRASMES:</w:t>
            </w:r>
          </w:p>
          <w:p w:rsidR="00337D3B" w:rsidRDefault="00337D3B" w:rsidP="00337D3B">
            <w:pPr>
              <w:autoSpaceDE/>
              <w:autoSpaceDN/>
              <w:adjustRightInd/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3. Studējošie patstāvīgi pielieto jaunākās finanšu analīzes un vadības teorijas, metodes praktiskajā darbībā. </w:t>
            </w:r>
          </w:p>
          <w:p w:rsidR="00337D3B" w:rsidRPr="00396195" w:rsidRDefault="00337D3B" w:rsidP="00337D3B">
            <w:pPr>
              <w:autoSpaceDE/>
              <w:autoSpaceDN/>
              <w:adjustRightInd/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4. Prot</w:t>
            </w:r>
            <w:r w:rsidRPr="00396195">
              <w:rPr>
                <w:bCs w:val="0"/>
                <w:iCs w:val="0"/>
              </w:rPr>
              <w:t xml:space="preserve"> piesaistīt ES struktūrfondu līdzekļus un citu</w:t>
            </w:r>
            <w:r>
              <w:rPr>
                <w:bCs w:val="0"/>
                <w:iCs w:val="0"/>
              </w:rPr>
              <w:t xml:space="preserve">s finanšu atbalsta instrumentus, </w:t>
            </w:r>
            <w:r w:rsidRPr="00396195">
              <w:rPr>
                <w:bCs w:val="0"/>
                <w:iCs w:val="0"/>
              </w:rPr>
              <w:t>izvēlēties finanšu instrumentus un to pra</w:t>
            </w:r>
            <w:r>
              <w:rPr>
                <w:bCs w:val="0"/>
                <w:iCs w:val="0"/>
              </w:rPr>
              <w:t xml:space="preserve">ktisko pielietošanu finansēšanā, </w:t>
            </w:r>
            <w:r w:rsidRPr="00396195">
              <w:rPr>
                <w:bCs w:val="0"/>
                <w:iCs w:val="0"/>
              </w:rPr>
              <w:t>plānot ilgtermiņa investīcijas un optimizēt kapitāla struktūru.</w:t>
            </w:r>
          </w:p>
          <w:p w:rsidR="00C02220" w:rsidRDefault="00C02220" w:rsidP="004018D5">
            <w:pPr>
              <w:shd w:val="clear" w:color="auto" w:fill="FFFFFF"/>
              <w:autoSpaceDE/>
              <w:autoSpaceDN/>
              <w:adjustRightInd/>
            </w:pPr>
          </w:p>
          <w:p w:rsidR="004018D5" w:rsidRDefault="0086032E" w:rsidP="004018D5">
            <w:pPr>
              <w:shd w:val="clear" w:color="auto" w:fill="FFFFFF"/>
              <w:autoSpaceDE/>
              <w:autoSpaceDN/>
              <w:adjustRightInd/>
            </w:pPr>
            <w:r>
              <w:t>KOMPETENCE:</w:t>
            </w:r>
          </w:p>
          <w:p w:rsidR="00337D3B" w:rsidRPr="00396195" w:rsidRDefault="00241379" w:rsidP="00241379">
            <w:pPr>
              <w:autoSpaceDE/>
              <w:autoSpaceDN/>
              <w:adjustRightInd/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5. </w:t>
            </w:r>
            <w:r w:rsidR="00337D3B">
              <w:rPr>
                <w:bCs w:val="0"/>
                <w:iCs w:val="0"/>
              </w:rPr>
              <w:t xml:space="preserve">Studējošie patstāvīgi pielieto jaunākās finanšu analīzes un vadības teorijas un metodes </w:t>
            </w:r>
            <w:r w:rsidR="00337D3B" w:rsidRPr="00396195">
              <w:rPr>
                <w:bCs w:val="0"/>
                <w:iCs w:val="0"/>
              </w:rPr>
              <w:t>praktiskajā darbībā.</w:t>
            </w:r>
          </w:p>
          <w:p w:rsidR="001212BA" w:rsidRPr="00241379" w:rsidRDefault="00241379" w:rsidP="00241379">
            <w:pPr>
              <w:autoSpaceDE/>
              <w:autoSpaceDN/>
              <w:adjustRightInd/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6. </w:t>
            </w:r>
            <w:r w:rsidR="00337D3B">
              <w:rPr>
                <w:bCs w:val="0"/>
                <w:iCs w:val="0"/>
              </w:rPr>
              <w:t>Spēj kompetenti analizēt finanšu vadības problēma</w:t>
            </w:r>
            <w:r>
              <w:rPr>
                <w:bCs w:val="0"/>
                <w:iCs w:val="0"/>
              </w:rPr>
              <w:t xml:space="preserve">s, kritiski novērtēt situāciju, </w:t>
            </w:r>
            <w:r w:rsidR="00337D3B">
              <w:rPr>
                <w:bCs w:val="0"/>
                <w:iCs w:val="0"/>
              </w:rPr>
              <w:t>pieņemt lēmumus, balstoties uz iegūtiem analītiskiem datiem</w:t>
            </w:r>
            <w:r>
              <w:rPr>
                <w:bCs w:val="0"/>
                <w:iCs w:val="0"/>
              </w:rPr>
              <w:t xml:space="preserve">, kā arī </w:t>
            </w:r>
            <w:r w:rsidR="00337D3B">
              <w:rPr>
                <w:bCs w:val="0"/>
                <w:iCs w:val="0"/>
              </w:rPr>
              <w:t xml:space="preserve">argumentēti pamatot savu viedokli, vadīt konflikta un </w:t>
            </w:r>
            <w:r w:rsidR="00337D3B" w:rsidRPr="00396195">
              <w:rPr>
                <w:bCs w:val="0"/>
                <w:iCs w:val="0"/>
              </w:rPr>
              <w:t>krīzes situācijas.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75F4C" w:rsidRDefault="008D4CBD" w:rsidP="008D4CBD">
            <w:pPr>
              <w:pStyle w:val="Nosaukumi"/>
            </w:pPr>
            <w:r w:rsidRPr="00075F4C">
              <w:t>Studējošo patstāvīgo darbu organizācijas un uzdevumu raksturojums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C825DC" w:rsidRPr="00075F4C" w:rsidRDefault="00C825DC" w:rsidP="00075F4C">
            <w:pPr>
              <w:jc w:val="both"/>
            </w:pPr>
            <w:r w:rsidRPr="00075F4C">
              <w:t>Studējošo patstāvīgais darbs tiek organizēts individuāli, un iekļauj sevī divas daļas:</w:t>
            </w:r>
          </w:p>
          <w:p w:rsidR="00C825DC" w:rsidRPr="00075F4C" w:rsidRDefault="00415344" w:rsidP="00075F4C">
            <w:pPr>
              <w:jc w:val="both"/>
            </w:pPr>
            <w:r w:rsidRPr="00075F4C">
              <w:t>1. obligāto</w:t>
            </w:r>
            <w:r w:rsidR="00DB269A" w:rsidRPr="00075F4C">
              <w:t xml:space="preserve"> u.c. </w:t>
            </w:r>
            <w:r w:rsidRPr="00075F4C">
              <w:t xml:space="preserve">informācijas avotu </w:t>
            </w:r>
            <w:r w:rsidR="00C825DC" w:rsidRPr="00075F4C">
              <w:t>studēšana</w:t>
            </w:r>
            <w:r w:rsidR="00075F4C" w:rsidRPr="00075F4C">
              <w:t>, pētīšana, lietošana, gatavojoties semināru nodarbībām;</w:t>
            </w:r>
          </w:p>
          <w:p w:rsidR="003E31ED" w:rsidRPr="00075F4C" w:rsidRDefault="00415344" w:rsidP="00075F4C">
            <w:pPr>
              <w:spacing w:after="160"/>
              <w:jc w:val="both"/>
              <w:rPr>
                <w:lang w:eastAsia="ru-RU"/>
              </w:rPr>
            </w:pPr>
            <w:r w:rsidRPr="00075F4C">
              <w:t>2. u</w:t>
            </w:r>
            <w:r w:rsidR="00DB269A" w:rsidRPr="00075F4C">
              <w:t>zdevumi, atbilstoši konkrētām</w:t>
            </w:r>
            <w:r w:rsidR="00C825DC" w:rsidRPr="00075F4C">
              <w:t xml:space="preserve"> tēmām,</w:t>
            </w:r>
            <w:r w:rsidR="00DB269A" w:rsidRPr="00075F4C">
              <w:t xml:space="preserve"> </w:t>
            </w:r>
            <w:r w:rsidR="00651F48" w:rsidRPr="00075F4C">
              <w:t xml:space="preserve">kuru rezultāti </w:t>
            </w:r>
            <w:r w:rsidR="00C825DC" w:rsidRPr="00075F4C">
              <w:t xml:space="preserve">jāprezentē </w:t>
            </w:r>
            <w:proofErr w:type="spellStart"/>
            <w:r w:rsidR="00BB3B68">
              <w:t>starppārbaudījumā</w:t>
            </w:r>
            <w:proofErr w:type="spellEnd"/>
            <w:r w:rsidR="00075F4C" w:rsidRPr="00075F4C">
              <w:t xml:space="preserve"> un gala pārbaudījumā/diferencētajā ieskaitē.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BC3A1C" w:rsidP="008D4CBD">
            <w:pPr>
              <w:pStyle w:val="Nosaukumi"/>
            </w:pPr>
            <w:r w:rsidRPr="009B638F">
              <w:t xml:space="preserve"> </w:t>
            </w:r>
            <w:r w:rsidR="008D4CBD" w:rsidRPr="00614914">
              <w:t>Prasības kredītpunktu iegūšanai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6B25F0" w:rsidRDefault="006B25F0" w:rsidP="006B25F0">
            <w:pPr>
              <w:autoSpaceDE/>
              <w:autoSpaceDN/>
              <w:adjustRightInd/>
              <w:jc w:val="both"/>
            </w:pPr>
            <w:r>
              <w:t xml:space="preserve">1. Lekciju apmeklējums: 10%. </w:t>
            </w:r>
          </w:p>
          <w:p w:rsidR="006B25F0" w:rsidRDefault="006B25F0" w:rsidP="006B25F0">
            <w:pPr>
              <w:autoSpaceDE/>
              <w:autoSpaceDN/>
              <w:adjustRightInd/>
              <w:jc w:val="both"/>
            </w:pPr>
            <w:r>
              <w:t>2. Darbs semināros: 20%.</w:t>
            </w:r>
          </w:p>
          <w:p w:rsidR="006B25F0" w:rsidRDefault="006B25F0" w:rsidP="006B25F0">
            <w:pPr>
              <w:autoSpaceDE/>
              <w:autoSpaceDN/>
              <w:adjustRightInd/>
              <w:jc w:val="both"/>
            </w:pPr>
            <w:r>
              <w:t>3. Patstāvīgais darbs: 50%.</w:t>
            </w:r>
          </w:p>
          <w:p w:rsidR="00557272" w:rsidRDefault="006B25F0" w:rsidP="006B25F0">
            <w:pPr>
              <w:jc w:val="both"/>
            </w:pPr>
            <w:r>
              <w:t>4. Diferencētā ieskaite: 20%.</w:t>
            </w:r>
          </w:p>
          <w:p w:rsidR="006B25F0" w:rsidRDefault="006B25F0" w:rsidP="005422FE"/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608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</w:tblGrid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Pārbaudījumu veidi</w:t>
                  </w:r>
                </w:p>
              </w:tc>
              <w:tc>
                <w:tcPr>
                  <w:tcW w:w="33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Studiju rezultāti</w:t>
                  </w:r>
                </w:p>
              </w:tc>
            </w:tr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6.</w:t>
                  </w:r>
                </w:p>
              </w:tc>
            </w:tr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A10C2" w:rsidRPr="00457138" w:rsidRDefault="008A10C2" w:rsidP="00721ED1">
                  <w:r w:rsidRPr="007E751F">
                    <w:t>Gala pārbaudījums/diferencētā ieskaite</w:t>
                  </w:r>
                  <w:r>
                    <w:t xml:space="preserve"> 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t>Kursa saturs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4C3731" w:rsidRDefault="00DB269A" w:rsidP="004C3731">
            <w:pPr>
              <w:overflowPunct w:val="0"/>
              <w:jc w:val="both"/>
              <w:textAlignment w:val="baseline"/>
            </w:pPr>
            <w:r w:rsidRPr="00C31C7A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="004C3731">
              <w:t>Finanšu vadības būtība un loma. L2, P2, Pd6</w:t>
            </w:r>
          </w:p>
          <w:p w:rsidR="004C3731" w:rsidRDefault="00FF0A0E" w:rsidP="004C3731">
            <w:pPr>
              <w:overflowPunct w:val="0"/>
              <w:jc w:val="both"/>
              <w:textAlignment w:val="baseline"/>
            </w:pPr>
            <w:r>
              <w:t xml:space="preserve">2. </w:t>
            </w:r>
            <w:r w:rsidR="004C3731">
              <w:t>tēma. Aktīvu pārvaldīšana (investīciju projektu novērtēšana, aktīvu vērtības noteikšana, apgrozāmo līdzekļu vadīšana). L2, P2, Pd6</w:t>
            </w:r>
          </w:p>
          <w:p w:rsidR="004C3731" w:rsidRDefault="004C3731" w:rsidP="004C3731">
            <w:pPr>
              <w:overflowPunct w:val="0"/>
              <w:jc w:val="both"/>
              <w:textAlignment w:val="baseline"/>
            </w:pPr>
            <w:r>
              <w:t>3. tēma. Pasīvu pārvaldīšana (pašu un aizņemta kapitāla pārvaldīšana, kapitāla cenas un struktūras novērtēšana). L2, P2, Pd6</w:t>
            </w:r>
          </w:p>
          <w:p w:rsidR="004C3731" w:rsidRDefault="004C3731" w:rsidP="004C3731">
            <w:pPr>
              <w:overflowPunct w:val="0"/>
              <w:jc w:val="both"/>
              <w:textAlignment w:val="baseline"/>
            </w:pPr>
            <w:r>
              <w:rPr>
                <w:bCs w:val="0"/>
              </w:rPr>
              <w:lastRenderedPageBreak/>
              <w:t xml:space="preserve">4. tēma. Izmaksu vadība. </w:t>
            </w:r>
            <w:r>
              <w:t xml:space="preserve">L2, P2, Pd6 </w:t>
            </w:r>
          </w:p>
          <w:p w:rsidR="004C3731" w:rsidRDefault="004C3731" w:rsidP="004C3731">
            <w:pPr>
              <w:overflowPunct w:val="0"/>
              <w:jc w:val="both"/>
              <w:textAlignment w:val="baseline"/>
              <w:rPr>
                <w:bCs w:val="0"/>
              </w:rPr>
            </w:pPr>
            <w:r>
              <w:rPr>
                <w:bCs w:val="0"/>
              </w:rPr>
              <w:t>5. tēma. Budžeta sastādīšana. Naudas plūsmas prognozēšana. Finanšu risku vadība.</w:t>
            </w:r>
            <w:r w:rsidR="00FF0A0E">
              <w:rPr>
                <w:bCs w:val="0"/>
              </w:rPr>
              <w:t xml:space="preserve"> </w:t>
            </w:r>
            <w:r w:rsidR="00FF0A0E">
              <w:t>L2, P2, Pd6</w:t>
            </w:r>
          </w:p>
          <w:p w:rsidR="004C3731" w:rsidRPr="00333FB4" w:rsidRDefault="004C3731" w:rsidP="004C3731">
            <w:pPr>
              <w:overflowPunct w:val="0"/>
              <w:jc w:val="both"/>
              <w:textAlignment w:val="baseline"/>
              <w:rPr>
                <w:bCs w:val="0"/>
              </w:rPr>
            </w:pPr>
            <w:r>
              <w:rPr>
                <w:bCs w:val="0"/>
              </w:rPr>
              <w:t xml:space="preserve">6. tēma. </w:t>
            </w:r>
            <w:r>
              <w:t>F</w:t>
            </w:r>
            <w:r w:rsidRPr="00D337F5">
              <w:t>i</w:t>
            </w:r>
            <w:r>
              <w:t xml:space="preserve">nanšu vadības </w:t>
            </w:r>
            <w:proofErr w:type="spellStart"/>
            <w:r>
              <w:t>problēmrisinājumi</w:t>
            </w:r>
            <w:proofErr w:type="spellEnd"/>
            <w:r>
              <w:t>.</w:t>
            </w:r>
            <w:r w:rsidR="00FF0A0E">
              <w:rPr>
                <w:bCs w:val="0"/>
              </w:rPr>
              <w:t xml:space="preserve"> </w:t>
            </w:r>
            <w:r w:rsidR="00FF0A0E">
              <w:t>L2, P2, Pd6</w:t>
            </w:r>
          </w:p>
          <w:p w:rsidR="004C3731" w:rsidRDefault="004C3731" w:rsidP="004C3731">
            <w:pPr>
              <w:overflowPunct w:val="0"/>
              <w:jc w:val="both"/>
              <w:textAlignment w:val="baseline"/>
            </w:pPr>
            <w:r>
              <w:t xml:space="preserve">7. tēma. </w:t>
            </w:r>
            <w:r w:rsidRPr="007D585C">
              <w:t>Starptautiskā finanšu vadība</w:t>
            </w:r>
            <w:r>
              <w:t>.</w:t>
            </w:r>
            <w:r w:rsidR="00FF0A0E">
              <w:rPr>
                <w:bCs w:val="0"/>
              </w:rPr>
              <w:t xml:space="preserve"> </w:t>
            </w:r>
            <w:r w:rsidR="00FF0A0E">
              <w:t>L2, P2, Pd6</w:t>
            </w:r>
          </w:p>
          <w:p w:rsidR="004C3731" w:rsidRDefault="004C3731" w:rsidP="004C3731">
            <w:pPr>
              <w:overflowPunct w:val="0"/>
              <w:jc w:val="both"/>
              <w:textAlignment w:val="baseline"/>
            </w:pPr>
            <w:r>
              <w:rPr>
                <w:bCs w:val="0"/>
                <w:iCs w:val="0"/>
              </w:rPr>
              <w:t>8. tēma. ES struktūrfondu līdzekļu un citu finanšu atbalsta instrumentu piesaiste.</w:t>
            </w:r>
            <w:r w:rsidR="00FF0A0E">
              <w:rPr>
                <w:bCs w:val="0"/>
              </w:rPr>
              <w:t xml:space="preserve"> </w:t>
            </w:r>
            <w:r w:rsidR="00FF0A0E">
              <w:t>L2, P2, Pd6</w:t>
            </w:r>
          </w:p>
          <w:p w:rsidR="00026C21" w:rsidRPr="00026C21" w:rsidRDefault="006F781F" w:rsidP="00384ED8">
            <w:pPr>
              <w:jc w:val="both"/>
              <w:rPr>
                <w:color w:val="0070C0"/>
              </w:rPr>
            </w:pPr>
            <w:r w:rsidRPr="00C26310">
              <w:t>Gala pārbaudījums</w:t>
            </w:r>
            <w:r>
              <w:t>/diferencētā ieskaite</w:t>
            </w:r>
            <w:r w:rsidRPr="00C26310">
              <w:t xml:space="preserve">: </w:t>
            </w:r>
            <w:r w:rsidR="00384ED8">
              <w:rPr>
                <w:bCs w:val="0"/>
                <w:color w:val="000000"/>
              </w:rPr>
              <w:t>konkrētu tēmu</w:t>
            </w:r>
            <w:r w:rsidR="00384ED8" w:rsidRPr="00C26310">
              <w:rPr>
                <w:bCs w:val="0"/>
                <w:color w:val="000000"/>
              </w:rPr>
              <w:t xml:space="preserve"> izpēte un </w:t>
            </w:r>
            <w:r w:rsidR="00384ED8">
              <w:rPr>
                <w:bCs w:val="0"/>
                <w:color w:val="000000"/>
              </w:rPr>
              <w:t xml:space="preserve">to </w:t>
            </w:r>
            <w:r w:rsidR="00384ED8" w:rsidRPr="00C26310">
              <w:t>prezentācija</w:t>
            </w:r>
            <w:r w:rsidR="00384ED8">
              <w:t xml:space="preserve">.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EB5B1B">
            <w:pPr>
              <w:pStyle w:val="Nosaukumi"/>
              <w:jc w:val="both"/>
            </w:pPr>
            <w:r w:rsidRPr="00026C21">
              <w:lastRenderedPageBreak/>
              <w:t>Obligāti izmantojamie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B37744" w:rsidRPr="00B37744" w:rsidRDefault="006A4421" w:rsidP="003C674D">
            <w:pPr>
              <w:jc w:val="both"/>
            </w:pPr>
            <w:r w:rsidRPr="005C5AC3">
              <w:rPr>
                <w:bCs w:val="0"/>
              </w:rPr>
              <w:t>1.</w:t>
            </w:r>
            <w:r w:rsidR="00DA64FE" w:rsidRPr="005C5AC3">
              <w:t xml:space="preserve"> </w:t>
            </w:r>
            <w:r w:rsidR="00B37744">
              <w:rPr>
                <w:lang w:val="en-US"/>
              </w:rPr>
              <w:t xml:space="preserve">Arnold, G. (2005). </w:t>
            </w:r>
            <w:r w:rsidR="00B37744" w:rsidRPr="00F51B6B">
              <w:rPr>
                <w:lang w:val="en-US"/>
              </w:rPr>
              <w:t>Corporate Financial Management.</w:t>
            </w:r>
            <w:r w:rsidR="00B37744" w:rsidRPr="004B736F">
              <w:rPr>
                <w:lang w:val="en-US"/>
              </w:rPr>
              <w:t xml:space="preserve"> UK: Prentice Hall Pearson Education, ISBN 0-273-68726-3, </w:t>
            </w:r>
            <w:r w:rsidR="00292679">
              <w:rPr>
                <w:lang w:val="en-US"/>
              </w:rPr>
              <w:t>p.</w:t>
            </w:r>
            <w:r w:rsidR="00B37744">
              <w:rPr>
                <w:lang w:val="en-US"/>
              </w:rPr>
              <w:t>1200.</w:t>
            </w:r>
          </w:p>
          <w:p w:rsidR="00B37744" w:rsidRDefault="00B37744" w:rsidP="003C674D">
            <w:pPr>
              <w:autoSpaceDE/>
              <w:autoSpaceDN/>
              <w:adjustRightInd/>
              <w:jc w:val="both"/>
            </w:pPr>
            <w:r>
              <w:t xml:space="preserve">2. </w:t>
            </w:r>
            <w:proofErr w:type="spellStart"/>
            <w:r w:rsidRPr="001F63F4">
              <w:t>Drury</w:t>
            </w:r>
            <w:proofErr w:type="spellEnd"/>
            <w:r w:rsidRPr="001F63F4">
              <w:t>, C</w:t>
            </w:r>
            <w:r w:rsidRPr="003C700E">
              <w:t>.</w:t>
            </w:r>
            <w:r>
              <w:t xml:space="preserve"> (2009). </w:t>
            </w:r>
            <w:proofErr w:type="spellStart"/>
            <w:r w:rsidRPr="00B37744">
              <w:t>Management</w:t>
            </w:r>
            <w:proofErr w:type="spellEnd"/>
            <w:r w:rsidRPr="00B37744">
              <w:t xml:space="preserve"> </w:t>
            </w:r>
            <w:proofErr w:type="spellStart"/>
            <w:r w:rsidRPr="00B37744">
              <w:t>accounting</w:t>
            </w:r>
            <w:proofErr w:type="spellEnd"/>
            <w:r w:rsidRPr="00B37744">
              <w:t xml:space="preserve"> </w:t>
            </w:r>
            <w:proofErr w:type="spellStart"/>
            <w:r w:rsidRPr="00B37744">
              <w:t>for</w:t>
            </w:r>
            <w:proofErr w:type="spellEnd"/>
            <w:r w:rsidRPr="00B37744">
              <w:t xml:space="preserve"> </w:t>
            </w:r>
            <w:proofErr w:type="spellStart"/>
            <w:r w:rsidRPr="00B37744">
              <w:t>Business</w:t>
            </w:r>
            <w:proofErr w:type="spellEnd"/>
            <w:r w:rsidRPr="00B37744">
              <w:t>,</w:t>
            </w:r>
            <w:r>
              <w:rPr>
                <w:i/>
              </w:rPr>
              <w:t xml:space="preserve"> </w:t>
            </w:r>
            <w:r>
              <w:t xml:space="preserve">4th </w:t>
            </w:r>
            <w:proofErr w:type="spellStart"/>
            <w:r>
              <w:t>ed</w:t>
            </w:r>
            <w:proofErr w:type="spellEnd"/>
            <w:r>
              <w:t xml:space="preserve">. UK: </w:t>
            </w:r>
            <w:proofErr w:type="spellStart"/>
            <w:r>
              <w:t>Cengage</w:t>
            </w:r>
            <w:proofErr w:type="spellEnd"/>
            <w:r>
              <w:t xml:space="preserve">  </w:t>
            </w:r>
            <w:proofErr w:type="spellStart"/>
            <w:r>
              <w:t>Learning</w:t>
            </w:r>
            <w:proofErr w:type="spellEnd"/>
            <w:r>
              <w:t>, ISBN978-1-40861-771-5, p. 488.</w:t>
            </w:r>
          </w:p>
          <w:p w:rsidR="00292679" w:rsidRDefault="00292679" w:rsidP="003C674D">
            <w:pPr>
              <w:autoSpaceDE/>
              <w:autoSpaceDN/>
              <w:adjustRightInd/>
              <w:jc w:val="both"/>
            </w:pPr>
            <w:r>
              <w:t xml:space="preserve">3. </w:t>
            </w:r>
            <w:proofErr w:type="spellStart"/>
            <w:r w:rsidRPr="00292679">
              <w:t>Hawawini</w:t>
            </w:r>
            <w:proofErr w:type="spellEnd"/>
            <w:r w:rsidRPr="00292679">
              <w:t>, G. (2001).</w:t>
            </w:r>
            <w:r>
              <w:rPr>
                <w:b/>
              </w:rPr>
              <w:t xml:space="preserve"> </w:t>
            </w:r>
            <w:r>
              <w:t xml:space="preserve">Finance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executives</w:t>
            </w:r>
            <w:proofErr w:type="spellEnd"/>
            <w:r>
              <w:t xml:space="preserve">: </w:t>
            </w:r>
            <w:proofErr w:type="spellStart"/>
            <w:r>
              <w:t>managing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value</w:t>
            </w:r>
            <w:proofErr w:type="spellEnd"/>
            <w:r>
              <w:t xml:space="preserve"> </w:t>
            </w:r>
            <w:proofErr w:type="spellStart"/>
            <w:r>
              <w:t>creation</w:t>
            </w:r>
            <w:proofErr w:type="spellEnd"/>
            <w:r>
              <w:t xml:space="preserve">. </w:t>
            </w:r>
            <w:proofErr w:type="spellStart"/>
            <w:r>
              <w:t>United</w:t>
            </w:r>
            <w:proofErr w:type="spellEnd"/>
            <w:r>
              <w:t xml:space="preserve"> </w:t>
            </w:r>
            <w:proofErr w:type="spellStart"/>
            <w:r>
              <w:t>States</w:t>
            </w:r>
            <w:proofErr w:type="spellEnd"/>
            <w:r>
              <w:t>: South-</w:t>
            </w:r>
            <w:proofErr w:type="spellStart"/>
            <w:r>
              <w:t>Western</w:t>
            </w:r>
            <w:proofErr w:type="spellEnd"/>
            <w:r>
              <w:t>, p. 606.</w:t>
            </w:r>
          </w:p>
          <w:p w:rsidR="00292679" w:rsidRDefault="00292679" w:rsidP="003C674D">
            <w:pPr>
              <w:autoSpaceDE/>
              <w:autoSpaceDN/>
              <w:adjustRightInd/>
              <w:jc w:val="both"/>
            </w:pPr>
            <w:r>
              <w:t xml:space="preserve">4. </w:t>
            </w:r>
            <w:proofErr w:type="spellStart"/>
            <w:r w:rsidRPr="00292679">
              <w:t>Leibus</w:t>
            </w:r>
            <w:proofErr w:type="spellEnd"/>
            <w:r w:rsidRPr="00292679">
              <w:t>, I. (2018).</w:t>
            </w:r>
            <w:r>
              <w:rPr>
                <w:b/>
              </w:rPr>
              <w:t xml:space="preserve"> </w:t>
            </w:r>
            <w:r>
              <w:t>Finanšu grāmatvedība. Rīga: Lietišķās informācijas dienests. 318. lpp.</w:t>
            </w:r>
          </w:p>
          <w:p w:rsidR="00EC79C3" w:rsidRPr="00026C21" w:rsidRDefault="00292679" w:rsidP="003C674D">
            <w:pPr>
              <w:jc w:val="both"/>
            </w:pPr>
            <w:r>
              <w:t xml:space="preserve">5. </w:t>
            </w:r>
            <w:proofErr w:type="spellStart"/>
            <w:r w:rsidR="00B37744" w:rsidRPr="00B431C5">
              <w:t>Rurāne</w:t>
            </w:r>
            <w:proofErr w:type="spellEnd"/>
            <w:r w:rsidR="00B37744">
              <w:t xml:space="preserve">, </w:t>
            </w:r>
            <w:r w:rsidR="00B37744" w:rsidRPr="00B431C5">
              <w:t>M.</w:t>
            </w:r>
            <w:r w:rsidR="00B37744">
              <w:t xml:space="preserve"> (2001). </w:t>
            </w:r>
            <w:r>
              <w:t>Finanš</w:t>
            </w:r>
            <w:r w:rsidR="00B37744" w:rsidRPr="00F51B6B">
              <w:t>u pārvaldība.</w:t>
            </w:r>
            <w:r w:rsidR="00B37744">
              <w:t xml:space="preserve"> </w:t>
            </w:r>
            <w:r w:rsidR="00B37744" w:rsidRPr="00B431C5">
              <w:t>R</w:t>
            </w:r>
            <w:r w:rsidR="00B37744">
              <w:t>īga: LIF</w:t>
            </w:r>
            <w:r>
              <w:t xml:space="preserve">. </w:t>
            </w:r>
            <w:r w:rsidR="00B37744">
              <w:t>288 lpp.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6249D8">
            <w:pPr>
              <w:pStyle w:val="Nosaukumi"/>
              <w:jc w:val="both"/>
            </w:pPr>
            <w:r w:rsidRPr="00026C21">
              <w:t>Papildus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F51B6B" w:rsidRPr="003C674D" w:rsidRDefault="006A4421" w:rsidP="00F51B6B">
            <w:pPr>
              <w:jc w:val="both"/>
            </w:pPr>
            <w:r w:rsidRPr="003C674D">
              <w:rPr>
                <w:bCs w:val="0"/>
                <w:color w:val="000000"/>
              </w:rPr>
              <w:t>1.</w:t>
            </w:r>
            <w:r w:rsidR="004B222D" w:rsidRPr="003C674D">
              <w:rPr>
                <w:bCs w:val="0"/>
                <w:color w:val="000000"/>
              </w:rPr>
              <w:t xml:space="preserve"> </w:t>
            </w:r>
            <w:proofErr w:type="spellStart"/>
            <w:r w:rsidR="00F51B6B" w:rsidRPr="003C674D">
              <w:t>Brenegena</w:t>
            </w:r>
            <w:proofErr w:type="spellEnd"/>
            <w:r w:rsidR="00F51B6B" w:rsidRPr="003C674D">
              <w:t>, A. (2019).</w:t>
            </w:r>
            <w:r w:rsidR="00F51B6B" w:rsidRPr="003C674D">
              <w:rPr>
                <w:b/>
              </w:rPr>
              <w:t xml:space="preserve"> </w:t>
            </w:r>
            <w:r w:rsidR="00F51B6B" w:rsidRPr="003C674D">
              <w:t xml:space="preserve">Uzņēmējdarbības rokasgrāmata māksliniekiem un dizaineriem. Rīga: Jumava. </w:t>
            </w:r>
          </w:p>
          <w:p w:rsidR="001254FC" w:rsidRPr="003C674D" w:rsidRDefault="001254FC" w:rsidP="00F51B6B">
            <w:pPr>
              <w:jc w:val="both"/>
              <w:rPr>
                <w:bCs w:val="0"/>
              </w:rPr>
            </w:pPr>
            <w:r w:rsidRPr="003C674D">
              <w:t xml:space="preserve">2. </w:t>
            </w:r>
            <w:proofErr w:type="spellStart"/>
            <w:r w:rsidRPr="003C674D">
              <w:t>Byrnes</w:t>
            </w:r>
            <w:proofErr w:type="spellEnd"/>
            <w:r w:rsidRPr="003C674D">
              <w:t xml:space="preserve">, W. J. (2015). </w:t>
            </w:r>
            <w:proofErr w:type="spellStart"/>
            <w:r w:rsidRPr="003C674D">
              <w:t>Management</w:t>
            </w:r>
            <w:proofErr w:type="spellEnd"/>
            <w:r w:rsidRPr="003C674D">
              <w:t xml:space="preserve"> </w:t>
            </w:r>
            <w:proofErr w:type="spellStart"/>
            <w:r w:rsidRPr="003C674D">
              <w:t>and</w:t>
            </w:r>
            <w:proofErr w:type="spellEnd"/>
            <w:r w:rsidRPr="003C674D">
              <w:t xml:space="preserve"> </w:t>
            </w:r>
            <w:proofErr w:type="spellStart"/>
            <w:r w:rsidRPr="003C674D">
              <w:t>the</w:t>
            </w:r>
            <w:proofErr w:type="spellEnd"/>
            <w:r w:rsidRPr="003C674D">
              <w:t xml:space="preserve"> arts. </w:t>
            </w:r>
            <w:proofErr w:type="spellStart"/>
            <w:r w:rsidRPr="003C674D">
              <w:t>New</w:t>
            </w:r>
            <w:proofErr w:type="spellEnd"/>
            <w:r w:rsidRPr="003C674D">
              <w:t xml:space="preserve"> </w:t>
            </w:r>
            <w:proofErr w:type="spellStart"/>
            <w:r w:rsidRPr="003C674D">
              <w:t>York</w:t>
            </w:r>
            <w:proofErr w:type="spellEnd"/>
            <w:r w:rsidRPr="003C674D">
              <w:t xml:space="preserve">: </w:t>
            </w:r>
            <w:proofErr w:type="spellStart"/>
            <w:r w:rsidRPr="003C674D">
              <w:t>Focal</w:t>
            </w:r>
            <w:proofErr w:type="spellEnd"/>
            <w:r w:rsidRPr="003C674D">
              <w:t xml:space="preserve"> </w:t>
            </w:r>
            <w:proofErr w:type="spellStart"/>
            <w:r w:rsidRPr="003C674D">
              <w:t>Press</w:t>
            </w:r>
            <w:proofErr w:type="spellEnd"/>
            <w:r w:rsidRPr="003C674D">
              <w:t xml:space="preserve">, </w:t>
            </w:r>
            <w:proofErr w:type="spellStart"/>
            <w:r w:rsidRPr="003C674D">
              <w:t>Taylor</w:t>
            </w:r>
            <w:proofErr w:type="spellEnd"/>
            <w:r w:rsidRPr="003C674D">
              <w:t xml:space="preserve"> &amp; Francis </w:t>
            </w:r>
            <w:proofErr w:type="spellStart"/>
            <w:r w:rsidRPr="003C674D">
              <w:t>Group</w:t>
            </w:r>
            <w:proofErr w:type="spellEnd"/>
            <w:r w:rsidRPr="003C674D">
              <w:t>.</w:t>
            </w:r>
          </w:p>
          <w:p w:rsidR="00F51B6B" w:rsidRPr="003C674D" w:rsidRDefault="001254FC" w:rsidP="00F51B6B">
            <w:pPr>
              <w:jc w:val="both"/>
              <w:rPr>
                <w:lang w:val="en-GB"/>
              </w:rPr>
            </w:pPr>
            <w:r w:rsidRPr="003C674D">
              <w:rPr>
                <w:lang w:val="en-GB"/>
              </w:rPr>
              <w:t xml:space="preserve">3. </w:t>
            </w:r>
            <w:proofErr w:type="spellStart"/>
            <w:r w:rsidR="00F51B6B" w:rsidRPr="003C674D">
              <w:rPr>
                <w:lang w:val="en-GB"/>
              </w:rPr>
              <w:t>Daves</w:t>
            </w:r>
            <w:proofErr w:type="spellEnd"/>
            <w:r w:rsidR="00F51B6B" w:rsidRPr="003C674D">
              <w:rPr>
                <w:lang w:val="en-GB"/>
              </w:rPr>
              <w:t xml:space="preserve">, Ph. R., Ehrhardt, M. C., </w:t>
            </w:r>
            <w:proofErr w:type="spellStart"/>
            <w:r w:rsidR="00F51B6B" w:rsidRPr="003C674D">
              <w:rPr>
                <w:lang w:val="en-GB"/>
              </w:rPr>
              <w:t>Shrieves</w:t>
            </w:r>
            <w:proofErr w:type="spellEnd"/>
            <w:r w:rsidR="00F51B6B" w:rsidRPr="003C674D">
              <w:rPr>
                <w:lang w:val="en-GB"/>
              </w:rPr>
              <w:t>, R. E. (2004).</w:t>
            </w:r>
            <w:r w:rsidR="00F51B6B" w:rsidRPr="003C674D">
              <w:rPr>
                <w:i/>
                <w:lang w:val="en-GB"/>
              </w:rPr>
              <w:t xml:space="preserve"> </w:t>
            </w:r>
            <w:r w:rsidR="00F51B6B" w:rsidRPr="003C674D">
              <w:rPr>
                <w:lang w:val="en-GB"/>
              </w:rPr>
              <w:t xml:space="preserve">Corporate Valuation: </w:t>
            </w:r>
            <w:proofErr w:type="gramStart"/>
            <w:r w:rsidR="00F51B6B" w:rsidRPr="003C674D">
              <w:rPr>
                <w:lang w:val="en-GB"/>
              </w:rPr>
              <w:t>A  Guide</w:t>
            </w:r>
            <w:proofErr w:type="gramEnd"/>
            <w:r w:rsidR="00F51B6B" w:rsidRPr="003C674D">
              <w:rPr>
                <w:lang w:val="en-GB"/>
              </w:rPr>
              <w:t xml:space="preserve"> for Managers and Investors. USA: Cengage Learning South –Western</w:t>
            </w:r>
            <w:r w:rsidR="00292679" w:rsidRPr="003C674D">
              <w:rPr>
                <w:lang w:val="en-GB"/>
              </w:rPr>
              <w:t xml:space="preserve">, </w:t>
            </w:r>
            <w:r w:rsidR="00F51B6B" w:rsidRPr="003C674D">
              <w:rPr>
                <w:lang w:val="en-GB"/>
              </w:rPr>
              <w:t>p. 301.</w:t>
            </w:r>
          </w:p>
          <w:p w:rsidR="00CB368C" w:rsidRPr="003C674D" w:rsidRDefault="001254FC" w:rsidP="00F51B6B">
            <w:pPr>
              <w:jc w:val="both"/>
            </w:pPr>
            <w:r w:rsidRPr="003C674D">
              <w:t xml:space="preserve">4. </w:t>
            </w:r>
            <w:proofErr w:type="spellStart"/>
            <w:r w:rsidR="00CB368C" w:rsidRPr="003C674D">
              <w:t>Ghandour</w:t>
            </w:r>
            <w:proofErr w:type="spellEnd"/>
            <w:r w:rsidR="00CB368C" w:rsidRPr="003C674D">
              <w:t>, T. (2020).</w:t>
            </w:r>
            <w:r w:rsidR="00CB368C" w:rsidRPr="003C674D">
              <w:rPr>
                <w:b/>
              </w:rPr>
              <w:t xml:space="preserve"> </w:t>
            </w:r>
            <w:proofErr w:type="spellStart"/>
            <w:r w:rsidR="00CB368C" w:rsidRPr="003C674D">
              <w:t>Innovation</w:t>
            </w:r>
            <w:proofErr w:type="spellEnd"/>
            <w:r w:rsidR="00CB368C" w:rsidRPr="003C674D">
              <w:t xml:space="preserve"> </w:t>
            </w:r>
            <w:proofErr w:type="spellStart"/>
            <w:r w:rsidR="00CB368C" w:rsidRPr="003C674D">
              <w:t>is</w:t>
            </w:r>
            <w:proofErr w:type="spellEnd"/>
            <w:r w:rsidR="00CB368C" w:rsidRPr="003C674D">
              <w:t xml:space="preserve"> </w:t>
            </w:r>
            <w:proofErr w:type="spellStart"/>
            <w:r w:rsidR="00CB368C" w:rsidRPr="003C674D">
              <w:t>everybody's</w:t>
            </w:r>
            <w:proofErr w:type="spellEnd"/>
            <w:r w:rsidR="00CB368C" w:rsidRPr="003C674D">
              <w:t xml:space="preserve"> </w:t>
            </w:r>
            <w:proofErr w:type="spellStart"/>
            <w:r w:rsidR="00CB368C" w:rsidRPr="003C674D">
              <w:t>business</w:t>
            </w:r>
            <w:proofErr w:type="spellEnd"/>
            <w:r w:rsidR="00CB368C" w:rsidRPr="003C674D">
              <w:t xml:space="preserve">: </w:t>
            </w:r>
            <w:proofErr w:type="spellStart"/>
            <w:r w:rsidR="00CB368C" w:rsidRPr="003C674D">
              <w:t>how</w:t>
            </w:r>
            <w:proofErr w:type="spellEnd"/>
            <w:r w:rsidR="00CB368C" w:rsidRPr="003C674D">
              <w:t xml:space="preserve"> to </w:t>
            </w:r>
            <w:proofErr w:type="spellStart"/>
            <w:r w:rsidR="00CB368C" w:rsidRPr="003C674D">
              <w:t>ignite</w:t>
            </w:r>
            <w:proofErr w:type="spellEnd"/>
            <w:r w:rsidR="00CB368C" w:rsidRPr="003C674D">
              <w:t xml:space="preserve">, </w:t>
            </w:r>
            <w:proofErr w:type="spellStart"/>
            <w:r w:rsidR="00CB368C" w:rsidRPr="003C674D">
              <w:t>scale</w:t>
            </w:r>
            <w:proofErr w:type="spellEnd"/>
            <w:r w:rsidR="00CB368C" w:rsidRPr="003C674D">
              <w:t xml:space="preserve">, </w:t>
            </w:r>
            <w:proofErr w:type="spellStart"/>
            <w:r w:rsidR="00CB368C" w:rsidRPr="003C674D">
              <w:t>and</w:t>
            </w:r>
            <w:proofErr w:type="spellEnd"/>
            <w:r w:rsidR="00CB368C" w:rsidRPr="003C674D">
              <w:t xml:space="preserve"> </w:t>
            </w:r>
            <w:proofErr w:type="spellStart"/>
            <w:r w:rsidR="00CB368C" w:rsidRPr="003C674D">
              <w:t>sustain</w:t>
            </w:r>
            <w:proofErr w:type="spellEnd"/>
            <w:r w:rsidR="00CB368C" w:rsidRPr="003C674D">
              <w:t xml:space="preserve"> </w:t>
            </w:r>
            <w:proofErr w:type="spellStart"/>
            <w:r w:rsidR="00CB368C" w:rsidRPr="003C674D">
              <w:t>innovation</w:t>
            </w:r>
            <w:proofErr w:type="spellEnd"/>
            <w:r w:rsidR="00CB368C" w:rsidRPr="003C674D">
              <w:t xml:space="preserve"> </w:t>
            </w:r>
            <w:proofErr w:type="spellStart"/>
            <w:r w:rsidR="00CB368C" w:rsidRPr="003C674D">
              <w:t>for</w:t>
            </w:r>
            <w:proofErr w:type="spellEnd"/>
            <w:r w:rsidR="00CB368C" w:rsidRPr="003C674D">
              <w:t xml:space="preserve"> </w:t>
            </w:r>
            <w:proofErr w:type="spellStart"/>
            <w:r w:rsidR="00CB368C" w:rsidRPr="003C674D">
              <w:t>competitive</w:t>
            </w:r>
            <w:proofErr w:type="spellEnd"/>
            <w:r w:rsidR="00CB368C" w:rsidRPr="003C674D">
              <w:t xml:space="preserve"> </w:t>
            </w:r>
            <w:proofErr w:type="spellStart"/>
            <w:r w:rsidR="00CB368C" w:rsidRPr="003C674D">
              <w:t>edge</w:t>
            </w:r>
            <w:proofErr w:type="spellEnd"/>
            <w:r w:rsidR="00CB368C" w:rsidRPr="003C674D">
              <w:t xml:space="preserve">. Boston: </w:t>
            </w:r>
            <w:proofErr w:type="spellStart"/>
            <w:r w:rsidR="00CB368C" w:rsidRPr="003C674D">
              <w:t>Nicholas</w:t>
            </w:r>
            <w:proofErr w:type="spellEnd"/>
            <w:r w:rsidR="00CB368C" w:rsidRPr="003C674D">
              <w:t xml:space="preserve"> </w:t>
            </w:r>
            <w:proofErr w:type="spellStart"/>
            <w:r w:rsidR="00CB368C" w:rsidRPr="003C674D">
              <w:t>Brealey</w:t>
            </w:r>
            <w:proofErr w:type="spellEnd"/>
            <w:r w:rsidR="00CB368C" w:rsidRPr="003C674D">
              <w:t xml:space="preserve"> </w:t>
            </w:r>
            <w:proofErr w:type="spellStart"/>
            <w:r w:rsidR="00CB368C" w:rsidRPr="003C674D">
              <w:t>Publishing</w:t>
            </w:r>
            <w:proofErr w:type="spellEnd"/>
            <w:r w:rsidR="00CB368C" w:rsidRPr="003C674D">
              <w:t>.</w:t>
            </w:r>
          </w:p>
          <w:p w:rsidR="007027A9" w:rsidRPr="003C674D" w:rsidRDefault="001254FC" w:rsidP="00F51B6B">
            <w:pPr>
              <w:jc w:val="both"/>
              <w:rPr>
                <w:bCs w:val="0"/>
              </w:rPr>
            </w:pPr>
            <w:r w:rsidRPr="003C674D">
              <w:t xml:space="preserve">5. </w:t>
            </w:r>
            <w:proofErr w:type="spellStart"/>
            <w:r w:rsidR="007027A9" w:rsidRPr="003C674D">
              <w:t>Leibus</w:t>
            </w:r>
            <w:proofErr w:type="spellEnd"/>
            <w:r w:rsidR="007027A9" w:rsidRPr="003C674D">
              <w:t>, I. (2019). Uzņēmuma darbības uzsākšana, grāmatvedība un nodokļi. Rīga: Lietišķās informācijas dienests.</w:t>
            </w:r>
          </w:p>
          <w:p w:rsidR="00F51B6B" w:rsidRPr="003C674D" w:rsidRDefault="001254FC" w:rsidP="00F51B6B">
            <w:pPr>
              <w:jc w:val="both"/>
              <w:rPr>
                <w:bCs w:val="0"/>
              </w:rPr>
            </w:pPr>
            <w:r w:rsidRPr="003C674D">
              <w:t xml:space="preserve">6. </w:t>
            </w:r>
            <w:proofErr w:type="spellStart"/>
            <w:r w:rsidR="00F51B6B" w:rsidRPr="003C674D">
              <w:t>Needles</w:t>
            </w:r>
            <w:proofErr w:type="spellEnd"/>
            <w:r w:rsidR="00F51B6B" w:rsidRPr="003C674D">
              <w:t xml:space="preserve">, E., </w:t>
            </w:r>
            <w:proofErr w:type="spellStart"/>
            <w:r w:rsidR="00F51B6B" w:rsidRPr="003C674D">
              <w:t>Belverd</w:t>
            </w:r>
            <w:proofErr w:type="spellEnd"/>
            <w:r w:rsidR="00F51B6B" w:rsidRPr="003C674D">
              <w:t xml:space="preserve">, </w:t>
            </w:r>
            <w:proofErr w:type="spellStart"/>
            <w:r w:rsidR="00F51B6B" w:rsidRPr="003C674D">
              <w:t>Jr</w:t>
            </w:r>
            <w:proofErr w:type="spellEnd"/>
            <w:r w:rsidR="00F51B6B" w:rsidRPr="003C674D">
              <w:t>. (2004).</w:t>
            </w:r>
            <w:r w:rsidR="00F51B6B" w:rsidRPr="003C674D">
              <w:rPr>
                <w:b/>
              </w:rPr>
              <w:t xml:space="preserve"> </w:t>
            </w:r>
            <w:proofErr w:type="spellStart"/>
            <w:r w:rsidR="00F51B6B" w:rsidRPr="003C674D">
              <w:t>Financial</w:t>
            </w:r>
            <w:proofErr w:type="spellEnd"/>
            <w:r w:rsidR="00F51B6B" w:rsidRPr="003C674D">
              <w:t xml:space="preserve"> &amp; </w:t>
            </w:r>
            <w:proofErr w:type="spellStart"/>
            <w:r w:rsidR="00F51B6B" w:rsidRPr="003C674D">
              <w:t>Managerial</w:t>
            </w:r>
            <w:proofErr w:type="spellEnd"/>
            <w:r w:rsidR="00F51B6B" w:rsidRPr="003C674D">
              <w:t xml:space="preserve"> </w:t>
            </w:r>
            <w:proofErr w:type="spellStart"/>
            <w:r w:rsidR="00F51B6B" w:rsidRPr="003C674D">
              <w:t>Accounting</w:t>
            </w:r>
            <w:proofErr w:type="spellEnd"/>
            <w:r w:rsidR="00F51B6B" w:rsidRPr="003C674D">
              <w:t>. 7</w:t>
            </w:r>
            <w:r w:rsidR="00F51B6B" w:rsidRPr="003C674D">
              <w:rPr>
                <w:vertAlign w:val="superscript"/>
              </w:rPr>
              <w:t>th</w:t>
            </w:r>
            <w:r w:rsidR="00F51B6B" w:rsidRPr="003C674D">
              <w:t xml:space="preserve"> </w:t>
            </w:r>
            <w:proofErr w:type="spellStart"/>
            <w:r w:rsidR="00F51B6B" w:rsidRPr="003C674D">
              <w:t>ed</w:t>
            </w:r>
            <w:proofErr w:type="spellEnd"/>
            <w:r w:rsidR="00F51B6B" w:rsidRPr="003C674D">
              <w:t xml:space="preserve">. </w:t>
            </w:r>
            <w:proofErr w:type="spellStart"/>
            <w:r w:rsidR="00F51B6B" w:rsidRPr="003C674D">
              <w:t>Hou</w:t>
            </w:r>
            <w:r w:rsidR="00F51B6B" w:rsidRPr="003C674D">
              <w:rPr>
                <w:lang w:val="en-GB"/>
              </w:rPr>
              <w:t>ghton</w:t>
            </w:r>
            <w:proofErr w:type="spellEnd"/>
            <w:r w:rsidR="00F51B6B" w:rsidRPr="003C674D">
              <w:rPr>
                <w:lang w:val="en-GB"/>
              </w:rPr>
              <w:t xml:space="preserve"> Mifflin Company, </w:t>
            </w:r>
            <w:r w:rsidR="00F51B6B" w:rsidRPr="003C674D">
              <w:t>ISBN978-1-84480-134-6, p. 657.</w:t>
            </w:r>
          </w:p>
          <w:p w:rsidR="00581CB8" w:rsidRPr="003C674D" w:rsidRDefault="001254FC" w:rsidP="00581CB8">
            <w:pPr>
              <w:jc w:val="both"/>
              <w:rPr>
                <w:bCs w:val="0"/>
              </w:rPr>
            </w:pPr>
            <w:r w:rsidRPr="003C674D">
              <w:t xml:space="preserve">7. </w:t>
            </w:r>
            <w:proofErr w:type="spellStart"/>
            <w:r w:rsidR="00581CB8" w:rsidRPr="003C674D">
              <w:t>Rība</w:t>
            </w:r>
            <w:proofErr w:type="spellEnd"/>
            <w:r w:rsidR="00581CB8" w:rsidRPr="003C674D">
              <w:t>, A. (2020).</w:t>
            </w:r>
            <w:r w:rsidR="00581CB8" w:rsidRPr="003C674D">
              <w:rPr>
                <w:b/>
              </w:rPr>
              <w:t xml:space="preserve"> </w:t>
            </w:r>
            <w:r w:rsidR="00581CB8" w:rsidRPr="003C674D">
              <w:t xml:space="preserve">Veiksmīga biznesa psiholoģija: percepcijas jeb uztveres varā. </w:t>
            </w:r>
            <w:r w:rsidR="004B222D" w:rsidRPr="003C674D">
              <w:t xml:space="preserve">Rīga: </w:t>
            </w:r>
            <w:proofErr w:type="spellStart"/>
            <w:r w:rsidR="004B222D" w:rsidRPr="003C674D">
              <w:t>Antava</w:t>
            </w:r>
            <w:proofErr w:type="spellEnd"/>
            <w:r w:rsidR="004B222D" w:rsidRPr="003C674D">
              <w:t>.</w:t>
            </w:r>
          </w:p>
          <w:p w:rsidR="00DA64FE" w:rsidRPr="003C674D" w:rsidRDefault="001254FC" w:rsidP="00DA64FE">
            <w:pPr>
              <w:jc w:val="both"/>
            </w:pPr>
            <w:r w:rsidRPr="003C674D">
              <w:t xml:space="preserve">8. </w:t>
            </w:r>
            <w:proofErr w:type="spellStart"/>
            <w:r w:rsidR="00DA64FE" w:rsidRPr="003C674D">
              <w:t>Roy</w:t>
            </w:r>
            <w:proofErr w:type="spellEnd"/>
            <w:r w:rsidR="00DA64FE" w:rsidRPr="003C674D">
              <w:t>, M. (2021).</w:t>
            </w:r>
            <w:r w:rsidR="00DA64FE" w:rsidRPr="003C674D">
              <w:rPr>
                <w:b/>
              </w:rPr>
              <w:t xml:space="preserve"> </w:t>
            </w:r>
            <w:proofErr w:type="spellStart"/>
            <w:r w:rsidR="00DA64FE" w:rsidRPr="003C674D">
              <w:t>Sustainable</w:t>
            </w:r>
            <w:proofErr w:type="spellEnd"/>
            <w:r w:rsidR="00DA64FE" w:rsidRPr="003C674D">
              <w:t xml:space="preserve"> </w:t>
            </w:r>
            <w:proofErr w:type="spellStart"/>
            <w:r w:rsidR="00DA64FE" w:rsidRPr="003C674D">
              <w:t>development</w:t>
            </w:r>
            <w:proofErr w:type="spellEnd"/>
            <w:r w:rsidR="00DA64FE" w:rsidRPr="003C674D">
              <w:t xml:space="preserve"> </w:t>
            </w:r>
            <w:proofErr w:type="spellStart"/>
            <w:r w:rsidR="00DA64FE" w:rsidRPr="003C674D">
              <w:t>strategies</w:t>
            </w:r>
            <w:proofErr w:type="spellEnd"/>
            <w:r w:rsidR="00DA64FE" w:rsidRPr="003C674D">
              <w:t xml:space="preserve">: </w:t>
            </w:r>
            <w:proofErr w:type="spellStart"/>
            <w:r w:rsidR="00DA64FE" w:rsidRPr="003C674D">
              <w:t>engineering</w:t>
            </w:r>
            <w:proofErr w:type="spellEnd"/>
            <w:r w:rsidR="00DA64FE" w:rsidRPr="003C674D">
              <w:t xml:space="preserve">, </w:t>
            </w:r>
            <w:proofErr w:type="spellStart"/>
            <w:r w:rsidR="00DA64FE" w:rsidRPr="003C674D">
              <w:t>culture</w:t>
            </w:r>
            <w:proofErr w:type="spellEnd"/>
            <w:r w:rsidR="00DA64FE" w:rsidRPr="003C674D">
              <w:t xml:space="preserve"> </w:t>
            </w:r>
            <w:proofErr w:type="spellStart"/>
            <w:r w:rsidR="00DA64FE" w:rsidRPr="003C674D">
              <w:t>and</w:t>
            </w:r>
            <w:proofErr w:type="spellEnd"/>
            <w:r w:rsidR="00DA64FE" w:rsidRPr="003C674D">
              <w:t xml:space="preserve"> </w:t>
            </w:r>
            <w:proofErr w:type="spellStart"/>
            <w:r w:rsidR="00DA64FE" w:rsidRPr="003C674D">
              <w:t>economics</w:t>
            </w:r>
            <w:proofErr w:type="spellEnd"/>
            <w:r w:rsidR="00DA64FE" w:rsidRPr="003C674D">
              <w:t xml:space="preserve">. </w:t>
            </w:r>
            <w:proofErr w:type="spellStart"/>
            <w:r w:rsidR="00DA64FE" w:rsidRPr="003C674D">
              <w:t>Oxford</w:t>
            </w:r>
            <w:proofErr w:type="spellEnd"/>
            <w:r w:rsidR="00DA64FE" w:rsidRPr="003C674D">
              <w:t xml:space="preserve">: </w:t>
            </w:r>
            <w:proofErr w:type="spellStart"/>
            <w:r w:rsidR="00DA64FE" w:rsidRPr="003C674D">
              <w:t>Butterworth-Heinemann</w:t>
            </w:r>
            <w:proofErr w:type="spellEnd"/>
            <w:r w:rsidR="00DA64FE" w:rsidRPr="003C674D">
              <w:t xml:space="preserve">, </w:t>
            </w:r>
            <w:proofErr w:type="spellStart"/>
            <w:r w:rsidR="00DA64FE" w:rsidRPr="003C674D">
              <w:t>an</w:t>
            </w:r>
            <w:proofErr w:type="spellEnd"/>
            <w:r w:rsidR="00DA64FE" w:rsidRPr="003C674D">
              <w:t xml:space="preserve"> </w:t>
            </w:r>
            <w:proofErr w:type="spellStart"/>
            <w:r w:rsidR="00DA64FE" w:rsidRPr="003C674D">
              <w:t>imprint</w:t>
            </w:r>
            <w:proofErr w:type="spellEnd"/>
            <w:r w:rsidR="00DA64FE" w:rsidRPr="003C674D">
              <w:t xml:space="preserve"> </w:t>
            </w:r>
            <w:proofErr w:type="spellStart"/>
            <w:r w:rsidR="00DA64FE" w:rsidRPr="003C674D">
              <w:t>of</w:t>
            </w:r>
            <w:proofErr w:type="spellEnd"/>
            <w:r w:rsidR="00DA64FE" w:rsidRPr="003C674D">
              <w:t xml:space="preserve"> </w:t>
            </w:r>
            <w:proofErr w:type="spellStart"/>
            <w:r w:rsidR="00DA64FE" w:rsidRPr="003C674D">
              <w:t>Elsevier</w:t>
            </w:r>
            <w:proofErr w:type="spellEnd"/>
            <w:r w:rsidR="00DA64FE" w:rsidRPr="003C674D">
              <w:t xml:space="preserve">; </w:t>
            </w:r>
            <w:proofErr w:type="spellStart"/>
            <w:r w:rsidR="00DA64FE" w:rsidRPr="003C674D">
              <w:t>Cambridge</w:t>
            </w:r>
            <w:proofErr w:type="spellEnd"/>
            <w:r w:rsidR="00DA64FE" w:rsidRPr="003C674D">
              <w:t xml:space="preserve">, MA: </w:t>
            </w:r>
            <w:proofErr w:type="spellStart"/>
            <w:r w:rsidR="00DA64FE" w:rsidRPr="003C674D">
              <w:t>Elsevier</w:t>
            </w:r>
            <w:proofErr w:type="spellEnd"/>
            <w:r w:rsidR="00DA64FE" w:rsidRPr="003C674D">
              <w:t>.</w:t>
            </w:r>
          </w:p>
          <w:p w:rsidR="007027A9" w:rsidRPr="003C674D" w:rsidRDefault="001254FC" w:rsidP="00DA64FE">
            <w:pPr>
              <w:jc w:val="both"/>
            </w:pPr>
            <w:r w:rsidRPr="003C674D">
              <w:t xml:space="preserve">9. </w:t>
            </w:r>
            <w:proofErr w:type="spellStart"/>
            <w:r w:rsidR="007027A9" w:rsidRPr="003C674D">
              <w:t>Saksonova</w:t>
            </w:r>
            <w:proofErr w:type="spellEnd"/>
            <w:r w:rsidR="007027A9" w:rsidRPr="003C674D">
              <w:t>, S. (2020).</w:t>
            </w:r>
            <w:r w:rsidR="007027A9" w:rsidRPr="003C674D">
              <w:rPr>
                <w:b/>
              </w:rPr>
              <w:t xml:space="preserve"> </w:t>
            </w:r>
            <w:r w:rsidR="007027A9" w:rsidRPr="003C674D">
              <w:t xml:space="preserve">Uzņēmuma darbības analīzes un apgrozāmā kapitāla vadīšanas aspekti: praktiski paņēmieni. Rīga: Info Tilts. </w:t>
            </w:r>
          </w:p>
          <w:p w:rsidR="00DA64FE" w:rsidRPr="003C674D" w:rsidRDefault="001254FC" w:rsidP="00DA64FE">
            <w:pPr>
              <w:jc w:val="both"/>
              <w:rPr>
                <w:bCs w:val="0"/>
                <w:color w:val="000000"/>
              </w:rPr>
            </w:pPr>
            <w:r w:rsidRPr="003C674D">
              <w:t xml:space="preserve">10. </w:t>
            </w:r>
            <w:proofErr w:type="spellStart"/>
            <w:r w:rsidR="007027A9" w:rsidRPr="003C674D">
              <w:t>Saksonova</w:t>
            </w:r>
            <w:proofErr w:type="spellEnd"/>
            <w:r w:rsidR="007027A9" w:rsidRPr="003C674D">
              <w:t xml:space="preserve">, S. (2006). Uzņēmuma finanšu vadības praktiskās metodes. Rīga: SIA </w:t>
            </w:r>
            <w:proofErr w:type="spellStart"/>
            <w:r w:rsidR="007027A9" w:rsidRPr="003C674D">
              <w:t>Merkurijs</w:t>
            </w:r>
            <w:proofErr w:type="spellEnd"/>
            <w:r w:rsidR="007027A9" w:rsidRPr="003C674D">
              <w:t xml:space="preserve"> LAT, ISBN 9984-640-38-8. 225. lpp.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3C674D" w:rsidRDefault="008D4CBD" w:rsidP="006249D8">
            <w:pPr>
              <w:pStyle w:val="Nosaukumi"/>
              <w:jc w:val="both"/>
            </w:pPr>
            <w:r w:rsidRPr="003C674D">
              <w:t>Periodika un citi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124EC2" w:rsidRPr="003C674D" w:rsidRDefault="003C674D" w:rsidP="00124EC2">
            <w:pPr>
              <w:jc w:val="both"/>
            </w:pPr>
            <w:r w:rsidRPr="003C674D">
              <w:t xml:space="preserve">1. </w:t>
            </w:r>
            <w:r w:rsidR="00124EC2" w:rsidRPr="003C674D">
              <w:t xml:space="preserve">Žurnāli: Bilance, Kapitāls, Latvijas ekonomists, </w:t>
            </w:r>
            <w:proofErr w:type="spellStart"/>
            <w:r w:rsidR="00124EC2" w:rsidRPr="003C674D">
              <w:rPr>
                <w:i/>
              </w:rPr>
              <w:t>The</w:t>
            </w:r>
            <w:proofErr w:type="spellEnd"/>
            <w:r w:rsidR="00124EC2" w:rsidRPr="003C674D">
              <w:rPr>
                <w:i/>
              </w:rPr>
              <w:t xml:space="preserve"> </w:t>
            </w:r>
            <w:proofErr w:type="spellStart"/>
            <w:r w:rsidR="00124EC2" w:rsidRPr="003C674D">
              <w:rPr>
                <w:i/>
              </w:rPr>
              <w:t>Economist</w:t>
            </w:r>
            <w:proofErr w:type="spellEnd"/>
            <w:r w:rsidR="00124EC2" w:rsidRPr="003C674D">
              <w:rPr>
                <w:i/>
              </w:rPr>
              <w:t xml:space="preserve">, </w:t>
            </w:r>
            <w:proofErr w:type="spellStart"/>
            <w:r w:rsidR="00124EC2" w:rsidRPr="003C674D">
              <w:rPr>
                <w:i/>
              </w:rPr>
              <w:t>Journal</w:t>
            </w:r>
            <w:proofErr w:type="spellEnd"/>
            <w:r w:rsidR="00124EC2" w:rsidRPr="003C674D">
              <w:rPr>
                <w:i/>
              </w:rPr>
              <w:t xml:space="preserve"> </w:t>
            </w:r>
            <w:proofErr w:type="spellStart"/>
            <w:r w:rsidR="00124EC2" w:rsidRPr="003C674D">
              <w:rPr>
                <w:i/>
              </w:rPr>
              <w:t>of</w:t>
            </w:r>
            <w:proofErr w:type="spellEnd"/>
            <w:r w:rsidR="00124EC2" w:rsidRPr="003C674D">
              <w:rPr>
                <w:i/>
              </w:rPr>
              <w:t xml:space="preserve"> </w:t>
            </w:r>
            <w:proofErr w:type="spellStart"/>
            <w:r w:rsidR="00124EC2" w:rsidRPr="003C674D">
              <w:rPr>
                <w:i/>
              </w:rPr>
              <w:t>Banking</w:t>
            </w:r>
            <w:proofErr w:type="spellEnd"/>
            <w:r w:rsidR="00124EC2" w:rsidRPr="003C674D">
              <w:rPr>
                <w:i/>
              </w:rPr>
              <w:t xml:space="preserve"> </w:t>
            </w:r>
            <w:proofErr w:type="spellStart"/>
            <w:r w:rsidR="00124EC2" w:rsidRPr="003C674D">
              <w:rPr>
                <w:i/>
              </w:rPr>
              <w:t>and</w:t>
            </w:r>
            <w:proofErr w:type="spellEnd"/>
            <w:r w:rsidR="00124EC2" w:rsidRPr="003C674D">
              <w:rPr>
                <w:i/>
              </w:rPr>
              <w:t xml:space="preserve"> Finance</w:t>
            </w:r>
          </w:p>
          <w:p w:rsidR="00071F86" w:rsidRPr="003C674D" w:rsidRDefault="003C674D" w:rsidP="00124EC2">
            <w:pPr>
              <w:jc w:val="both"/>
            </w:pPr>
            <w:r w:rsidRPr="003C674D">
              <w:rPr>
                <w:i/>
              </w:rPr>
              <w:t xml:space="preserve">2. </w:t>
            </w:r>
            <w:r w:rsidR="00071F86" w:rsidRPr="003C674D">
              <w:rPr>
                <w:i/>
              </w:rPr>
              <w:t>Valsts ieņēmumu dienests.</w:t>
            </w:r>
            <w:r w:rsidR="00071F86" w:rsidRPr="003C674D">
              <w:t xml:space="preserve"> https://www.vid.gov.lv/</w:t>
            </w:r>
          </w:p>
          <w:p w:rsidR="00124EC2" w:rsidRPr="003C674D" w:rsidRDefault="003C674D" w:rsidP="00124EC2">
            <w:pPr>
              <w:jc w:val="both"/>
            </w:pPr>
            <w:r w:rsidRPr="003C674D">
              <w:rPr>
                <w:i/>
              </w:rPr>
              <w:t xml:space="preserve">3. </w:t>
            </w:r>
            <w:r w:rsidR="00071F86" w:rsidRPr="003C674D">
              <w:rPr>
                <w:i/>
              </w:rPr>
              <w:t>IAS Plus</w:t>
            </w:r>
            <w:r w:rsidR="00071F86" w:rsidRPr="003C674D">
              <w:t xml:space="preserve">. </w:t>
            </w:r>
            <w:r w:rsidR="00124EC2" w:rsidRPr="003C674D">
              <w:t>http://www.iasplus.com/en</w:t>
            </w:r>
          </w:p>
          <w:p w:rsidR="003C674D" w:rsidRPr="003C674D" w:rsidRDefault="003C674D" w:rsidP="00124EC2">
            <w:pPr>
              <w:autoSpaceDE/>
              <w:autoSpaceDN/>
              <w:adjustRightInd/>
              <w:spacing w:after="200"/>
              <w:jc w:val="both"/>
            </w:pPr>
            <w:r w:rsidRPr="003C674D">
              <w:rPr>
                <w:i/>
              </w:rPr>
              <w:t xml:space="preserve">4. </w:t>
            </w:r>
            <w:proofErr w:type="spellStart"/>
            <w:r w:rsidR="00071F86" w:rsidRPr="003C674D">
              <w:rPr>
                <w:i/>
              </w:rPr>
              <w:t>The</w:t>
            </w:r>
            <w:proofErr w:type="spellEnd"/>
            <w:r w:rsidR="00071F86" w:rsidRPr="003C674D">
              <w:rPr>
                <w:i/>
              </w:rPr>
              <w:t xml:space="preserve"> </w:t>
            </w:r>
            <w:proofErr w:type="spellStart"/>
            <w:r w:rsidR="00071F86" w:rsidRPr="003C674D">
              <w:rPr>
                <w:i/>
              </w:rPr>
              <w:t>Economist</w:t>
            </w:r>
            <w:proofErr w:type="spellEnd"/>
            <w:r w:rsidR="00071F86" w:rsidRPr="003C674D">
              <w:rPr>
                <w:i/>
              </w:rPr>
              <w:t>.</w:t>
            </w:r>
            <w:r w:rsidR="00071F86" w:rsidRPr="003C674D">
              <w:t xml:space="preserve"> </w:t>
            </w:r>
            <w:r w:rsidRPr="003C674D">
              <w:t>https://www.economist.com/</w:t>
            </w:r>
          </w:p>
          <w:p w:rsidR="00905B19" w:rsidRPr="003C674D" w:rsidRDefault="003C674D" w:rsidP="00124EC2">
            <w:pPr>
              <w:autoSpaceDE/>
              <w:autoSpaceDN/>
              <w:adjustRightInd/>
              <w:spacing w:after="200"/>
              <w:jc w:val="both"/>
            </w:pPr>
            <w:r w:rsidRPr="003C674D">
              <w:rPr>
                <w:i/>
              </w:rPr>
              <w:t xml:space="preserve">5. </w:t>
            </w:r>
            <w:proofErr w:type="spellStart"/>
            <w:r w:rsidR="00071F86" w:rsidRPr="003C674D">
              <w:rPr>
                <w:i/>
              </w:rPr>
              <w:t>The</w:t>
            </w:r>
            <w:proofErr w:type="spellEnd"/>
            <w:r w:rsidR="00071F86" w:rsidRPr="003C674D">
              <w:rPr>
                <w:i/>
              </w:rPr>
              <w:t xml:space="preserve"> </w:t>
            </w:r>
            <w:proofErr w:type="spellStart"/>
            <w:r w:rsidR="00071F86" w:rsidRPr="003C674D">
              <w:rPr>
                <w:i/>
              </w:rPr>
              <w:t>Wall</w:t>
            </w:r>
            <w:proofErr w:type="spellEnd"/>
            <w:r w:rsidR="00071F86" w:rsidRPr="003C674D">
              <w:rPr>
                <w:i/>
              </w:rPr>
              <w:t xml:space="preserve"> </w:t>
            </w:r>
            <w:proofErr w:type="spellStart"/>
            <w:r w:rsidR="00071F86" w:rsidRPr="003C674D">
              <w:rPr>
                <w:i/>
              </w:rPr>
              <w:t>Street</w:t>
            </w:r>
            <w:proofErr w:type="spellEnd"/>
            <w:r w:rsidR="00071F86" w:rsidRPr="003C674D">
              <w:rPr>
                <w:i/>
              </w:rPr>
              <w:t xml:space="preserve"> </w:t>
            </w:r>
            <w:proofErr w:type="spellStart"/>
            <w:r w:rsidR="00071F86" w:rsidRPr="003C674D">
              <w:rPr>
                <w:i/>
              </w:rPr>
              <w:t>Journal</w:t>
            </w:r>
            <w:proofErr w:type="spellEnd"/>
            <w:r w:rsidR="00071F86" w:rsidRPr="003C674D">
              <w:rPr>
                <w:i/>
              </w:rPr>
              <w:t>.</w:t>
            </w:r>
            <w:r w:rsidR="00071F86" w:rsidRPr="003C674D">
              <w:t xml:space="preserve"> </w:t>
            </w:r>
            <w:r w:rsidR="00124EC2" w:rsidRPr="003C674D">
              <w:t>http://www.wsj.com/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02066D" w:rsidRPr="00A60BBB" w:rsidRDefault="00137215" w:rsidP="0002066D">
            <w:r>
              <w:t xml:space="preserve">Studiju kurss tiek docēts </w:t>
            </w:r>
            <w:r w:rsidR="00206590">
              <w:t>PMSP Māksla.</w:t>
            </w:r>
            <w:r w:rsidR="00E12B16">
              <w:t xml:space="preserve"> 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4248B3" w:rsidRDefault="004248B3"/>
    <w:p w:rsidR="0031247E" w:rsidRPr="00026C21" w:rsidRDefault="0031247E"/>
    <w:sectPr w:rsidR="0031247E" w:rsidRPr="00026C21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C27" w:rsidRDefault="00C90C27" w:rsidP="001B4907">
      <w:r>
        <w:separator/>
      </w:r>
    </w:p>
  </w:endnote>
  <w:endnote w:type="continuationSeparator" w:id="0">
    <w:p w:rsidR="00C90C27" w:rsidRDefault="00C90C27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C27" w:rsidRDefault="00C90C27" w:rsidP="001B4907">
      <w:r>
        <w:separator/>
      </w:r>
    </w:p>
  </w:footnote>
  <w:footnote w:type="continuationSeparator" w:id="0">
    <w:p w:rsidR="00C90C27" w:rsidRDefault="00C90C27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E301FB"/>
    <w:multiLevelType w:val="hybridMultilevel"/>
    <w:tmpl w:val="3A844F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F63B0"/>
    <w:multiLevelType w:val="hybridMultilevel"/>
    <w:tmpl w:val="36F00F3A"/>
    <w:lvl w:ilvl="0" w:tplc="AA16B22A">
      <w:start w:val="1"/>
      <w:numFmt w:val="decimal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3666471"/>
    <w:multiLevelType w:val="hybridMultilevel"/>
    <w:tmpl w:val="108A0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F4930"/>
    <w:multiLevelType w:val="hybridMultilevel"/>
    <w:tmpl w:val="DE727776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24145466"/>
    <w:multiLevelType w:val="hybridMultilevel"/>
    <w:tmpl w:val="2F3EB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B1616"/>
    <w:multiLevelType w:val="hybridMultilevel"/>
    <w:tmpl w:val="50B0C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D5181"/>
    <w:multiLevelType w:val="hybridMultilevel"/>
    <w:tmpl w:val="E6307C52"/>
    <w:lvl w:ilvl="0" w:tplc="0426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2F1F7A6C"/>
    <w:multiLevelType w:val="hybridMultilevel"/>
    <w:tmpl w:val="C10EE6C4"/>
    <w:lvl w:ilvl="0" w:tplc="73B8EB06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32BC1934"/>
    <w:multiLevelType w:val="hybridMultilevel"/>
    <w:tmpl w:val="E41241CC"/>
    <w:lvl w:ilvl="0" w:tplc="953E1802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ascii="Times New Roman" w:eastAsia="Times New Roman" w:hAnsi="Times New Roman" w:cs="Times New Roman"/>
      </w:rPr>
    </w:lvl>
    <w:lvl w:ilvl="1" w:tplc="0426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10" w15:restartNumberingAfterBreak="0">
    <w:nsid w:val="34962EC0"/>
    <w:multiLevelType w:val="multilevel"/>
    <w:tmpl w:val="F09C1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37385C"/>
    <w:multiLevelType w:val="hybridMultilevel"/>
    <w:tmpl w:val="BAB08846"/>
    <w:lvl w:ilvl="0" w:tplc="853E188C">
      <w:start w:val="1"/>
      <w:numFmt w:val="decimal"/>
      <w:lvlText w:val="%1."/>
      <w:lvlJc w:val="left"/>
      <w:pPr>
        <w:tabs>
          <w:tab w:val="num" w:pos="422"/>
        </w:tabs>
        <w:ind w:left="422" w:hanging="405"/>
      </w:pPr>
      <w:rPr>
        <w:rFonts w:ascii="Times New Roman" w:eastAsia="Times New Roman" w:hAnsi="Times New Roman" w:cs="TimesNew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12" w15:restartNumberingAfterBreak="0">
    <w:nsid w:val="46FD0879"/>
    <w:multiLevelType w:val="hybridMultilevel"/>
    <w:tmpl w:val="85769D1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5342CE"/>
    <w:multiLevelType w:val="hybridMultilevel"/>
    <w:tmpl w:val="964A2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E3CE9"/>
    <w:multiLevelType w:val="hybridMultilevel"/>
    <w:tmpl w:val="53D216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16E98"/>
    <w:multiLevelType w:val="hybridMultilevel"/>
    <w:tmpl w:val="0CE61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BF335A"/>
    <w:multiLevelType w:val="hybridMultilevel"/>
    <w:tmpl w:val="16B223A2"/>
    <w:lvl w:ilvl="0" w:tplc="619C06EE">
      <w:start w:val="1"/>
      <w:numFmt w:val="decimal"/>
      <w:lvlText w:val="%1."/>
      <w:lvlJc w:val="left"/>
      <w:pPr>
        <w:ind w:left="720" w:hanging="360"/>
      </w:pPr>
      <w:rPr>
        <w:lang w:val="lv-LV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83E69"/>
    <w:multiLevelType w:val="hybridMultilevel"/>
    <w:tmpl w:val="30D6D312"/>
    <w:lvl w:ilvl="0" w:tplc="D6B44B4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 w15:restartNumberingAfterBreak="0">
    <w:nsid w:val="7A2A7BA6"/>
    <w:multiLevelType w:val="hybridMultilevel"/>
    <w:tmpl w:val="C5FA8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641FC"/>
    <w:multiLevelType w:val="hybridMultilevel"/>
    <w:tmpl w:val="E6307C52"/>
    <w:lvl w:ilvl="0" w:tplc="0426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9"/>
  </w:num>
  <w:num w:numId="2">
    <w:abstractNumId w:val="18"/>
  </w:num>
  <w:num w:numId="3">
    <w:abstractNumId w:val="4"/>
  </w:num>
  <w:num w:numId="4">
    <w:abstractNumId w:val="5"/>
  </w:num>
  <w:num w:numId="5">
    <w:abstractNumId w:val="17"/>
  </w:num>
  <w:num w:numId="6">
    <w:abstractNumId w:val="1"/>
  </w:num>
  <w:num w:numId="7">
    <w:abstractNumId w:val="16"/>
  </w:num>
  <w:num w:numId="8">
    <w:abstractNumId w:val="13"/>
  </w:num>
  <w:num w:numId="9">
    <w:abstractNumId w:val="6"/>
  </w:num>
  <w:num w:numId="10">
    <w:abstractNumId w:val="2"/>
  </w:num>
  <w:num w:numId="11">
    <w:abstractNumId w:val="10"/>
  </w:num>
  <w:num w:numId="12">
    <w:abstractNumId w:val="3"/>
  </w:num>
  <w:num w:numId="13">
    <w:abstractNumId w:val="15"/>
  </w:num>
  <w:num w:numId="14">
    <w:abstractNumId w:val="12"/>
  </w:num>
  <w:num w:numId="15">
    <w:abstractNumId w:val="7"/>
  </w:num>
  <w:num w:numId="16">
    <w:abstractNumId w:val="19"/>
  </w:num>
  <w:num w:numId="17">
    <w:abstractNumId w:val="14"/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28CC"/>
    <w:rsid w:val="0002066D"/>
    <w:rsid w:val="000217C9"/>
    <w:rsid w:val="00022E5C"/>
    <w:rsid w:val="00024DAE"/>
    <w:rsid w:val="00025CE0"/>
    <w:rsid w:val="00026C21"/>
    <w:rsid w:val="00031CD0"/>
    <w:rsid w:val="00035105"/>
    <w:rsid w:val="000435A7"/>
    <w:rsid w:val="000471D5"/>
    <w:rsid w:val="000507AC"/>
    <w:rsid w:val="00050AA2"/>
    <w:rsid w:val="00053503"/>
    <w:rsid w:val="00054201"/>
    <w:rsid w:val="00065DEF"/>
    <w:rsid w:val="00070862"/>
    <w:rsid w:val="00071F86"/>
    <w:rsid w:val="00075F4C"/>
    <w:rsid w:val="00085F1C"/>
    <w:rsid w:val="00096551"/>
    <w:rsid w:val="00096E69"/>
    <w:rsid w:val="000A3273"/>
    <w:rsid w:val="000B5785"/>
    <w:rsid w:val="000B7B8C"/>
    <w:rsid w:val="000C3D45"/>
    <w:rsid w:val="000C6B50"/>
    <w:rsid w:val="000D0FC3"/>
    <w:rsid w:val="000D61B1"/>
    <w:rsid w:val="000E5E3F"/>
    <w:rsid w:val="000E6A9F"/>
    <w:rsid w:val="000F308A"/>
    <w:rsid w:val="000F3904"/>
    <w:rsid w:val="00103F14"/>
    <w:rsid w:val="00112E4C"/>
    <w:rsid w:val="00120A95"/>
    <w:rsid w:val="001212BA"/>
    <w:rsid w:val="00121A83"/>
    <w:rsid w:val="00124EC2"/>
    <w:rsid w:val="001254FC"/>
    <w:rsid w:val="00133932"/>
    <w:rsid w:val="001344FD"/>
    <w:rsid w:val="00137215"/>
    <w:rsid w:val="00143163"/>
    <w:rsid w:val="00146D04"/>
    <w:rsid w:val="00147BF8"/>
    <w:rsid w:val="001534EA"/>
    <w:rsid w:val="00153DD2"/>
    <w:rsid w:val="00156328"/>
    <w:rsid w:val="00193907"/>
    <w:rsid w:val="001A3703"/>
    <w:rsid w:val="001A471B"/>
    <w:rsid w:val="001A7EC7"/>
    <w:rsid w:val="001B222C"/>
    <w:rsid w:val="001B4907"/>
    <w:rsid w:val="001B4CF3"/>
    <w:rsid w:val="001B6F4D"/>
    <w:rsid w:val="001C4117"/>
    <w:rsid w:val="001C7B37"/>
    <w:rsid w:val="001D5B19"/>
    <w:rsid w:val="001E0043"/>
    <w:rsid w:val="001E188F"/>
    <w:rsid w:val="001F6C68"/>
    <w:rsid w:val="00205ED2"/>
    <w:rsid w:val="00206590"/>
    <w:rsid w:val="00206832"/>
    <w:rsid w:val="00212C00"/>
    <w:rsid w:val="0021798F"/>
    <w:rsid w:val="00220308"/>
    <w:rsid w:val="00220A68"/>
    <w:rsid w:val="00231BBA"/>
    <w:rsid w:val="00241379"/>
    <w:rsid w:val="00244E4B"/>
    <w:rsid w:val="00246BE5"/>
    <w:rsid w:val="00253383"/>
    <w:rsid w:val="00253B9B"/>
    <w:rsid w:val="0026269C"/>
    <w:rsid w:val="00275EB4"/>
    <w:rsid w:val="00285DAF"/>
    <w:rsid w:val="002903D1"/>
    <w:rsid w:val="00292679"/>
    <w:rsid w:val="002946E7"/>
    <w:rsid w:val="00296E66"/>
    <w:rsid w:val="002C1E98"/>
    <w:rsid w:val="002C5863"/>
    <w:rsid w:val="002C68ED"/>
    <w:rsid w:val="002F0A2A"/>
    <w:rsid w:val="002F0B47"/>
    <w:rsid w:val="002F4325"/>
    <w:rsid w:val="002F432E"/>
    <w:rsid w:val="0031247E"/>
    <w:rsid w:val="003231C1"/>
    <w:rsid w:val="00337D3B"/>
    <w:rsid w:val="0035295F"/>
    <w:rsid w:val="00356993"/>
    <w:rsid w:val="00360579"/>
    <w:rsid w:val="003675A2"/>
    <w:rsid w:val="00372742"/>
    <w:rsid w:val="003739C5"/>
    <w:rsid w:val="003764D1"/>
    <w:rsid w:val="0038045D"/>
    <w:rsid w:val="003836E4"/>
    <w:rsid w:val="00384ED8"/>
    <w:rsid w:val="003B2E25"/>
    <w:rsid w:val="003C2FFF"/>
    <w:rsid w:val="003C674D"/>
    <w:rsid w:val="003C6B99"/>
    <w:rsid w:val="003C7728"/>
    <w:rsid w:val="003E31ED"/>
    <w:rsid w:val="003E328D"/>
    <w:rsid w:val="003E46DC"/>
    <w:rsid w:val="003E4A1C"/>
    <w:rsid w:val="003F06D4"/>
    <w:rsid w:val="003F6AC2"/>
    <w:rsid w:val="003F7CAA"/>
    <w:rsid w:val="00400846"/>
    <w:rsid w:val="004018D5"/>
    <w:rsid w:val="0040342B"/>
    <w:rsid w:val="00412F33"/>
    <w:rsid w:val="00414E40"/>
    <w:rsid w:val="00415344"/>
    <w:rsid w:val="00424008"/>
    <w:rsid w:val="004248B3"/>
    <w:rsid w:val="00425C83"/>
    <w:rsid w:val="004341AB"/>
    <w:rsid w:val="00441014"/>
    <w:rsid w:val="00475F5E"/>
    <w:rsid w:val="004903DD"/>
    <w:rsid w:val="004A1042"/>
    <w:rsid w:val="004A1426"/>
    <w:rsid w:val="004A4F3D"/>
    <w:rsid w:val="004A5D0C"/>
    <w:rsid w:val="004A6262"/>
    <w:rsid w:val="004B222D"/>
    <w:rsid w:val="004B3B3D"/>
    <w:rsid w:val="004C1BF8"/>
    <w:rsid w:val="004C3731"/>
    <w:rsid w:val="004D4CC7"/>
    <w:rsid w:val="004D7342"/>
    <w:rsid w:val="004E1FF7"/>
    <w:rsid w:val="004E2339"/>
    <w:rsid w:val="004E2BE8"/>
    <w:rsid w:val="004E43A7"/>
    <w:rsid w:val="004F4141"/>
    <w:rsid w:val="00503DD5"/>
    <w:rsid w:val="00507E7E"/>
    <w:rsid w:val="0051347D"/>
    <w:rsid w:val="00525C32"/>
    <w:rsid w:val="0053197F"/>
    <w:rsid w:val="005422FE"/>
    <w:rsid w:val="0054476C"/>
    <w:rsid w:val="00544C95"/>
    <w:rsid w:val="005472E8"/>
    <w:rsid w:val="00552BE2"/>
    <w:rsid w:val="00557272"/>
    <w:rsid w:val="005611FE"/>
    <w:rsid w:val="0056659C"/>
    <w:rsid w:val="00581CB8"/>
    <w:rsid w:val="0058734B"/>
    <w:rsid w:val="00587718"/>
    <w:rsid w:val="00587779"/>
    <w:rsid w:val="00594815"/>
    <w:rsid w:val="00596552"/>
    <w:rsid w:val="00597F62"/>
    <w:rsid w:val="005A36FD"/>
    <w:rsid w:val="005B4E46"/>
    <w:rsid w:val="005C5AC3"/>
    <w:rsid w:val="005C6176"/>
    <w:rsid w:val="005F4215"/>
    <w:rsid w:val="0060536C"/>
    <w:rsid w:val="006104A6"/>
    <w:rsid w:val="00612290"/>
    <w:rsid w:val="00612A84"/>
    <w:rsid w:val="0061359D"/>
    <w:rsid w:val="00614914"/>
    <w:rsid w:val="00614DF2"/>
    <w:rsid w:val="006214C8"/>
    <w:rsid w:val="00623977"/>
    <w:rsid w:val="006249D8"/>
    <w:rsid w:val="00632F50"/>
    <w:rsid w:val="00640606"/>
    <w:rsid w:val="00641760"/>
    <w:rsid w:val="00644F29"/>
    <w:rsid w:val="00651406"/>
    <w:rsid w:val="00651F48"/>
    <w:rsid w:val="0066407D"/>
    <w:rsid w:val="00665DA0"/>
    <w:rsid w:val="00682924"/>
    <w:rsid w:val="006901CA"/>
    <w:rsid w:val="00694A73"/>
    <w:rsid w:val="006953CC"/>
    <w:rsid w:val="006A131F"/>
    <w:rsid w:val="006A39B5"/>
    <w:rsid w:val="006A4421"/>
    <w:rsid w:val="006B25F0"/>
    <w:rsid w:val="006C72B5"/>
    <w:rsid w:val="006E0432"/>
    <w:rsid w:val="006E0592"/>
    <w:rsid w:val="006E3D83"/>
    <w:rsid w:val="006E48EA"/>
    <w:rsid w:val="006F19A9"/>
    <w:rsid w:val="006F2ED2"/>
    <w:rsid w:val="006F3945"/>
    <w:rsid w:val="006F46E4"/>
    <w:rsid w:val="006F781F"/>
    <w:rsid w:val="00700176"/>
    <w:rsid w:val="00700BE3"/>
    <w:rsid w:val="007027A9"/>
    <w:rsid w:val="00704643"/>
    <w:rsid w:val="00705E92"/>
    <w:rsid w:val="007070AC"/>
    <w:rsid w:val="0071183A"/>
    <w:rsid w:val="00732BBC"/>
    <w:rsid w:val="00736D05"/>
    <w:rsid w:val="0074002B"/>
    <w:rsid w:val="00746AA6"/>
    <w:rsid w:val="00751C1B"/>
    <w:rsid w:val="00760BDE"/>
    <w:rsid w:val="00760F4C"/>
    <w:rsid w:val="00763B6C"/>
    <w:rsid w:val="00775BBC"/>
    <w:rsid w:val="00780E55"/>
    <w:rsid w:val="00780F2B"/>
    <w:rsid w:val="00784445"/>
    <w:rsid w:val="00791E37"/>
    <w:rsid w:val="00795198"/>
    <w:rsid w:val="00795B30"/>
    <w:rsid w:val="007B4041"/>
    <w:rsid w:val="007B6AFC"/>
    <w:rsid w:val="007D6A2C"/>
    <w:rsid w:val="008070FA"/>
    <w:rsid w:val="008155C4"/>
    <w:rsid w:val="00815E74"/>
    <w:rsid w:val="00817046"/>
    <w:rsid w:val="00823E12"/>
    <w:rsid w:val="00836C1E"/>
    <w:rsid w:val="00850D58"/>
    <w:rsid w:val="0086032E"/>
    <w:rsid w:val="008670EF"/>
    <w:rsid w:val="00867272"/>
    <w:rsid w:val="00874BE5"/>
    <w:rsid w:val="00875ADC"/>
    <w:rsid w:val="00877E76"/>
    <w:rsid w:val="008A10C2"/>
    <w:rsid w:val="008A2F2A"/>
    <w:rsid w:val="008D4CBD"/>
    <w:rsid w:val="008F006D"/>
    <w:rsid w:val="008F0C55"/>
    <w:rsid w:val="008F5EB7"/>
    <w:rsid w:val="00903705"/>
    <w:rsid w:val="00905B19"/>
    <w:rsid w:val="0090648A"/>
    <w:rsid w:val="0090685D"/>
    <w:rsid w:val="00913A54"/>
    <w:rsid w:val="0092481A"/>
    <w:rsid w:val="00933614"/>
    <w:rsid w:val="009412B3"/>
    <w:rsid w:val="0094577E"/>
    <w:rsid w:val="00971A66"/>
    <w:rsid w:val="00975F96"/>
    <w:rsid w:val="00994064"/>
    <w:rsid w:val="009A6350"/>
    <w:rsid w:val="009A6AF6"/>
    <w:rsid w:val="009B228B"/>
    <w:rsid w:val="009B638F"/>
    <w:rsid w:val="009C21AD"/>
    <w:rsid w:val="009E0FF7"/>
    <w:rsid w:val="009E30C9"/>
    <w:rsid w:val="009E42B8"/>
    <w:rsid w:val="00A012FA"/>
    <w:rsid w:val="00A33208"/>
    <w:rsid w:val="00A357CC"/>
    <w:rsid w:val="00A454AD"/>
    <w:rsid w:val="00A5661F"/>
    <w:rsid w:val="00A6410E"/>
    <w:rsid w:val="00A65099"/>
    <w:rsid w:val="00A6752F"/>
    <w:rsid w:val="00A70B1B"/>
    <w:rsid w:val="00AA31AF"/>
    <w:rsid w:val="00AB4949"/>
    <w:rsid w:val="00AB7840"/>
    <w:rsid w:val="00AC288B"/>
    <w:rsid w:val="00AC2BF0"/>
    <w:rsid w:val="00AD1742"/>
    <w:rsid w:val="00AE6713"/>
    <w:rsid w:val="00AE6B23"/>
    <w:rsid w:val="00AF3823"/>
    <w:rsid w:val="00AF664B"/>
    <w:rsid w:val="00B0412C"/>
    <w:rsid w:val="00B07614"/>
    <w:rsid w:val="00B10C25"/>
    <w:rsid w:val="00B13E94"/>
    <w:rsid w:val="00B348EC"/>
    <w:rsid w:val="00B3687D"/>
    <w:rsid w:val="00B37744"/>
    <w:rsid w:val="00B42939"/>
    <w:rsid w:val="00B5031C"/>
    <w:rsid w:val="00B531A8"/>
    <w:rsid w:val="00B538C4"/>
    <w:rsid w:val="00B60685"/>
    <w:rsid w:val="00B64F14"/>
    <w:rsid w:val="00B71DD2"/>
    <w:rsid w:val="00B758DC"/>
    <w:rsid w:val="00B77F63"/>
    <w:rsid w:val="00B9346B"/>
    <w:rsid w:val="00B94CDA"/>
    <w:rsid w:val="00B95038"/>
    <w:rsid w:val="00BB3B68"/>
    <w:rsid w:val="00BB3C8B"/>
    <w:rsid w:val="00BC05DC"/>
    <w:rsid w:val="00BC3A1C"/>
    <w:rsid w:val="00BE003C"/>
    <w:rsid w:val="00BF5E94"/>
    <w:rsid w:val="00C00668"/>
    <w:rsid w:val="00C0183A"/>
    <w:rsid w:val="00C01D3C"/>
    <w:rsid w:val="00C02220"/>
    <w:rsid w:val="00C04A07"/>
    <w:rsid w:val="00C070B5"/>
    <w:rsid w:val="00C10B48"/>
    <w:rsid w:val="00C1165E"/>
    <w:rsid w:val="00C12EC5"/>
    <w:rsid w:val="00C14751"/>
    <w:rsid w:val="00C26310"/>
    <w:rsid w:val="00C330BB"/>
    <w:rsid w:val="00C40398"/>
    <w:rsid w:val="00C46269"/>
    <w:rsid w:val="00C476B2"/>
    <w:rsid w:val="00C517FC"/>
    <w:rsid w:val="00C72890"/>
    <w:rsid w:val="00C7713F"/>
    <w:rsid w:val="00C825DC"/>
    <w:rsid w:val="00C85E92"/>
    <w:rsid w:val="00C90C27"/>
    <w:rsid w:val="00C97023"/>
    <w:rsid w:val="00CA5767"/>
    <w:rsid w:val="00CA5B1F"/>
    <w:rsid w:val="00CA696F"/>
    <w:rsid w:val="00CB368C"/>
    <w:rsid w:val="00CC7576"/>
    <w:rsid w:val="00CD643C"/>
    <w:rsid w:val="00CF6A4B"/>
    <w:rsid w:val="00CF6F92"/>
    <w:rsid w:val="00D051CC"/>
    <w:rsid w:val="00D10C41"/>
    <w:rsid w:val="00D13FE2"/>
    <w:rsid w:val="00D17CDD"/>
    <w:rsid w:val="00D2552C"/>
    <w:rsid w:val="00D267F2"/>
    <w:rsid w:val="00D32C88"/>
    <w:rsid w:val="00D50B53"/>
    <w:rsid w:val="00D76AA0"/>
    <w:rsid w:val="00D8194D"/>
    <w:rsid w:val="00D97284"/>
    <w:rsid w:val="00DA64FE"/>
    <w:rsid w:val="00DB09F9"/>
    <w:rsid w:val="00DB269A"/>
    <w:rsid w:val="00DC7FEB"/>
    <w:rsid w:val="00DD4CBE"/>
    <w:rsid w:val="00DE5DAD"/>
    <w:rsid w:val="00DF0D8F"/>
    <w:rsid w:val="00DF2575"/>
    <w:rsid w:val="00E03FC6"/>
    <w:rsid w:val="00E12B16"/>
    <w:rsid w:val="00E2161E"/>
    <w:rsid w:val="00E54931"/>
    <w:rsid w:val="00E73C61"/>
    <w:rsid w:val="00E85D5A"/>
    <w:rsid w:val="00E92A8D"/>
    <w:rsid w:val="00E957E4"/>
    <w:rsid w:val="00EA385E"/>
    <w:rsid w:val="00EB1CC0"/>
    <w:rsid w:val="00EB5B1B"/>
    <w:rsid w:val="00EB7699"/>
    <w:rsid w:val="00EC79C3"/>
    <w:rsid w:val="00EF6E07"/>
    <w:rsid w:val="00EF78A3"/>
    <w:rsid w:val="00EF7F51"/>
    <w:rsid w:val="00F01096"/>
    <w:rsid w:val="00F04F8C"/>
    <w:rsid w:val="00F130DB"/>
    <w:rsid w:val="00F25C7E"/>
    <w:rsid w:val="00F31934"/>
    <w:rsid w:val="00F31AE3"/>
    <w:rsid w:val="00F40467"/>
    <w:rsid w:val="00F51B6B"/>
    <w:rsid w:val="00F53E7B"/>
    <w:rsid w:val="00F5441F"/>
    <w:rsid w:val="00F74F50"/>
    <w:rsid w:val="00F8598A"/>
    <w:rsid w:val="00F971D3"/>
    <w:rsid w:val="00F97C6D"/>
    <w:rsid w:val="00FB0E45"/>
    <w:rsid w:val="00FB5842"/>
    <w:rsid w:val="00FE6266"/>
    <w:rsid w:val="00FF0041"/>
    <w:rsid w:val="00FF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41E0A89-DC03-4518-8213-E0E4063B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4F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paragraph" w:customStyle="1" w:styleId="Default">
    <w:name w:val="Default"/>
    <w:rsid w:val="00795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unhideWhenUsed/>
    <w:rsid w:val="00EC79C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44F29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character" w:styleId="Emphasis">
    <w:name w:val="Emphasis"/>
    <w:basedOn w:val="DefaultParagraphFont"/>
    <w:uiPriority w:val="20"/>
    <w:qFormat/>
    <w:rsid w:val="00544C95"/>
    <w:rPr>
      <w:i/>
      <w:iCs/>
    </w:rPr>
  </w:style>
  <w:style w:type="paragraph" w:customStyle="1" w:styleId="default0">
    <w:name w:val="default"/>
    <w:basedOn w:val="Normal"/>
    <w:rsid w:val="0090685D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paragraph" w:styleId="NoSpacing">
    <w:name w:val="No Spacing"/>
    <w:uiPriority w:val="1"/>
    <w:qFormat/>
    <w:rsid w:val="0071183A"/>
    <w:pPr>
      <w:spacing w:after="0" w:line="240" w:lineRule="auto"/>
    </w:pPr>
    <w:rPr>
      <w:rFonts w:ascii="Calibri" w:eastAsia="Times New Roman" w:hAnsi="Calibri" w:cs="Calibri"/>
      <w:lang w:val="lv-LV" w:eastAsia="lv-LV"/>
    </w:rPr>
  </w:style>
  <w:style w:type="character" w:customStyle="1" w:styleId="otherinfo">
    <w:name w:val="other_info"/>
    <w:basedOn w:val="DefaultParagraphFont"/>
    <w:rsid w:val="00711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8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0F50D-D1B5-4FD5-8044-7A2ED98CE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1</Pages>
  <Words>4569</Words>
  <Characters>2605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227</cp:revision>
  <cp:lastPrinted>2023-03-06T17:08:00Z</cp:lastPrinted>
  <dcterms:created xsi:type="dcterms:W3CDTF">2020-02-12T16:18:00Z</dcterms:created>
  <dcterms:modified xsi:type="dcterms:W3CDTF">2023-03-28T08:07:00Z</dcterms:modified>
</cp:coreProperties>
</file>