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603" w:rsidRPr="00ED18EB" w:rsidRDefault="00993603" w:rsidP="00993603">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993603" w:rsidRPr="00ED18EB" w:rsidRDefault="00993603" w:rsidP="00993603">
      <w:pPr>
        <w:jc w:val="center"/>
        <w:rPr>
          <w:b/>
          <w:sz w:val="32"/>
          <w:szCs w:val="32"/>
          <w:lang w:val="de-DE"/>
        </w:rPr>
      </w:pPr>
      <w:r w:rsidRPr="00ED18EB">
        <w:rPr>
          <w:b/>
          <w:sz w:val="32"/>
          <w:szCs w:val="32"/>
        </w:rPr>
        <w:t>STUDIJU KURSA APRAKSTS</w:t>
      </w:r>
    </w:p>
    <w:p w:rsidR="00993603" w:rsidRPr="00ED18EB" w:rsidRDefault="00993603" w:rsidP="00993603">
      <w:pPr>
        <w:shd w:val="clear" w:color="auto" w:fill="auto"/>
        <w:rPr>
          <w:szCs w:val="22"/>
        </w:rPr>
      </w:pPr>
    </w:p>
    <w:tbl>
      <w:tblPr>
        <w:tblStyle w:val="TableGrid"/>
        <w:tblW w:w="9321" w:type="dxa"/>
        <w:tblLayout w:type="fixed"/>
        <w:tblLook w:val="04A0" w:firstRow="1" w:lastRow="0" w:firstColumn="1" w:lastColumn="0" w:noHBand="0" w:noVBand="1"/>
      </w:tblPr>
      <w:tblGrid>
        <w:gridCol w:w="4219"/>
        <w:gridCol w:w="5102"/>
      </w:tblGrid>
      <w:tr w:rsidR="00993603" w:rsidRPr="00ED18EB" w:rsidTr="0078692D">
        <w:tc>
          <w:tcPr>
            <w:tcW w:w="4219" w:type="dxa"/>
          </w:tcPr>
          <w:p w:rsidR="00993603" w:rsidRPr="00ED18EB" w:rsidRDefault="00993603"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993603" w:rsidRPr="00ED18EB" w:rsidRDefault="00993603" w:rsidP="0078692D">
            <w:pPr>
              <w:pStyle w:val="Style1"/>
              <w:framePr w:wrap="around"/>
            </w:pPr>
            <w:bookmarkStart w:id="0" w:name="_Toc90131042"/>
            <w:bookmarkStart w:id="1" w:name="_Toc103779954"/>
            <w:bookmarkStart w:id="2" w:name="_GoBack"/>
            <w:r w:rsidRPr="00ED18EB">
              <w:t>Radniecīgais pūšaminstruments II</w:t>
            </w:r>
            <w:bookmarkEnd w:id="0"/>
            <w:bookmarkEnd w:id="1"/>
            <w:bookmarkEnd w:id="2"/>
          </w:p>
        </w:tc>
      </w:tr>
      <w:tr w:rsidR="00993603" w:rsidRPr="00ED18EB" w:rsidTr="0078692D">
        <w:tc>
          <w:tcPr>
            <w:tcW w:w="4219" w:type="dxa"/>
          </w:tcPr>
          <w:p w:rsidR="00993603" w:rsidRPr="00ED18EB" w:rsidRDefault="00993603" w:rsidP="0078692D">
            <w:pPr>
              <w:pStyle w:val="Nosaukumi"/>
            </w:pPr>
            <w:r w:rsidRPr="00ED18EB">
              <w:t>Studiju kursa kods (DUIS)</w:t>
            </w:r>
          </w:p>
        </w:tc>
        <w:tc>
          <w:tcPr>
            <w:tcW w:w="5102" w:type="dxa"/>
            <w:vAlign w:val="center"/>
          </w:tcPr>
          <w:p w:rsidR="00993603" w:rsidRPr="00ED18EB" w:rsidRDefault="00993603" w:rsidP="0078692D">
            <w:pPr>
              <w:shd w:val="clear" w:color="auto" w:fill="auto"/>
              <w:rPr>
                <w:lang w:eastAsia="lv-LV"/>
              </w:rPr>
            </w:pPr>
            <w:r w:rsidRPr="00ED18EB">
              <w:rPr>
                <w:lang w:eastAsia="lv-LV"/>
              </w:rPr>
              <w:t>MākZ2652</w:t>
            </w:r>
          </w:p>
        </w:tc>
      </w:tr>
      <w:tr w:rsidR="00993603" w:rsidRPr="00ED18EB" w:rsidTr="0078692D">
        <w:tc>
          <w:tcPr>
            <w:tcW w:w="4219" w:type="dxa"/>
          </w:tcPr>
          <w:p w:rsidR="00993603" w:rsidRPr="00ED18EB" w:rsidRDefault="00993603" w:rsidP="0078692D">
            <w:pPr>
              <w:pStyle w:val="Nosaukumi"/>
            </w:pPr>
            <w:r w:rsidRPr="00ED18EB">
              <w:t>Zinātnes nozare</w:t>
            </w:r>
          </w:p>
        </w:tc>
        <w:sdt>
          <w:sdtPr>
            <w:rPr>
              <w:b/>
            </w:rPr>
            <w:id w:val="-386568872"/>
            <w:placeholder>
              <w:docPart w:val="BEABC3DC69F8493092B3126A15592BC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993603" w:rsidRPr="00ED18EB" w:rsidRDefault="00993603" w:rsidP="0078692D">
                <w:pPr>
                  <w:shd w:val="clear" w:color="auto" w:fill="auto"/>
                  <w:rPr>
                    <w:b/>
                  </w:rPr>
                </w:pPr>
                <w:r w:rsidRPr="00ED18EB">
                  <w:rPr>
                    <w:b/>
                  </w:rPr>
                  <w:t>Mākslas zinātne</w:t>
                </w:r>
              </w:p>
            </w:tc>
          </w:sdtContent>
        </w:sdt>
      </w:tr>
      <w:tr w:rsidR="00993603" w:rsidRPr="00ED18EB" w:rsidTr="0078692D">
        <w:tc>
          <w:tcPr>
            <w:tcW w:w="4219" w:type="dxa"/>
          </w:tcPr>
          <w:p w:rsidR="00993603" w:rsidRPr="00ED18EB" w:rsidRDefault="00993603" w:rsidP="0078692D">
            <w:pPr>
              <w:pStyle w:val="Nosaukumi"/>
            </w:pPr>
            <w:r w:rsidRPr="00ED18EB">
              <w:t>Kursa līmenis</w:t>
            </w:r>
          </w:p>
        </w:tc>
        <w:tc>
          <w:tcPr>
            <w:tcW w:w="5102" w:type="dxa"/>
          </w:tcPr>
          <w:p w:rsidR="00993603" w:rsidRPr="00ED18EB" w:rsidRDefault="00993603" w:rsidP="0078692D">
            <w:pPr>
              <w:shd w:val="clear" w:color="auto" w:fill="auto"/>
              <w:rPr>
                <w:lang w:eastAsia="lv-LV"/>
              </w:rPr>
            </w:pPr>
            <w:r w:rsidRPr="00ED18EB">
              <w:t>2.</w:t>
            </w:r>
          </w:p>
        </w:tc>
      </w:tr>
      <w:tr w:rsidR="00993603" w:rsidRPr="00ED18EB" w:rsidTr="0078692D">
        <w:tc>
          <w:tcPr>
            <w:tcW w:w="4219" w:type="dxa"/>
          </w:tcPr>
          <w:p w:rsidR="00993603" w:rsidRPr="00ED18EB" w:rsidRDefault="00993603" w:rsidP="0078692D">
            <w:pPr>
              <w:pStyle w:val="Nosaukumi"/>
              <w:rPr>
                <w:u w:val="single"/>
              </w:rPr>
            </w:pPr>
            <w:r w:rsidRPr="00ED18EB">
              <w:t>Kredītpunkti</w:t>
            </w:r>
          </w:p>
        </w:tc>
        <w:tc>
          <w:tcPr>
            <w:tcW w:w="5102" w:type="dxa"/>
            <w:vAlign w:val="center"/>
          </w:tcPr>
          <w:p w:rsidR="00993603" w:rsidRPr="00ED18EB" w:rsidRDefault="00993603" w:rsidP="0078692D">
            <w:pPr>
              <w:shd w:val="clear" w:color="auto" w:fill="auto"/>
              <w:rPr>
                <w:lang w:eastAsia="lv-LV"/>
              </w:rPr>
            </w:pPr>
            <w:r w:rsidRPr="00ED18EB">
              <w:t>1</w:t>
            </w:r>
          </w:p>
        </w:tc>
      </w:tr>
      <w:tr w:rsidR="00993603" w:rsidRPr="00ED18EB" w:rsidTr="0078692D">
        <w:tc>
          <w:tcPr>
            <w:tcW w:w="4219" w:type="dxa"/>
          </w:tcPr>
          <w:p w:rsidR="00993603" w:rsidRPr="00ED18EB" w:rsidRDefault="00993603" w:rsidP="0078692D">
            <w:pPr>
              <w:pStyle w:val="Nosaukumi"/>
              <w:rPr>
                <w:u w:val="single"/>
              </w:rPr>
            </w:pPr>
            <w:r w:rsidRPr="00ED18EB">
              <w:t>ECTS kredītpunkti</w:t>
            </w:r>
          </w:p>
        </w:tc>
        <w:tc>
          <w:tcPr>
            <w:tcW w:w="5102" w:type="dxa"/>
          </w:tcPr>
          <w:p w:rsidR="00993603" w:rsidRPr="00ED18EB" w:rsidRDefault="00993603" w:rsidP="0078692D">
            <w:pPr>
              <w:shd w:val="clear" w:color="auto" w:fill="auto"/>
            </w:pPr>
            <w:r w:rsidRPr="00ED18EB">
              <w:t>1.5</w:t>
            </w:r>
          </w:p>
        </w:tc>
      </w:tr>
      <w:tr w:rsidR="00993603" w:rsidRPr="00ED18EB" w:rsidTr="0078692D">
        <w:tc>
          <w:tcPr>
            <w:tcW w:w="4219" w:type="dxa"/>
          </w:tcPr>
          <w:p w:rsidR="00993603" w:rsidRPr="00ED18EB" w:rsidRDefault="00993603" w:rsidP="0078692D">
            <w:pPr>
              <w:pStyle w:val="Nosaukumi"/>
            </w:pPr>
            <w:r w:rsidRPr="00ED18EB">
              <w:t>Kopējais kontaktstundu skaits</w:t>
            </w:r>
          </w:p>
        </w:tc>
        <w:tc>
          <w:tcPr>
            <w:tcW w:w="5102" w:type="dxa"/>
            <w:vAlign w:val="center"/>
          </w:tcPr>
          <w:p w:rsidR="00993603" w:rsidRPr="00ED18EB" w:rsidRDefault="00993603" w:rsidP="0078692D">
            <w:pPr>
              <w:shd w:val="clear" w:color="auto" w:fill="auto"/>
              <w:rPr>
                <w:lang w:eastAsia="lv-LV"/>
              </w:rPr>
            </w:pPr>
            <w:r w:rsidRPr="00ED18EB">
              <w:t>12</w:t>
            </w:r>
          </w:p>
        </w:tc>
      </w:tr>
    </w:tbl>
    <w:tbl>
      <w:tblPr>
        <w:tblStyle w:val="TableGrid"/>
        <w:tblW w:w="9321" w:type="dxa"/>
        <w:tblLayout w:type="fixed"/>
        <w:tblLook w:val="04A0" w:firstRow="1" w:lastRow="0" w:firstColumn="1" w:lastColumn="0" w:noHBand="0" w:noVBand="1"/>
      </w:tblPr>
      <w:tblGrid>
        <w:gridCol w:w="4219"/>
        <w:gridCol w:w="5102"/>
      </w:tblGrid>
      <w:tr w:rsidR="00993603" w:rsidRPr="00ED18EB" w:rsidTr="0078692D">
        <w:tc>
          <w:tcPr>
            <w:tcW w:w="4219" w:type="dxa"/>
          </w:tcPr>
          <w:p w:rsidR="00993603" w:rsidRPr="00ED18EB" w:rsidRDefault="00993603" w:rsidP="0078692D">
            <w:pPr>
              <w:pStyle w:val="Nosaukumi2"/>
              <w:framePr w:wrap="around"/>
            </w:pPr>
            <w:r w:rsidRPr="00ED18EB">
              <w:t>Lekciju stundu skaits</w:t>
            </w:r>
          </w:p>
        </w:tc>
        <w:tc>
          <w:tcPr>
            <w:tcW w:w="5102" w:type="dxa"/>
          </w:tcPr>
          <w:p w:rsidR="00993603" w:rsidRPr="00ED18EB" w:rsidRDefault="00993603" w:rsidP="0078692D">
            <w:pPr>
              <w:shd w:val="clear" w:color="auto" w:fill="auto"/>
            </w:pPr>
            <w:r w:rsidRPr="00ED18EB">
              <w:t>–</w:t>
            </w:r>
          </w:p>
        </w:tc>
      </w:tr>
      <w:tr w:rsidR="00993603" w:rsidRPr="00ED18EB" w:rsidTr="0078692D">
        <w:tc>
          <w:tcPr>
            <w:tcW w:w="4219" w:type="dxa"/>
          </w:tcPr>
          <w:p w:rsidR="00993603" w:rsidRPr="00ED18EB" w:rsidRDefault="00993603" w:rsidP="0078692D">
            <w:pPr>
              <w:pStyle w:val="Nosaukumi2"/>
              <w:framePr w:wrap="around"/>
            </w:pPr>
            <w:r w:rsidRPr="00ED18EB">
              <w:t>Semināru stundu skaits</w:t>
            </w:r>
          </w:p>
        </w:tc>
        <w:tc>
          <w:tcPr>
            <w:tcW w:w="5102" w:type="dxa"/>
          </w:tcPr>
          <w:p w:rsidR="00993603" w:rsidRPr="00ED18EB" w:rsidRDefault="00993603" w:rsidP="0078692D">
            <w:pPr>
              <w:shd w:val="clear" w:color="auto" w:fill="auto"/>
            </w:pPr>
            <w:r w:rsidRPr="00ED18EB">
              <w:t>–</w:t>
            </w:r>
          </w:p>
        </w:tc>
      </w:tr>
      <w:tr w:rsidR="00993603" w:rsidRPr="00ED18EB" w:rsidTr="0078692D">
        <w:tc>
          <w:tcPr>
            <w:tcW w:w="4219" w:type="dxa"/>
          </w:tcPr>
          <w:p w:rsidR="00993603" w:rsidRPr="00ED18EB" w:rsidRDefault="00993603" w:rsidP="0078692D">
            <w:pPr>
              <w:pStyle w:val="Nosaukumi2"/>
              <w:framePr w:wrap="around"/>
            </w:pPr>
            <w:r w:rsidRPr="00ED18EB">
              <w:t>Praktisko darbu stundu skaits</w:t>
            </w:r>
          </w:p>
        </w:tc>
        <w:tc>
          <w:tcPr>
            <w:tcW w:w="5102" w:type="dxa"/>
          </w:tcPr>
          <w:p w:rsidR="00993603" w:rsidRPr="00ED18EB" w:rsidRDefault="00993603" w:rsidP="0078692D">
            <w:pPr>
              <w:shd w:val="clear" w:color="auto" w:fill="auto"/>
            </w:pPr>
            <w:r w:rsidRPr="00ED18EB">
              <w:t>–</w:t>
            </w:r>
          </w:p>
        </w:tc>
      </w:tr>
      <w:tr w:rsidR="00993603" w:rsidRPr="00ED18EB" w:rsidTr="0078692D">
        <w:tc>
          <w:tcPr>
            <w:tcW w:w="4219" w:type="dxa"/>
          </w:tcPr>
          <w:p w:rsidR="00993603" w:rsidRPr="00ED18EB" w:rsidRDefault="00993603" w:rsidP="0078692D">
            <w:pPr>
              <w:pStyle w:val="Nosaukumi2"/>
              <w:framePr w:wrap="around"/>
            </w:pPr>
            <w:r w:rsidRPr="00ED18EB">
              <w:t>Individuālo darbu stundu skaits</w:t>
            </w:r>
          </w:p>
        </w:tc>
        <w:tc>
          <w:tcPr>
            <w:tcW w:w="5102" w:type="dxa"/>
          </w:tcPr>
          <w:p w:rsidR="00993603" w:rsidRPr="00ED18EB" w:rsidRDefault="00993603" w:rsidP="0078692D">
            <w:pPr>
              <w:shd w:val="clear" w:color="auto" w:fill="auto"/>
            </w:pPr>
            <w:r w:rsidRPr="00ED18EB">
              <w:t>12 (uz katru studējošo)</w:t>
            </w:r>
          </w:p>
        </w:tc>
      </w:tr>
      <w:tr w:rsidR="00993603" w:rsidRPr="00ED18EB" w:rsidTr="0078692D">
        <w:tc>
          <w:tcPr>
            <w:tcW w:w="4219" w:type="dxa"/>
          </w:tcPr>
          <w:p w:rsidR="00993603" w:rsidRPr="00ED18EB" w:rsidRDefault="00993603" w:rsidP="0078692D">
            <w:pPr>
              <w:pStyle w:val="Nosaukumi2"/>
              <w:framePr w:wrap="around"/>
              <w:rPr>
                <w:lang w:eastAsia="lv-LV"/>
              </w:rPr>
            </w:pPr>
            <w:r w:rsidRPr="00ED18EB">
              <w:rPr>
                <w:lang w:eastAsia="lv-LV"/>
              </w:rPr>
              <w:t>Studējošā patstāvīgā darba stundu skaits</w:t>
            </w:r>
          </w:p>
        </w:tc>
        <w:tc>
          <w:tcPr>
            <w:tcW w:w="5102" w:type="dxa"/>
            <w:vAlign w:val="center"/>
          </w:tcPr>
          <w:p w:rsidR="00993603" w:rsidRPr="00ED18EB" w:rsidRDefault="00993603" w:rsidP="0078692D">
            <w:pPr>
              <w:shd w:val="clear" w:color="auto" w:fill="auto"/>
              <w:rPr>
                <w:lang w:eastAsia="lv-LV"/>
              </w:rPr>
            </w:pPr>
            <w:r w:rsidRPr="00ED18EB">
              <w:t>28</w:t>
            </w:r>
          </w:p>
        </w:tc>
      </w:tr>
    </w:tbl>
    <w:tbl>
      <w:tblPr>
        <w:tblStyle w:val="TableGrid"/>
        <w:tblW w:w="9320" w:type="dxa"/>
        <w:tblLayout w:type="fixed"/>
        <w:tblLook w:val="04A0" w:firstRow="1" w:lastRow="0" w:firstColumn="1" w:lastColumn="0" w:noHBand="0" w:noVBand="1"/>
      </w:tblPr>
      <w:tblGrid>
        <w:gridCol w:w="9320"/>
      </w:tblGrid>
      <w:tr w:rsidR="00993603" w:rsidRPr="00ED18EB" w:rsidTr="0078692D">
        <w:tc>
          <w:tcPr>
            <w:tcW w:w="9320" w:type="dxa"/>
          </w:tcPr>
          <w:p w:rsidR="00993603" w:rsidRPr="00ED18EB" w:rsidRDefault="00993603" w:rsidP="0078692D">
            <w:pPr>
              <w:shd w:val="clear" w:color="auto" w:fill="auto"/>
              <w:rPr>
                <w:lang w:eastAsia="lv-LV"/>
              </w:rPr>
            </w:pPr>
          </w:p>
        </w:tc>
      </w:tr>
      <w:tr w:rsidR="00993603" w:rsidRPr="00ED18EB" w:rsidTr="0078692D">
        <w:tc>
          <w:tcPr>
            <w:tcW w:w="9320" w:type="dxa"/>
          </w:tcPr>
          <w:p w:rsidR="00993603" w:rsidRPr="00ED18EB" w:rsidRDefault="00993603" w:rsidP="0078692D">
            <w:pPr>
              <w:pStyle w:val="Nosaukumi"/>
            </w:pPr>
            <w:r w:rsidRPr="00ED18EB">
              <w:t>Kursa autors(–i)</w:t>
            </w:r>
          </w:p>
        </w:tc>
      </w:tr>
      <w:tr w:rsidR="00993603" w:rsidRPr="00ED18EB" w:rsidTr="0078692D">
        <w:tc>
          <w:tcPr>
            <w:tcW w:w="9320" w:type="dxa"/>
          </w:tcPr>
          <w:p w:rsidR="00993603" w:rsidRPr="00ED18EB" w:rsidRDefault="00993603" w:rsidP="0078692D">
            <w:pPr>
              <w:shd w:val="clear" w:color="auto" w:fill="auto"/>
            </w:pPr>
            <w:r w:rsidRPr="00ED18EB">
              <w:t>Dr.art., viesprofesors Rytis Urniežius</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pPr>
            <w:r w:rsidRPr="00ED18EB">
              <w:t>Kursa docētājs(–i)</w:t>
            </w:r>
          </w:p>
        </w:tc>
      </w:tr>
      <w:tr w:rsidR="00993603" w:rsidRPr="00ED18EB" w:rsidTr="0078692D">
        <w:tc>
          <w:tcPr>
            <w:tcW w:w="9320" w:type="dxa"/>
          </w:tcPr>
          <w:p w:rsidR="00993603" w:rsidRPr="00ED18EB" w:rsidRDefault="00993603" w:rsidP="0078692D">
            <w:pPr>
              <w:shd w:val="clear" w:color="auto" w:fill="auto"/>
            </w:pPr>
            <w:r w:rsidRPr="00ED18EB">
              <w:t>Dr.art., viesprofesors Rišards Kšištofs Žoledzevskis</w:t>
            </w:r>
          </w:p>
          <w:p w:rsidR="00993603" w:rsidRPr="00ED18EB" w:rsidRDefault="00993603" w:rsidP="0078692D">
            <w:pPr>
              <w:shd w:val="clear" w:color="auto" w:fill="auto"/>
            </w:pPr>
            <w:r w:rsidRPr="00ED18EB">
              <w:t>Mg.art., docents Vasilijs Šušerts</w:t>
            </w:r>
          </w:p>
          <w:p w:rsidR="00993603" w:rsidRPr="00ED18EB" w:rsidRDefault="00993603" w:rsidP="0078692D">
            <w:pPr>
              <w:shd w:val="clear" w:color="auto" w:fill="auto"/>
            </w:pPr>
            <w:r w:rsidRPr="00ED18EB">
              <w:t>Mg.art., viesasistents Ruslans Margevičs</w:t>
            </w:r>
          </w:p>
          <w:p w:rsidR="00993603" w:rsidRPr="00ED18EB" w:rsidRDefault="00993603" w:rsidP="0078692D">
            <w:pPr>
              <w:shd w:val="clear" w:color="auto" w:fill="auto"/>
            </w:pPr>
            <w:r w:rsidRPr="00ED18EB">
              <w:t>Mg.art., docents Dainis Vuškāns</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pPr>
            <w:r w:rsidRPr="00ED18EB">
              <w:t>Priekšzināšanas</w:t>
            </w:r>
          </w:p>
        </w:tc>
      </w:tr>
      <w:tr w:rsidR="00993603" w:rsidRPr="00ED18EB" w:rsidTr="0078692D">
        <w:tc>
          <w:tcPr>
            <w:tcW w:w="9320" w:type="dxa"/>
          </w:tcPr>
          <w:p w:rsidR="00993603" w:rsidRPr="00ED18EB" w:rsidRDefault="00993603" w:rsidP="0078692D">
            <w:pPr>
              <w:shd w:val="clear" w:color="auto" w:fill="auto"/>
            </w:pPr>
            <w:r w:rsidRPr="00ED18EB">
              <w:t>MākZ2651 Radniecīgais pūšaminstruments I</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pPr>
            <w:r w:rsidRPr="00ED18EB">
              <w:t xml:space="preserve">Studiju kursa anotācija </w:t>
            </w:r>
          </w:p>
        </w:tc>
      </w:tr>
      <w:tr w:rsidR="00993603" w:rsidRPr="00ED18EB" w:rsidTr="0078692D">
        <w:tc>
          <w:tcPr>
            <w:tcW w:w="9320" w:type="dxa"/>
          </w:tcPr>
          <w:p w:rsidR="00993603" w:rsidRPr="00ED18EB" w:rsidRDefault="00993603" w:rsidP="0078692D">
            <w:pPr>
              <w:shd w:val="clear" w:color="auto" w:fill="auto"/>
            </w:pPr>
            <w:r w:rsidRPr="00ED18EB">
              <w:t>Kurss paredzēts profesionālās bakalaura studiju programmas "Mūzika" specializācijas moduļa “Pūšaminstrumenta spēle” studējošajiem.</w:t>
            </w:r>
          </w:p>
          <w:p w:rsidR="00993603" w:rsidRPr="00ED18EB" w:rsidRDefault="00993603" w:rsidP="0078692D">
            <w:pPr>
              <w:shd w:val="clear" w:color="auto" w:fill="auto"/>
            </w:pPr>
          </w:p>
          <w:p w:rsidR="00993603" w:rsidRPr="00ED18EB" w:rsidRDefault="00993603" w:rsidP="0078692D">
            <w:pPr>
              <w:shd w:val="clear" w:color="auto" w:fill="auto"/>
            </w:pPr>
            <w:r w:rsidRPr="00ED18EB">
              <w:t>KURSA MĒRĶIS – sniegt nepieciešanās zināšanas un attīstīt prasmes radniecīgā instrumenta spēles apguvei, kas nepieciešamas solo, ansambļa un orķestra spēlē.</w:t>
            </w:r>
          </w:p>
          <w:p w:rsidR="00993603" w:rsidRPr="00ED18EB" w:rsidRDefault="00993603" w:rsidP="0078692D">
            <w:pPr>
              <w:shd w:val="clear" w:color="auto" w:fill="auto"/>
            </w:pPr>
            <w:r w:rsidRPr="00ED18EB">
              <w:t>KURSA UZDEVUMI – attīstīt radniecīgā instrumenta spēles tehniku un mākslinieciskās izteiksmes prasmes, apgūstot klasiskās un mūsdienu mūzikas repertuāru.</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pPr>
            <w:r w:rsidRPr="00ED18EB">
              <w:t>Studiju kursa kalendārais plāns</w:t>
            </w:r>
          </w:p>
        </w:tc>
      </w:tr>
      <w:tr w:rsidR="00993603" w:rsidRPr="00ED18EB" w:rsidTr="0078692D">
        <w:tc>
          <w:tcPr>
            <w:tcW w:w="9320" w:type="dxa"/>
          </w:tcPr>
          <w:p w:rsidR="00993603" w:rsidRPr="00ED18EB" w:rsidRDefault="00993603" w:rsidP="0078692D">
            <w:pPr>
              <w:shd w:val="clear" w:color="auto" w:fill="auto"/>
            </w:pPr>
            <w:r w:rsidRPr="00ED18EB">
              <w:t>IV semestris</w:t>
            </w:r>
          </w:p>
          <w:p w:rsidR="00993603" w:rsidRPr="00ED18EB" w:rsidRDefault="00993603" w:rsidP="0078692D">
            <w:pPr>
              <w:shd w:val="clear" w:color="auto" w:fill="auto"/>
            </w:pPr>
            <w:r w:rsidRPr="00ED18EB">
              <w:t>Kursa struktūra: individuālās praktiskās nodarbības (Ip) – 12 stundas (uz katru studējošo), patstāvīgais darbs (Pd) – 28 stundas</w:t>
            </w:r>
          </w:p>
          <w:p w:rsidR="00993603" w:rsidRPr="00ED18EB" w:rsidRDefault="00993603" w:rsidP="0078692D">
            <w:pPr>
              <w:shd w:val="clear" w:color="auto" w:fill="auto"/>
            </w:pPr>
          </w:p>
          <w:p w:rsidR="00993603" w:rsidRPr="00ED18EB" w:rsidRDefault="00993603" w:rsidP="0078692D">
            <w:pPr>
              <w:shd w:val="clear" w:color="auto" w:fill="auto"/>
            </w:pPr>
            <w:r w:rsidRPr="00ED18EB">
              <w:t xml:space="preserve">Mažora un minora gammas līdz 4 zīmēm. </w:t>
            </w:r>
          </w:p>
          <w:p w:rsidR="00993603" w:rsidRPr="00ED18EB" w:rsidRDefault="00993603" w:rsidP="0078692D">
            <w:pPr>
              <w:shd w:val="clear" w:color="auto" w:fill="auto"/>
            </w:pPr>
            <w:r w:rsidRPr="00ED18EB">
              <w:t>Divas etīdes (sarežģītības pakāpe atkarīga no studenta profesionālās instrumentspēles attīstības).</w:t>
            </w:r>
          </w:p>
          <w:p w:rsidR="00993603" w:rsidRPr="00ED18EB" w:rsidRDefault="00993603" w:rsidP="0078692D">
            <w:pPr>
              <w:shd w:val="clear" w:color="auto" w:fill="auto"/>
            </w:pPr>
            <w:r w:rsidRPr="00ED18EB">
              <w:t>Divi dažāda rakstura skaņdarbi (viens izvērstas formas skaņdarbs vai tā daļa).</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pPr>
            <w:r w:rsidRPr="00ED18EB">
              <w:t>Studiju rezultāti</w:t>
            </w:r>
          </w:p>
        </w:tc>
      </w:tr>
      <w:tr w:rsidR="00993603" w:rsidRPr="00ED18EB" w:rsidTr="0078692D">
        <w:tc>
          <w:tcPr>
            <w:tcW w:w="9320" w:type="dxa"/>
          </w:tcPr>
          <w:p w:rsidR="00993603" w:rsidRPr="00ED18EB" w:rsidRDefault="00993603" w:rsidP="0078692D">
            <w:pPr>
              <w:shd w:val="clear" w:color="auto" w:fill="auto"/>
            </w:pPr>
            <w:r w:rsidRPr="00ED18EB">
              <w:lastRenderedPageBreak/>
              <w:t>ZINĀŠANAS</w:t>
            </w:r>
            <w:r w:rsidRPr="00ED18EB">
              <w:rPr>
                <w:lang w:eastAsia="ru-RU"/>
              </w:rPr>
              <w:t xml:space="preserve"> </w:t>
            </w:r>
          </w:p>
          <w:p w:rsidR="00993603" w:rsidRPr="00ED18EB" w:rsidRDefault="00993603" w:rsidP="0078692D">
            <w:pPr>
              <w:shd w:val="clear" w:color="auto" w:fill="auto"/>
            </w:pPr>
            <w:r w:rsidRPr="00ED18EB">
              <w:t>– zināšanas par radniecīgā pūšaminstrumenta vēsturi, uzbūvi un izteiksmes īpatnībām;</w:t>
            </w:r>
          </w:p>
          <w:p w:rsidR="00993603" w:rsidRPr="00ED18EB" w:rsidRDefault="00993603" w:rsidP="0078692D">
            <w:pPr>
              <w:shd w:val="clear" w:color="auto" w:fill="auto"/>
            </w:pPr>
            <w:r w:rsidRPr="00ED18EB">
              <w:t>– instrumentu tehnikas galveno principu pārzināšana;</w:t>
            </w:r>
          </w:p>
          <w:p w:rsidR="00993603" w:rsidRPr="00ED18EB" w:rsidRDefault="00993603" w:rsidP="0078692D">
            <w:pPr>
              <w:shd w:val="clear" w:color="auto" w:fill="auto"/>
            </w:pPr>
            <w:r w:rsidRPr="00ED18EB">
              <w:t>– pārzina instrumenta pamatrepertuāra skaņdarbus.</w:t>
            </w:r>
          </w:p>
          <w:p w:rsidR="00993603" w:rsidRPr="00ED18EB" w:rsidRDefault="00993603" w:rsidP="0078692D">
            <w:pPr>
              <w:shd w:val="clear" w:color="auto" w:fill="auto"/>
            </w:pPr>
          </w:p>
          <w:p w:rsidR="00993603" w:rsidRPr="00ED18EB" w:rsidRDefault="00993603" w:rsidP="0078692D">
            <w:pPr>
              <w:shd w:val="clear" w:color="auto" w:fill="auto"/>
            </w:pPr>
            <w:r w:rsidRPr="00ED18EB">
              <w:t>PRASMES</w:t>
            </w:r>
            <w:r w:rsidRPr="00ED18EB">
              <w:rPr>
                <w:lang w:eastAsia="ru-RU"/>
              </w:rPr>
              <w:t xml:space="preserve"> </w:t>
            </w:r>
          </w:p>
          <w:p w:rsidR="00993603" w:rsidRPr="00ED18EB" w:rsidRDefault="00993603" w:rsidP="0078692D">
            <w:pPr>
              <w:shd w:val="clear" w:color="auto" w:fill="auto"/>
            </w:pPr>
            <w:r w:rsidRPr="00ED18EB">
              <w:t>– spēja atskaņot stilistiski un žanriski dažādus skaņdarbus uz radniecīgā instrumenta;</w:t>
            </w:r>
          </w:p>
          <w:p w:rsidR="00993603" w:rsidRPr="00ED18EB" w:rsidRDefault="00993603" w:rsidP="0078692D">
            <w:pPr>
              <w:shd w:val="clear" w:color="auto" w:fill="auto"/>
            </w:pPr>
            <w:r w:rsidRPr="00ED18EB">
              <w:t>– prasme notis lasīt no lapas;</w:t>
            </w:r>
          </w:p>
          <w:p w:rsidR="00993603" w:rsidRPr="00ED18EB" w:rsidRDefault="00993603" w:rsidP="0078692D">
            <w:pPr>
              <w:shd w:val="clear" w:color="auto" w:fill="auto"/>
            </w:pPr>
            <w:r w:rsidRPr="00ED18EB">
              <w:t>– prasme piedalīties dažāda veida ansambļos.</w:t>
            </w:r>
          </w:p>
          <w:p w:rsidR="00993603" w:rsidRPr="00ED18EB" w:rsidRDefault="00993603" w:rsidP="0078692D">
            <w:pPr>
              <w:shd w:val="clear" w:color="auto" w:fill="auto"/>
            </w:pPr>
          </w:p>
          <w:p w:rsidR="00993603" w:rsidRPr="00ED18EB" w:rsidRDefault="00993603" w:rsidP="0078692D">
            <w:pPr>
              <w:shd w:val="clear" w:color="auto" w:fill="auto"/>
            </w:pPr>
            <w:r w:rsidRPr="00ED18EB">
              <w:t>KOMPETENCE</w:t>
            </w:r>
            <w:r w:rsidRPr="00ED18EB">
              <w:rPr>
                <w:lang w:eastAsia="ru-RU"/>
              </w:rPr>
              <w:t xml:space="preserve"> </w:t>
            </w:r>
          </w:p>
          <w:p w:rsidR="00993603" w:rsidRPr="00ED18EB" w:rsidRDefault="00993603" w:rsidP="0078692D">
            <w:pPr>
              <w:shd w:val="clear" w:color="auto" w:fill="auto"/>
            </w:pPr>
            <w:r w:rsidRPr="00ED18EB">
              <w:t>– spēja analizēt radniecīgā instrumenta repertuāru;</w:t>
            </w:r>
          </w:p>
          <w:p w:rsidR="00993603" w:rsidRPr="00ED18EB" w:rsidRDefault="00993603" w:rsidP="0078692D">
            <w:pPr>
              <w:shd w:val="clear" w:color="auto" w:fill="auto"/>
            </w:pPr>
            <w:r w:rsidRPr="00ED18EB">
              <w:t>– spēja pārvaldīt instrumenta spēlēšanas pamatus.</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rPr>
                <w:lang w:val="lv-LV"/>
              </w:rPr>
            </w:pPr>
            <w:r w:rsidRPr="00ED18EB">
              <w:rPr>
                <w:lang w:val="lv-LV"/>
              </w:rPr>
              <w:t>Studējošo patstāvīgo darbu organizācijas un uzdevumu raksturojums</w:t>
            </w:r>
          </w:p>
        </w:tc>
      </w:tr>
      <w:tr w:rsidR="00993603" w:rsidRPr="00ED18EB" w:rsidTr="0078692D">
        <w:tc>
          <w:tcPr>
            <w:tcW w:w="9320" w:type="dxa"/>
          </w:tcPr>
          <w:p w:rsidR="00993603" w:rsidRPr="00ED18EB" w:rsidRDefault="00993603" w:rsidP="0078692D">
            <w:pPr>
              <w:shd w:val="clear" w:color="auto" w:fill="auto"/>
            </w:pPr>
            <w:r w:rsidRPr="00ED18EB">
              <w:t>Studējošo patstāvīgais darbs tiek organizēts individuāli.</w:t>
            </w:r>
          </w:p>
          <w:p w:rsidR="00993603" w:rsidRPr="00ED18EB" w:rsidRDefault="00993603" w:rsidP="0078692D">
            <w:pPr>
              <w:shd w:val="clear" w:color="auto" w:fill="auto"/>
            </w:pPr>
          </w:p>
          <w:p w:rsidR="00993603" w:rsidRPr="00ED18EB" w:rsidRDefault="00993603" w:rsidP="0078692D">
            <w:pPr>
              <w:shd w:val="clear" w:color="auto" w:fill="auto"/>
            </w:pPr>
            <w:r w:rsidRPr="00ED18EB">
              <w:t>Patstāvīgie uzdevumi:</w:t>
            </w:r>
          </w:p>
          <w:p w:rsidR="00993603" w:rsidRPr="00ED18EB" w:rsidRDefault="00993603" w:rsidP="0078692D">
            <w:pPr>
              <w:shd w:val="clear" w:color="auto" w:fill="auto"/>
            </w:pPr>
            <w:r w:rsidRPr="00ED18EB">
              <w:t>– programmas skaņdarbu patstāvīga analīze un apguve;</w:t>
            </w:r>
          </w:p>
          <w:p w:rsidR="00993603" w:rsidRPr="00ED18EB" w:rsidRDefault="00993603" w:rsidP="0078692D">
            <w:pPr>
              <w:shd w:val="clear" w:color="auto" w:fill="auto"/>
            </w:pPr>
            <w:r w:rsidRPr="00ED18EB">
              <w:t>– tehniskās meistarības pilnveide;</w:t>
            </w:r>
          </w:p>
          <w:p w:rsidR="00993603" w:rsidRPr="00ED18EB" w:rsidRDefault="00993603" w:rsidP="0078692D">
            <w:pPr>
              <w:shd w:val="clear" w:color="auto" w:fill="auto"/>
            </w:pPr>
            <w:r w:rsidRPr="00ED18EB">
              <w:t xml:space="preserve">– lasīšana no lapas; </w:t>
            </w:r>
          </w:p>
          <w:p w:rsidR="00993603" w:rsidRPr="00ED18EB" w:rsidRDefault="00993603" w:rsidP="0078692D">
            <w:pPr>
              <w:shd w:val="clear" w:color="auto" w:fill="auto"/>
            </w:pPr>
            <w:r w:rsidRPr="00ED18EB">
              <w:t>– obligāti izmantojamo informācijas avotu studēšana;</w:t>
            </w:r>
          </w:p>
          <w:p w:rsidR="00993603" w:rsidRPr="00ED18EB" w:rsidRDefault="00993603" w:rsidP="0078692D">
            <w:pPr>
              <w:shd w:val="clear" w:color="auto" w:fill="auto"/>
            </w:pPr>
            <w:r w:rsidRPr="00ED18EB">
              <w:t>– iepazīšanās ar dažādām interpretācijām, izmantojot video un audio materiālus, to salīdzināšana un izvērtēšana;</w:t>
            </w:r>
          </w:p>
          <w:p w:rsidR="00993603" w:rsidRPr="00ED18EB" w:rsidRDefault="00993603" w:rsidP="0078692D">
            <w:pPr>
              <w:shd w:val="clear" w:color="auto" w:fill="auto"/>
            </w:pPr>
            <w:r w:rsidRPr="00ED18EB">
              <w:t>– apgūt literatūru par izvēlētā pūšaminstrumenta vēsturi, uzbūvi un izteiksmes īpatnībām.</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pPr>
            <w:r w:rsidRPr="00ED18EB">
              <w:t>Prasības kredītpunktu iegūšanai</w:t>
            </w:r>
          </w:p>
        </w:tc>
      </w:tr>
      <w:tr w:rsidR="00993603" w:rsidRPr="00ED18EB" w:rsidTr="0078692D">
        <w:tc>
          <w:tcPr>
            <w:tcW w:w="9320" w:type="dxa"/>
          </w:tcPr>
          <w:p w:rsidR="00993603" w:rsidRPr="00ED18EB" w:rsidRDefault="00993603" w:rsidP="0078692D">
            <w:pPr>
              <w:shd w:val="clear" w:color="auto" w:fill="auto"/>
            </w:pPr>
            <w:r w:rsidRPr="00ED18EB">
              <w:rPr>
                <w:rStyle w:val="Style2Char"/>
              </w:rPr>
              <w:t>Pārbaudes veids</w:t>
            </w:r>
            <w:r w:rsidRPr="00ED18EB">
              <w:t xml:space="preserve"> – ieskaite ar atzīmi. </w:t>
            </w:r>
          </w:p>
          <w:p w:rsidR="00993603" w:rsidRPr="00ED18EB" w:rsidRDefault="00993603" w:rsidP="0078692D">
            <w:pPr>
              <w:shd w:val="clear" w:color="auto" w:fill="auto"/>
            </w:pPr>
          </w:p>
          <w:p w:rsidR="00993603" w:rsidRPr="00ED18EB" w:rsidRDefault="00993603" w:rsidP="0078692D">
            <w:pPr>
              <w:shd w:val="clear" w:color="auto" w:fill="auto"/>
            </w:pPr>
            <w:r w:rsidRPr="00ED18EB">
              <w:t>IZMANTOJAMĀS STUDIJU FORMAS – individuālās praktiskās nodarbības. Regulārs nodarbību apmeklējums.</w:t>
            </w:r>
          </w:p>
          <w:p w:rsidR="00993603" w:rsidRPr="00ED18EB" w:rsidRDefault="00993603" w:rsidP="0078692D">
            <w:pPr>
              <w:shd w:val="clear" w:color="auto" w:fill="auto"/>
            </w:pPr>
          </w:p>
          <w:p w:rsidR="00993603" w:rsidRPr="00ED18EB" w:rsidRDefault="00993603" w:rsidP="0078692D">
            <w:pPr>
              <w:shd w:val="clear" w:color="auto" w:fill="auto"/>
            </w:pPr>
            <w:r w:rsidRPr="00ED18EB">
              <w:t xml:space="preserve">Studiju kursa apguves pārbaudes forma: ieskaite ar atzīmi – 100%. </w:t>
            </w:r>
          </w:p>
          <w:p w:rsidR="00993603" w:rsidRPr="00ED18EB" w:rsidRDefault="00993603" w:rsidP="0078692D">
            <w:pPr>
              <w:shd w:val="clear" w:color="auto" w:fill="auto"/>
            </w:pPr>
          </w:p>
          <w:p w:rsidR="00993603" w:rsidRPr="00ED18EB" w:rsidRDefault="00993603" w:rsidP="0078692D">
            <w:pPr>
              <w:shd w:val="clear" w:color="auto" w:fill="auto"/>
            </w:pPr>
            <w:r w:rsidRPr="00ED18EB">
              <w:t>PĀRBAUDĪJUMU PRASĪBAS: atskaņot no galvas ieskaišu programmas.</w:t>
            </w:r>
          </w:p>
          <w:p w:rsidR="00993603" w:rsidRPr="00ED18EB" w:rsidRDefault="00993603" w:rsidP="0078692D">
            <w:pPr>
              <w:shd w:val="clear" w:color="auto" w:fill="auto"/>
            </w:pPr>
          </w:p>
          <w:p w:rsidR="00993603" w:rsidRPr="00ED18EB" w:rsidRDefault="00993603" w:rsidP="0078692D">
            <w:pPr>
              <w:shd w:val="clear" w:color="auto" w:fill="auto"/>
            </w:pPr>
            <w:r w:rsidRPr="00ED18EB">
              <w:t>IV semestris</w:t>
            </w:r>
          </w:p>
          <w:p w:rsidR="00993603" w:rsidRPr="00ED18EB" w:rsidRDefault="00993603" w:rsidP="0078692D">
            <w:pPr>
              <w:shd w:val="clear" w:color="auto" w:fill="auto"/>
            </w:pPr>
            <w:r w:rsidRPr="00ED18EB">
              <w:t>Ieskaite ar atzīmi:</w:t>
            </w:r>
          </w:p>
          <w:p w:rsidR="00993603" w:rsidRPr="00ED18EB" w:rsidRDefault="00993603" w:rsidP="0078692D">
            <w:pPr>
              <w:shd w:val="clear" w:color="auto" w:fill="auto"/>
            </w:pPr>
            <w:r w:rsidRPr="00ED18EB">
              <w:t>– divi dažāda rakstura skaņdarbi.</w:t>
            </w:r>
          </w:p>
          <w:p w:rsidR="00993603" w:rsidRPr="00ED18EB" w:rsidRDefault="00993603" w:rsidP="0078692D">
            <w:pPr>
              <w:shd w:val="clear" w:color="auto" w:fill="auto"/>
            </w:pPr>
          </w:p>
          <w:p w:rsidR="00993603" w:rsidRPr="00ED18EB" w:rsidRDefault="00993603" w:rsidP="0078692D">
            <w:pPr>
              <w:shd w:val="clear" w:color="auto" w:fill="auto"/>
            </w:pPr>
            <w:r w:rsidRPr="00ED18EB">
              <w:t>PĀRBAUDĪJUMA FORMA: praktiska (programmas skaņdarbu atskaņošana).</w:t>
            </w:r>
          </w:p>
          <w:p w:rsidR="00993603" w:rsidRPr="00ED18EB" w:rsidRDefault="00993603" w:rsidP="0078692D">
            <w:pPr>
              <w:shd w:val="clear" w:color="auto" w:fill="auto"/>
            </w:pPr>
          </w:p>
          <w:p w:rsidR="00993603" w:rsidRPr="00ED18EB" w:rsidRDefault="00993603" w:rsidP="0078692D">
            <w:pPr>
              <w:shd w:val="clear" w:color="auto" w:fill="auto"/>
            </w:pPr>
            <w:r w:rsidRPr="00ED18EB">
              <w:t>STUDIJU REZULTĀTU VĒRTĒŠANAS KRITĒRIJI</w:t>
            </w:r>
          </w:p>
          <w:p w:rsidR="00993603" w:rsidRPr="00ED18EB" w:rsidRDefault="00993603" w:rsidP="0078692D">
            <w:pPr>
              <w:shd w:val="clear" w:color="auto" w:fill="auto"/>
              <w:jc w:val="both"/>
            </w:pPr>
            <w:r w:rsidRPr="00ED18EB">
              <w:t xml:space="preserve">Studiju kursa apguve tā noslēgumā tiek vērtēta 10 ballu skalā saskaņā ar Latvijas Republikas normatīvajiem aktiem un atbilstoši "Nolikumam par studijām Daugavpils Universitātē" </w:t>
            </w:r>
            <w:proofErr w:type="gramStart"/>
            <w:r w:rsidRPr="00ED18EB">
              <w:t>(</w:t>
            </w:r>
            <w:proofErr w:type="gramEnd"/>
            <w:r w:rsidRPr="00ED18EB">
              <w:t>apstiprināts DU Senāta sēdē 17.12.2018.,  protokols Nr. 15), vadoties pēc šādiem kritērijiem: iegūto zināšanu apjoms un kvalitāte, iegūtās prasmes un kompetence atbilstoši plānotajiem studiju rezultātiem</w:t>
            </w:r>
          </w:p>
          <w:p w:rsidR="00993603" w:rsidRPr="00ED18EB" w:rsidRDefault="00993603" w:rsidP="0078692D">
            <w:pPr>
              <w:shd w:val="clear" w:color="auto" w:fill="auto"/>
            </w:pPr>
          </w:p>
          <w:p w:rsidR="00993603" w:rsidRPr="00ED18EB" w:rsidRDefault="00993603" w:rsidP="0078692D">
            <w:pPr>
              <w:shd w:val="clear" w:color="auto" w:fill="auto"/>
            </w:pPr>
            <w:r w:rsidRPr="00ED18EB">
              <w:t>Studenta kompetenci ieskaitē vērtē 10 ballu skalā. Lai vērtētu studentu individuālo uzstāšanos, piemēroti sekojoši izvērtēšanas pamatkritēriji:</w:t>
            </w:r>
          </w:p>
          <w:p w:rsidR="00993603" w:rsidRPr="00ED18EB" w:rsidRDefault="00993603" w:rsidP="0078692D">
            <w:pPr>
              <w:shd w:val="clear" w:color="auto" w:fill="auto"/>
            </w:pPr>
            <w:r w:rsidRPr="00ED18EB">
              <w:t>– precīzs muzikālā teksta atskaņojums;</w:t>
            </w:r>
          </w:p>
          <w:p w:rsidR="00993603" w:rsidRPr="00ED18EB" w:rsidRDefault="00993603" w:rsidP="0078692D">
            <w:pPr>
              <w:shd w:val="clear" w:color="auto" w:fill="auto"/>
            </w:pPr>
            <w:r w:rsidRPr="00ED18EB">
              <w:t>– skaņas kvalitāte;</w:t>
            </w:r>
          </w:p>
          <w:p w:rsidR="00993603" w:rsidRPr="00ED18EB" w:rsidRDefault="00993603" w:rsidP="0078692D">
            <w:pPr>
              <w:shd w:val="clear" w:color="auto" w:fill="auto"/>
            </w:pPr>
            <w:r w:rsidRPr="00ED18EB">
              <w:t>– intonācija;</w:t>
            </w:r>
          </w:p>
          <w:p w:rsidR="00993603" w:rsidRPr="00ED18EB" w:rsidRDefault="00993603" w:rsidP="0078692D">
            <w:pPr>
              <w:shd w:val="clear" w:color="auto" w:fill="auto"/>
            </w:pPr>
            <w:r w:rsidRPr="00ED18EB">
              <w:t>– elastīga un droša tehnika;</w:t>
            </w:r>
          </w:p>
          <w:p w:rsidR="00993603" w:rsidRPr="00ED18EB" w:rsidRDefault="00993603" w:rsidP="0078692D">
            <w:pPr>
              <w:shd w:val="clear" w:color="auto" w:fill="auto"/>
            </w:pPr>
            <w:r w:rsidRPr="00ED18EB">
              <w:lastRenderedPageBreak/>
              <w:t>– pareiza dinamika un frāzes;</w:t>
            </w:r>
          </w:p>
          <w:p w:rsidR="00993603" w:rsidRPr="00ED18EB" w:rsidRDefault="00993603" w:rsidP="0078692D">
            <w:pPr>
              <w:shd w:val="clear" w:color="auto" w:fill="auto"/>
            </w:pPr>
            <w:r w:rsidRPr="00ED18EB">
              <w:t>– pareizi tempi un loģiska agoģika;</w:t>
            </w:r>
          </w:p>
          <w:p w:rsidR="00993603" w:rsidRPr="00ED18EB" w:rsidRDefault="00993603" w:rsidP="0078692D">
            <w:pPr>
              <w:shd w:val="clear" w:color="auto" w:fill="auto"/>
            </w:pPr>
            <w:r w:rsidRPr="00ED18EB">
              <w:t>– skaņdarba interpretācija atbilstoši vēsturiskā perioda stila īpatnībām;</w:t>
            </w:r>
          </w:p>
          <w:p w:rsidR="00993603" w:rsidRPr="00ED18EB" w:rsidRDefault="00993603" w:rsidP="0078692D">
            <w:pPr>
              <w:shd w:val="clear" w:color="auto" w:fill="auto"/>
            </w:pPr>
            <w:r w:rsidRPr="00ED18EB">
              <w:t xml:space="preserve">– mūzikas formas un dramaturģijas izpratne. </w:t>
            </w:r>
          </w:p>
          <w:p w:rsidR="00993603" w:rsidRPr="00ED18EB" w:rsidRDefault="00993603" w:rsidP="0078692D">
            <w:pPr>
              <w:shd w:val="clear" w:color="auto" w:fill="auto"/>
            </w:pPr>
          </w:p>
          <w:p w:rsidR="00993603" w:rsidRPr="00ED18EB" w:rsidRDefault="00993603" w:rsidP="0078692D">
            <w:pPr>
              <w:shd w:val="clear" w:color="auto" w:fill="auto"/>
            </w:pPr>
            <w:r w:rsidRPr="00ED18EB">
              <w:t>STUDIJU REZULTĀTU VĒRTĒŠANA</w:t>
            </w:r>
          </w:p>
          <w:p w:rsidR="00993603" w:rsidRPr="00ED18EB" w:rsidRDefault="00993603" w:rsidP="0078692D">
            <w:pPr>
              <w:shd w:val="clear" w:color="auto" w:fill="auto"/>
              <w:spacing w:after="40"/>
            </w:pPr>
            <w:r w:rsidRPr="00ED18EB">
              <w:t>Izcili (10) – perfekti apgūts skaņdarbs, bez kļūdām, visas ritma vērtības ir precīzas, intonācija ir nevainojama, skaņas kvalitāte ir lieliska, elastīga dinamika un loģiskas frāzes, mijiedarbe ar citiem ansambļa mūziķiem ir ļoti atsaucīga.</w:t>
            </w:r>
          </w:p>
          <w:p w:rsidR="00993603" w:rsidRPr="00ED18EB" w:rsidRDefault="00993603" w:rsidP="0078692D">
            <w:pPr>
              <w:shd w:val="clear" w:color="auto" w:fill="auto"/>
              <w:spacing w:after="40"/>
            </w:pPr>
            <w:r w:rsidRPr="00ED18EB">
              <w:t>Teicami (9) – skaņdarba detaļas ļoti labi apgūtas, teksta kļūdu gandrīz nav, ritma vērtības ir precīzas, intonācija un skaņas kvalitāte ir ļoti laba, diezgan elastīga dinamika un loģiskas frāzes, mijiedarbe ar citiem ansambļa mūziķiem ir atsaucīga.</w:t>
            </w:r>
          </w:p>
          <w:p w:rsidR="00993603" w:rsidRPr="00ED18EB" w:rsidRDefault="00993603" w:rsidP="0078692D">
            <w:pPr>
              <w:shd w:val="clear" w:color="auto" w:fill="auto"/>
              <w:spacing w:after="40"/>
            </w:pPr>
            <w:r w:rsidRPr="00ED18EB">
              <w:t>Ļoti labi (8) – 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993603" w:rsidRPr="00ED18EB" w:rsidRDefault="00993603" w:rsidP="0078692D">
            <w:pPr>
              <w:shd w:val="clear" w:color="auto" w:fill="auto"/>
              <w:spacing w:after="40"/>
            </w:pPr>
            <w:r w:rsidRPr="00ED18EB">
              <w:t>Labi (7) – nošu teksts ir pietiekami apgūts, kļūdas nošu tekstā ir reti sastopamas, ritma vērtības lielākoties ir precīzas, intonācija ir diezgan laba, skaņas kvalitāte ir viduvēja, viduvējs dinamikas diapazons, frāzes lielākoties ir loģiskas.</w:t>
            </w:r>
          </w:p>
          <w:p w:rsidR="00993603" w:rsidRPr="00ED18EB" w:rsidRDefault="00993603" w:rsidP="0078692D">
            <w:pPr>
              <w:shd w:val="clear" w:color="auto" w:fill="auto"/>
              <w:spacing w:after="40"/>
            </w:pPr>
            <w:r w:rsidRPr="00ED18EB">
              <w:t>Gandrīz labi (6) – nošu teksts ir apgūts apmierinoši,</w:t>
            </w:r>
            <w:proofErr w:type="gramStart"/>
            <w:r w:rsidRPr="00ED18EB">
              <w:t xml:space="preserve">  </w:t>
            </w:r>
            <w:proofErr w:type="gramEnd"/>
            <w:r w:rsidRPr="00ED18EB">
              <w:t xml:space="preserve">būtiskas teksta kļūdas, ritma vērtības ne vienmēr ir precīzas, intonācija ir nestabila, skaņas kvalitāte ir viduvēja, dinamikas diapazons ir ierobežots, frāzes ne vienmēr ir loģiskas. </w:t>
            </w:r>
          </w:p>
          <w:p w:rsidR="00993603" w:rsidRPr="00ED18EB" w:rsidRDefault="00993603" w:rsidP="0078692D">
            <w:pPr>
              <w:shd w:val="clear" w:color="auto" w:fill="auto"/>
              <w:spacing w:after="40"/>
            </w:pPr>
            <w:r w:rsidRPr="00ED18EB">
              <w:t>Viduvēji (5) – nošu teksts ir apgūts vāji, būtiskas teksta kļūdas, ritma vērtības bieži nav precīzas, intonācija un skaņas kvalitāte ir vāja, dinamikas un frāzes diapazons ir minimāls.</w:t>
            </w:r>
          </w:p>
          <w:p w:rsidR="00993603" w:rsidRPr="00ED18EB" w:rsidRDefault="00993603" w:rsidP="0078692D">
            <w:pPr>
              <w:shd w:val="clear" w:color="auto" w:fill="auto"/>
              <w:spacing w:after="40"/>
            </w:pPr>
            <w:r w:rsidRPr="00ED18EB">
              <w:t>Gandrīz viduvēji (4) – nošu teksts ir apgūts ļoti vāji, daudz teksta kļūdu, ritma vērtības nav precīzas, intonācija un skaņas kvalitāte ir ļoti vāja, dinamikas diapazons un frāzes ir neapmierinošas.</w:t>
            </w:r>
          </w:p>
          <w:p w:rsidR="00993603" w:rsidRPr="00ED18EB" w:rsidRDefault="00993603" w:rsidP="0078692D">
            <w:pPr>
              <w:shd w:val="clear" w:color="auto" w:fill="auto"/>
              <w:spacing w:after="40"/>
            </w:pPr>
            <w:r w:rsidRPr="00ED18EB">
              <w:t>Vāji (3) – nošu teksts ir apgūts ārkārtīgi vāji, daudz teksta kļūdu, ritma vērtības nav precīzas, intonācija ir ļoti vāja, skaņas kvalitāte lielākoties nav muzikāla, tiek ignorēts dinamikas diapazons un frāzes.</w:t>
            </w:r>
          </w:p>
          <w:p w:rsidR="00993603" w:rsidRPr="00ED18EB" w:rsidRDefault="00993603" w:rsidP="0078692D">
            <w:pPr>
              <w:shd w:val="clear" w:color="auto" w:fill="auto"/>
              <w:spacing w:after="40"/>
            </w:pPr>
            <w:r w:rsidRPr="00ED18EB">
              <w:t>Ļoti vāji (2) – nošu teksts ir tikpat kā nemācīts, nošu teksta kļūdu pārpilnība, ritma vērtības nav precīzas, intonācija pārsvarā ir nepareiza, skaņas kvalitāte nav muzikāla, tiek ignorēts dinamikas diapazons un frāzes.</w:t>
            </w:r>
          </w:p>
          <w:p w:rsidR="00993603" w:rsidRPr="00ED18EB" w:rsidRDefault="00993603" w:rsidP="0078692D">
            <w:pPr>
              <w:shd w:val="clear" w:color="auto" w:fill="auto"/>
              <w:spacing w:after="40"/>
            </w:pPr>
            <w:r w:rsidRPr="00ED18EB">
              <w:t>Ļoti, ļoti vāji (1) – nošu teksts nav mācīts.</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pPr>
            <w:r w:rsidRPr="00ED18EB">
              <w:lastRenderedPageBreak/>
              <w:t>Kursa saturs</w:t>
            </w:r>
          </w:p>
        </w:tc>
      </w:tr>
      <w:tr w:rsidR="00993603" w:rsidRPr="00ED18EB" w:rsidTr="0078692D">
        <w:tc>
          <w:tcPr>
            <w:tcW w:w="9320" w:type="dxa"/>
          </w:tcPr>
          <w:p w:rsidR="00993603" w:rsidRPr="00ED18EB" w:rsidRDefault="00993603" w:rsidP="0078692D">
            <w:pPr>
              <w:shd w:val="clear" w:color="auto" w:fill="auto"/>
            </w:pPr>
            <w:r w:rsidRPr="00ED18EB">
              <w:t>IV semestris</w:t>
            </w:r>
          </w:p>
          <w:p w:rsidR="00993603" w:rsidRPr="00ED18EB" w:rsidRDefault="00993603" w:rsidP="0078692D">
            <w:pPr>
              <w:shd w:val="clear" w:color="auto" w:fill="auto"/>
            </w:pPr>
          </w:p>
          <w:p w:rsidR="00993603" w:rsidRPr="00ED18EB" w:rsidRDefault="00993603" w:rsidP="0078692D">
            <w:pPr>
              <w:shd w:val="clear" w:color="auto" w:fill="auto"/>
            </w:pPr>
            <w:r w:rsidRPr="00ED18EB">
              <w:t>Gammas līdz četrām zīmēm.</w:t>
            </w:r>
          </w:p>
          <w:p w:rsidR="00993603" w:rsidRPr="00ED18EB" w:rsidRDefault="00993603" w:rsidP="0078692D">
            <w:pPr>
              <w:shd w:val="clear" w:color="auto" w:fill="auto"/>
            </w:pPr>
            <w:r w:rsidRPr="00ED18EB">
              <w:t>Etīdes spēles tehnikas pilnveidei.</w:t>
            </w:r>
          </w:p>
          <w:p w:rsidR="00993603" w:rsidRPr="00ED18EB" w:rsidRDefault="00993603" w:rsidP="0078692D">
            <w:pPr>
              <w:shd w:val="clear" w:color="auto" w:fill="auto"/>
            </w:pPr>
            <w:r w:rsidRPr="00ED18EB">
              <w:t>Divi dažāda rakstura skaņdarbi (viens izvērstas formas skaņdarbs vai tā daļa).</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pPr>
            <w:r w:rsidRPr="00ED18EB">
              <w:t>Obligāti izmantojamie informācijas avoti</w:t>
            </w:r>
          </w:p>
        </w:tc>
      </w:tr>
      <w:tr w:rsidR="00993603" w:rsidRPr="00ED18EB" w:rsidTr="0078692D">
        <w:tc>
          <w:tcPr>
            <w:tcW w:w="9320" w:type="dxa"/>
          </w:tcPr>
          <w:p w:rsidR="00993603" w:rsidRPr="00ED18EB" w:rsidRDefault="00993603" w:rsidP="0078692D">
            <w:pPr>
              <w:shd w:val="clear" w:color="auto" w:fill="auto"/>
            </w:pPr>
            <w:r w:rsidRPr="00ED18EB">
              <w:t xml:space="preserve">Caplan, B. (2004). Practicing For Artistic Success: The Musician's Guide to Self– Empowerment. Perception Development Techniques, NY. (docētāja privātais izdevumu krājums, kas skenētā veidā tiks ievietots e–studiju vidē </w:t>
            </w:r>
            <w:r w:rsidRPr="00ED18EB">
              <w:rPr>
                <w:i/>
              </w:rPr>
              <w:t>Moodle</w:t>
            </w:r>
            <w:r w:rsidRPr="00ED18EB">
              <w:t>)</w:t>
            </w:r>
          </w:p>
          <w:p w:rsidR="00993603" w:rsidRPr="00ED18EB" w:rsidRDefault="00993603" w:rsidP="0078692D">
            <w:pPr>
              <w:shd w:val="clear" w:color="auto" w:fill="auto"/>
            </w:pPr>
            <w:r w:rsidRPr="00ED18EB">
              <w:t>Boren, M. (2005). Breathing for performance: A guide for wind and voice musicians. Houston, TX: Powerlung Press.</w:t>
            </w:r>
          </w:p>
          <w:p w:rsidR="00993603" w:rsidRPr="00ED18EB" w:rsidRDefault="00993603" w:rsidP="0078692D">
            <w:pPr>
              <w:shd w:val="clear" w:color="auto" w:fill="auto"/>
            </w:pPr>
            <w:r w:rsidRPr="00ED18EB">
              <w:t>Farkas, Ph. (1989). The Art of Brass Playing. Wind Music Inc. (docētāja privātais izdevumu krājums)</w:t>
            </w:r>
            <w:r w:rsidRPr="00ED18EB">
              <w:br/>
              <w:t>Farkas, Ph. (1976). The Art of Musicianship: A Treatise on the Skills, Knowledge, and Sensitivity Needed by the Mature Musician to Perform in an Artistic and Professional Manner. Musical Publications.</w:t>
            </w:r>
          </w:p>
          <w:p w:rsidR="00993603" w:rsidRPr="00ED18EB" w:rsidRDefault="00993603" w:rsidP="0078692D">
            <w:pPr>
              <w:shd w:val="clear" w:color="auto" w:fill="auto"/>
            </w:pPr>
            <w:r w:rsidRPr="00ED18EB">
              <w:t>Weisberg, A (2007). The Art of Wind Playing. Meredith Music. (docētāja privātais izdevumu krājums)</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pPr>
            <w:r w:rsidRPr="00ED18EB">
              <w:t>Papildus informācijas avoti</w:t>
            </w:r>
          </w:p>
        </w:tc>
      </w:tr>
      <w:tr w:rsidR="00993603" w:rsidRPr="00ED18EB" w:rsidTr="0078692D">
        <w:tc>
          <w:tcPr>
            <w:tcW w:w="9320" w:type="dxa"/>
          </w:tcPr>
          <w:p w:rsidR="00993603" w:rsidRPr="00ED18EB" w:rsidRDefault="00993603" w:rsidP="0078692D">
            <w:pPr>
              <w:shd w:val="clear" w:color="auto" w:fill="auto"/>
            </w:pPr>
            <w:r w:rsidRPr="00ED18EB">
              <w:lastRenderedPageBreak/>
              <w:t>Geiringer, K. (1978). Instruments in the History of Western Music. New York: Oxford University Press. http://www.survivorlibrary.com/library/instruments_in_the_history_of_western_music_1978.pdf.</w:t>
            </w:r>
          </w:p>
          <w:p w:rsidR="00993603" w:rsidRPr="00ED18EB" w:rsidRDefault="00993603" w:rsidP="0078692D">
            <w:pPr>
              <w:shd w:val="clear" w:color="auto" w:fill="auto"/>
            </w:pPr>
            <w:r w:rsidRPr="00ED18EB">
              <w:t>McGill, D. (2009). Sound in Motion: A Performer's Guide to Greater Musical Expression. Indiana University Press.</w:t>
            </w:r>
          </w:p>
          <w:p w:rsidR="00993603" w:rsidRPr="00ED18EB" w:rsidRDefault="00993603" w:rsidP="0078692D">
            <w:pPr>
              <w:shd w:val="clear" w:color="auto" w:fill="auto"/>
            </w:pPr>
            <w:r w:rsidRPr="00ED18EB">
              <w:t>The Woodwind Player's Cookbook (2008). Edited by Charles West. Meredith Music.</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pPr>
            <w:r w:rsidRPr="00ED18EB">
              <w:t>Periodika un citi informācijas avoti</w:t>
            </w:r>
          </w:p>
        </w:tc>
      </w:tr>
      <w:tr w:rsidR="00993603" w:rsidRPr="00ED18EB" w:rsidTr="0078692D">
        <w:tc>
          <w:tcPr>
            <w:tcW w:w="9320" w:type="dxa"/>
          </w:tcPr>
          <w:p w:rsidR="00993603" w:rsidRPr="00ED18EB" w:rsidRDefault="00993603" w:rsidP="0078692D">
            <w:pPr>
              <w:shd w:val="clear" w:color="auto" w:fill="auto"/>
            </w:pPr>
            <w:r w:rsidRPr="00ED18EB">
              <w:t>Žurnāli:</w:t>
            </w:r>
          </w:p>
          <w:p w:rsidR="00993603" w:rsidRPr="00ED18EB" w:rsidRDefault="00993603" w:rsidP="0078692D">
            <w:pPr>
              <w:shd w:val="clear" w:color="auto" w:fill="auto"/>
            </w:pPr>
            <w:r w:rsidRPr="00ED18EB">
              <w:t xml:space="preserve">British Journal of Music Education. </w:t>
            </w:r>
            <w:hyperlink r:id="rId5" w:history="1">
              <w:r w:rsidRPr="00ED18EB">
                <w:t>https://www.cambridge.org/core/journals/british–journal–of–music–education</w:t>
              </w:r>
            </w:hyperlink>
            <w:r w:rsidRPr="00ED18EB">
              <w:t>.</w:t>
            </w:r>
          </w:p>
          <w:p w:rsidR="00993603" w:rsidRPr="00ED18EB" w:rsidRDefault="00993603" w:rsidP="0078692D">
            <w:pPr>
              <w:shd w:val="clear" w:color="auto" w:fill="auto"/>
            </w:pPr>
            <w:r w:rsidRPr="00ED18EB">
              <w:t xml:space="preserve">Early Music Performer. </w:t>
            </w:r>
            <w:hyperlink r:id="rId6" w:history="1">
              <w:r w:rsidRPr="00ED18EB">
                <w:t>https://www.earlymusic.info/Performer.php</w:t>
              </w:r>
            </w:hyperlink>
            <w:r w:rsidRPr="00ED18EB">
              <w:t>.</w:t>
            </w:r>
          </w:p>
          <w:p w:rsidR="00993603" w:rsidRPr="00ED18EB" w:rsidRDefault="00993603" w:rsidP="0078692D">
            <w:pPr>
              <w:shd w:val="clear" w:color="auto" w:fill="auto"/>
            </w:pPr>
            <w:r w:rsidRPr="00ED18EB">
              <w:t xml:space="preserve">International Journal of music Education. </w:t>
            </w:r>
            <w:hyperlink r:id="rId7" w:history="1">
              <w:r w:rsidRPr="00ED18EB">
                <w:t>https://journals.sagepub.com/home/ijm</w:t>
              </w:r>
            </w:hyperlink>
            <w:r w:rsidRPr="00ED18EB">
              <w:t>.</w:t>
            </w:r>
          </w:p>
          <w:p w:rsidR="00993603" w:rsidRPr="00ED18EB" w:rsidRDefault="00993603" w:rsidP="0078692D">
            <w:pPr>
              <w:shd w:val="clear" w:color="auto" w:fill="auto"/>
            </w:pPr>
            <w:r w:rsidRPr="00ED18EB">
              <w:t>Journal of Research in Music Education.</w:t>
            </w:r>
          </w:p>
          <w:p w:rsidR="00993603" w:rsidRPr="00ED18EB" w:rsidRDefault="00993603" w:rsidP="0078692D">
            <w:pPr>
              <w:shd w:val="clear" w:color="auto" w:fill="auto"/>
            </w:pPr>
            <w:r w:rsidRPr="00ED18EB">
              <w:t>https://journals.sagepub.com/doi/abs/10.1177/0022429415583474?journalCode=jrmas.</w:t>
            </w:r>
          </w:p>
          <w:p w:rsidR="00993603" w:rsidRPr="00ED18EB" w:rsidRDefault="00993603" w:rsidP="0078692D">
            <w:pPr>
              <w:shd w:val="clear" w:color="auto" w:fill="auto"/>
            </w:pPr>
            <w:r w:rsidRPr="00ED18EB">
              <w:t>Performance Practice Review. https://scholarship.claremont.edu/ppr/</w:t>
            </w:r>
          </w:p>
          <w:p w:rsidR="00993603" w:rsidRPr="00ED18EB" w:rsidRDefault="00993603" w:rsidP="0078692D">
            <w:pPr>
              <w:shd w:val="clear" w:color="auto" w:fill="auto"/>
            </w:pPr>
            <w:r w:rsidRPr="00ED18EB">
              <w:t xml:space="preserve">Windplayer. For Wind and Bras Musicians. </w:t>
            </w:r>
            <w:hyperlink r:id="rId8" w:history="1">
              <w:r w:rsidRPr="00ED18EB">
                <w:t>https://journals.sagepub.com/doi/abs/10.1177/0022429415583474?journalCode=jrma</w:t>
              </w:r>
            </w:hyperlink>
            <w:r w:rsidRPr="00ED18EB">
              <w:t>.</w:t>
            </w:r>
          </w:p>
          <w:p w:rsidR="00993603" w:rsidRPr="00ED18EB" w:rsidRDefault="00993603" w:rsidP="0078692D">
            <w:pPr>
              <w:shd w:val="clear" w:color="auto" w:fill="auto"/>
            </w:pPr>
          </w:p>
        </w:tc>
      </w:tr>
      <w:tr w:rsidR="00993603" w:rsidRPr="00ED18EB" w:rsidTr="0078692D">
        <w:tc>
          <w:tcPr>
            <w:tcW w:w="9320" w:type="dxa"/>
          </w:tcPr>
          <w:p w:rsidR="00993603" w:rsidRPr="00ED18EB" w:rsidRDefault="00993603" w:rsidP="0078692D">
            <w:pPr>
              <w:pStyle w:val="Nosaukumi"/>
            </w:pPr>
            <w:r w:rsidRPr="00ED18EB">
              <w:t>Piezīmes</w:t>
            </w:r>
          </w:p>
        </w:tc>
      </w:tr>
      <w:tr w:rsidR="00993603" w:rsidRPr="00ED18EB" w:rsidTr="0078692D">
        <w:tc>
          <w:tcPr>
            <w:tcW w:w="9320" w:type="dxa"/>
          </w:tcPr>
          <w:p w:rsidR="00993603" w:rsidRPr="00ED18EB" w:rsidRDefault="00993603" w:rsidP="0078692D">
            <w:pPr>
              <w:shd w:val="clear" w:color="auto" w:fill="auto"/>
            </w:pPr>
            <w:r w:rsidRPr="00ED18EB">
              <w:t>Profesionālās bakalaura studiju programmas “Mūzika” B1 daļa.</w:t>
            </w:r>
          </w:p>
          <w:p w:rsidR="00993603" w:rsidRPr="00ED18EB" w:rsidRDefault="00993603" w:rsidP="0078692D">
            <w:pPr>
              <w:shd w:val="clear" w:color="auto" w:fill="auto"/>
            </w:pPr>
            <w:r w:rsidRPr="00ED18EB">
              <w:t>Kursu apgūst latviešu vai angļu valodā.</w:t>
            </w:r>
          </w:p>
          <w:p w:rsidR="00993603" w:rsidRPr="00ED18EB" w:rsidRDefault="00993603" w:rsidP="0078692D">
            <w:pPr>
              <w:shd w:val="clear" w:color="auto" w:fill="auto"/>
            </w:pPr>
            <w:r w:rsidRPr="00ED18EB">
              <w:t>Individuālo praktisko nodarbību kontaktstundas paredzētas katram studentam.</w:t>
            </w:r>
          </w:p>
          <w:p w:rsidR="00993603" w:rsidRPr="00ED18EB" w:rsidRDefault="00993603" w:rsidP="0078692D">
            <w:pPr>
              <w:shd w:val="clear" w:color="auto" w:fill="auto"/>
              <w:rPr>
                <w:rFonts w:eastAsiaTheme="minorHAnsi"/>
              </w:rPr>
            </w:pPr>
            <w:r w:rsidRPr="00ED18EB">
              <w:t>Koncertmeistara dalība individuālajās praktiskajās nodarbībās 50%.</w:t>
            </w:r>
          </w:p>
          <w:p w:rsidR="00993603" w:rsidRPr="00ED18EB" w:rsidRDefault="00993603" w:rsidP="0078692D">
            <w:pPr>
              <w:shd w:val="clear" w:color="auto" w:fill="auto"/>
            </w:pPr>
          </w:p>
        </w:tc>
      </w:tr>
    </w:tbl>
    <w:p w:rsidR="00993603" w:rsidRPr="00ED18EB" w:rsidRDefault="00993603" w:rsidP="00993603">
      <w:pPr>
        <w:rPr>
          <w:szCs w:val="22"/>
        </w:rPr>
        <w:sectPr w:rsidR="00993603" w:rsidRPr="00ED18EB" w:rsidSect="00CE578A">
          <w:pgSz w:w="11906" w:h="16838" w:code="9"/>
          <w:pgMar w:top="1418" w:right="1418" w:bottom="1418" w:left="1701" w:header="720" w:footer="720" w:gutter="0"/>
          <w:pgNumType w:start="478"/>
          <w:cols w:space="720"/>
          <w:docGrid w:linePitch="360"/>
        </w:sectPr>
      </w:pPr>
    </w:p>
    <w:p w:rsidR="00ED36EA" w:rsidRDefault="00ED36EA"/>
    <w:sectPr w:rsidR="00ED36EA" w:rsidSect="00993603">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03"/>
    <w:rsid w:val="00993603"/>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603"/>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993603"/>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93603"/>
    <w:pPr>
      <w:framePr w:hSpace="180" w:wrap="around" w:vAnchor="text" w:hAnchor="margin" w:y="1"/>
      <w:shd w:val="clear" w:color="auto" w:fill="auto"/>
    </w:pPr>
    <w:rPr>
      <w:i/>
      <w:iCs w:val="0"/>
      <w:szCs w:val="22"/>
    </w:rPr>
  </w:style>
  <w:style w:type="table" w:styleId="TableGrid">
    <w:name w:val="Table Grid"/>
    <w:basedOn w:val="TableNormal"/>
    <w:uiPriority w:val="59"/>
    <w:rsid w:val="00993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93603"/>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93603"/>
    <w:rPr>
      <w:shd w:val="clear" w:color="auto" w:fill="FFFFFF" w:themeFill="background1"/>
    </w:rPr>
  </w:style>
  <w:style w:type="paragraph" w:customStyle="1" w:styleId="Style1">
    <w:name w:val="Style1"/>
    <w:basedOn w:val="Nosaukumi"/>
    <w:link w:val="Style1Char"/>
    <w:autoRedefine/>
    <w:qFormat/>
    <w:rsid w:val="00993603"/>
    <w:pPr>
      <w:framePr w:wrap="around" w:hAnchor="text"/>
      <w:ind w:right="399"/>
    </w:pPr>
    <w:rPr>
      <w:sz w:val="24"/>
      <w:shd w:val="clear" w:color="auto" w:fill="FFFFFF"/>
    </w:rPr>
  </w:style>
  <w:style w:type="character" w:customStyle="1" w:styleId="NosaukumiChar">
    <w:name w:val="Nosaukumi Char"/>
    <w:basedOn w:val="DefaultParagraphFont"/>
    <w:link w:val="Nosaukumi"/>
    <w:rsid w:val="00993603"/>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93603"/>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93603"/>
    <w:rPr>
      <w:caps/>
      <w:szCs w:val="22"/>
    </w:rPr>
  </w:style>
  <w:style w:type="character" w:customStyle="1" w:styleId="Style2Char">
    <w:name w:val="Style2 Char"/>
    <w:basedOn w:val="DefaultParagraphFont"/>
    <w:link w:val="Style2"/>
    <w:rsid w:val="00993603"/>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93603"/>
    <w:rPr>
      <w:rFonts w:ascii="Tahoma" w:hAnsi="Tahoma" w:cs="Tahoma"/>
      <w:sz w:val="16"/>
      <w:szCs w:val="16"/>
    </w:rPr>
  </w:style>
  <w:style w:type="character" w:customStyle="1" w:styleId="BalloonTextChar">
    <w:name w:val="Balloon Text Char"/>
    <w:basedOn w:val="DefaultParagraphFont"/>
    <w:link w:val="BalloonText"/>
    <w:uiPriority w:val="99"/>
    <w:semiHidden/>
    <w:rsid w:val="00993603"/>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603"/>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993603"/>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93603"/>
    <w:pPr>
      <w:framePr w:hSpace="180" w:wrap="around" w:vAnchor="text" w:hAnchor="margin" w:y="1"/>
      <w:shd w:val="clear" w:color="auto" w:fill="auto"/>
    </w:pPr>
    <w:rPr>
      <w:i/>
      <w:iCs w:val="0"/>
      <w:szCs w:val="22"/>
    </w:rPr>
  </w:style>
  <w:style w:type="table" w:styleId="TableGrid">
    <w:name w:val="Table Grid"/>
    <w:basedOn w:val="TableNormal"/>
    <w:uiPriority w:val="59"/>
    <w:rsid w:val="00993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93603"/>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93603"/>
    <w:rPr>
      <w:shd w:val="clear" w:color="auto" w:fill="FFFFFF" w:themeFill="background1"/>
    </w:rPr>
  </w:style>
  <w:style w:type="paragraph" w:customStyle="1" w:styleId="Style1">
    <w:name w:val="Style1"/>
    <w:basedOn w:val="Nosaukumi"/>
    <w:link w:val="Style1Char"/>
    <w:autoRedefine/>
    <w:qFormat/>
    <w:rsid w:val="00993603"/>
    <w:pPr>
      <w:framePr w:wrap="around" w:hAnchor="text"/>
      <w:ind w:right="399"/>
    </w:pPr>
    <w:rPr>
      <w:sz w:val="24"/>
      <w:shd w:val="clear" w:color="auto" w:fill="FFFFFF"/>
    </w:rPr>
  </w:style>
  <w:style w:type="character" w:customStyle="1" w:styleId="NosaukumiChar">
    <w:name w:val="Nosaukumi Char"/>
    <w:basedOn w:val="DefaultParagraphFont"/>
    <w:link w:val="Nosaukumi"/>
    <w:rsid w:val="00993603"/>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93603"/>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93603"/>
    <w:rPr>
      <w:caps/>
      <w:szCs w:val="22"/>
    </w:rPr>
  </w:style>
  <w:style w:type="character" w:customStyle="1" w:styleId="Style2Char">
    <w:name w:val="Style2 Char"/>
    <w:basedOn w:val="DefaultParagraphFont"/>
    <w:link w:val="Style2"/>
    <w:rsid w:val="00993603"/>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93603"/>
    <w:rPr>
      <w:rFonts w:ascii="Tahoma" w:hAnsi="Tahoma" w:cs="Tahoma"/>
      <w:sz w:val="16"/>
      <w:szCs w:val="16"/>
    </w:rPr>
  </w:style>
  <w:style w:type="character" w:customStyle="1" w:styleId="BalloonTextChar">
    <w:name w:val="Balloon Text Char"/>
    <w:basedOn w:val="DefaultParagraphFont"/>
    <w:link w:val="BalloonText"/>
    <w:uiPriority w:val="99"/>
    <w:semiHidden/>
    <w:rsid w:val="00993603"/>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abs/10.1177/0022429415583474?journalCode=jrma" TargetMode="External"/><Relationship Id="rId3" Type="http://schemas.openxmlformats.org/officeDocument/2006/relationships/settings" Target="settings.xml"/><Relationship Id="rId7" Type="http://schemas.openxmlformats.org/officeDocument/2006/relationships/hyperlink" Target="https://journals.sagepub.com/home/ij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earlymusic.info/Performer.php" TargetMode="External"/><Relationship Id="rId11" Type="http://schemas.openxmlformats.org/officeDocument/2006/relationships/theme" Target="theme/theme1.xml"/><Relationship Id="rId5" Type="http://schemas.openxmlformats.org/officeDocument/2006/relationships/hyperlink" Target="https://www.cambridge.org/core/journals/british-journal-of-music-education"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ABC3DC69F8493092B3126A15592BC4"/>
        <w:category>
          <w:name w:val="General"/>
          <w:gallery w:val="placeholder"/>
        </w:category>
        <w:types>
          <w:type w:val="bbPlcHdr"/>
        </w:types>
        <w:behaviors>
          <w:behavior w:val="content"/>
        </w:behaviors>
        <w:guid w:val="{9EB7E4E4-066B-477D-9790-191CF7CE0D96}"/>
      </w:docPartPr>
      <w:docPartBody>
        <w:p w:rsidR="00000000" w:rsidRDefault="0057216F" w:rsidP="0057216F">
          <w:pPr>
            <w:pStyle w:val="BEABC3DC69F8493092B3126A15592BC4"/>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16F"/>
    <w:rsid w:val="0057216F"/>
    <w:rsid w:val="00B67B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216F"/>
    <w:rPr>
      <w:color w:val="808080"/>
    </w:rPr>
  </w:style>
  <w:style w:type="paragraph" w:customStyle="1" w:styleId="BEABC3DC69F8493092B3126A15592BC4">
    <w:name w:val="BEABC3DC69F8493092B3126A15592BC4"/>
    <w:rsid w:val="0057216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216F"/>
    <w:rPr>
      <w:color w:val="808080"/>
    </w:rPr>
  </w:style>
  <w:style w:type="paragraph" w:customStyle="1" w:styleId="BEABC3DC69F8493092B3126A15592BC4">
    <w:name w:val="BEABC3DC69F8493092B3126A15592BC4"/>
    <w:rsid w:val="005721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5501</Words>
  <Characters>3137</Characters>
  <Application>Microsoft Office Word</Application>
  <DocSecurity>0</DocSecurity>
  <Lines>26</Lines>
  <Paragraphs>17</Paragraphs>
  <ScaleCrop>false</ScaleCrop>
  <Company/>
  <LinksUpToDate>false</LinksUpToDate>
  <CharactersWithSpaces>8621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2023-07-13T11:22:00Z</dcterms:created>
  <dcterms:modified xsi:type="dcterms:W3CDTF">2023-07-13T11:22:00Z</dcterms:modified>
</cp:coreProperties>
</file>