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>
      <w:bookmarkStart w:id="0" w:name="_GoBack"/>
      <w:bookmarkEnd w:id="0"/>
    </w:p>
    <w:p w:rsidR="0024541F" w:rsidRDefault="0024541F"/>
    <w:p w:rsidR="0024541F" w:rsidRPr="00ED18EB" w:rsidRDefault="0024541F" w:rsidP="0024541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4541F" w:rsidRPr="00ED18EB" w:rsidRDefault="0024541F" w:rsidP="0024541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4541F" w:rsidRPr="00ED18EB" w:rsidRDefault="0024541F" w:rsidP="0024541F">
      <w:pPr>
        <w:shd w:val="clear" w:color="auto" w:fill="auto"/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24541F" w:rsidRPr="00ED18EB" w:rsidRDefault="0024541F" w:rsidP="005E54E7">
            <w:pPr>
              <w:pStyle w:val="Style1"/>
              <w:framePr w:wrap="around"/>
            </w:pPr>
            <w:bookmarkStart w:id="1" w:name="_Toc94194623"/>
            <w:bookmarkStart w:id="2" w:name="_Toc94237280"/>
            <w:bookmarkStart w:id="3" w:name="_Toc103738593"/>
            <w:bookmarkStart w:id="4" w:name="_Toc103779758"/>
            <w:r w:rsidRPr="00ED18EB">
              <w:t>Mūzikas digitalizācija</w:t>
            </w:r>
            <w:bookmarkEnd w:id="1"/>
            <w:bookmarkEnd w:id="2"/>
            <w:bookmarkEnd w:id="3"/>
            <w:bookmarkEnd w:id="4"/>
            <w:r w:rsidRPr="00ED18EB">
              <w:t xml:space="preserve"> 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24541F" w:rsidRPr="00ED18EB" w:rsidRDefault="0024541F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MākZ3509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967630108"/>
            <w:placeholder>
              <w:docPart w:val="DC5142E034174B1D8F8D8096243800A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</w:tcPr>
              <w:p w:rsidR="0024541F" w:rsidRPr="00ED18EB" w:rsidRDefault="0024541F" w:rsidP="005E54E7">
                <w:pPr>
                  <w:shd w:val="clear" w:color="auto" w:fill="auto"/>
                  <w:rPr>
                    <w:lang w:eastAsia="lv-LV"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 xml:space="preserve">3. 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24541F" w:rsidRPr="00ED18EB" w:rsidRDefault="0024541F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szCs w:val="22"/>
                <w:lang w:eastAsia="lv-LV"/>
              </w:rPr>
              <w:t>2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szCs w:val="22"/>
                <w:lang w:eastAsia="lv-LV"/>
              </w:rPr>
              <w:t>3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24541F" w:rsidRPr="00ED18EB" w:rsidRDefault="0024541F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32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–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30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4541F" w:rsidRPr="00ED18EB" w:rsidRDefault="0024541F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–</w:t>
            </w:r>
          </w:p>
        </w:tc>
      </w:tr>
      <w:tr w:rsidR="0024541F" w:rsidRPr="00ED18EB" w:rsidTr="005E54E7">
        <w:tc>
          <w:tcPr>
            <w:tcW w:w="4218" w:type="dxa"/>
          </w:tcPr>
          <w:p w:rsidR="0024541F" w:rsidRPr="00ED18EB" w:rsidRDefault="0024541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4541F" w:rsidRPr="00ED18EB" w:rsidRDefault="0024541F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  <w:rPr>
                <w:i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4541F" w:rsidRPr="00ED18EB" w:rsidRDefault="0024541F" w:rsidP="005E54E7">
            <w:pPr>
              <w:shd w:val="clear" w:color="auto" w:fill="auto"/>
              <w:rPr>
                <w:i/>
                <w:iCs w:val="0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Studiju kursa docētājs(–i):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4541F" w:rsidRPr="00ED18EB" w:rsidRDefault="0024541F" w:rsidP="005E54E7">
            <w:pPr>
              <w:shd w:val="clear" w:color="auto" w:fill="auto"/>
              <w:rPr>
                <w:i/>
                <w:iCs w:val="0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pacing w:val="6"/>
                <w:szCs w:val="22"/>
              </w:rPr>
              <w:t xml:space="preserve">Apgūti mūzikas teorijas kursi </w:t>
            </w:r>
            <w:r w:rsidRPr="00ED18EB">
              <w:rPr>
                <w:szCs w:val="22"/>
              </w:rPr>
              <w:t>mūzikas profesionālās bakalaura studiju programmas 5. semestra prasību līmenī.</w:t>
            </w:r>
          </w:p>
          <w:p w:rsidR="0024541F" w:rsidRPr="00ED18EB" w:rsidRDefault="0024541F" w:rsidP="005E54E7">
            <w:pPr>
              <w:shd w:val="clear" w:color="auto" w:fill="auto"/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Kurss paredzēts profesionālās bakalaura studiju programmas “Mūzika” studentiem.</w:t>
            </w:r>
          </w:p>
          <w:p w:rsidR="0024541F" w:rsidRPr="00ED18EB" w:rsidRDefault="0024541F" w:rsidP="005E54E7">
            <w:pPr>
              <w:shd w:val="clear" w:color="auto" w:fill="auto"/>
              <w:rPr>
                <w:rStyle w:val="Style2Char"/>
              </w:rPr>
            </w:pPr>
          </w:p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Kursa mērķis:</w:t>
            </w:r>
            <w:r w:rsidRPr="00ED18EB">
              <w:rPr>
                <w:szCs w:val="22"/>
              </w:rPr>
              <w:t xml:space="preserve"> sniegt teorētiskas zināšanas par skaņas un tās apstrādes galvenajiem jēdzieniem datortehnoloģijās, praktiski apgūst skaņas ieraksta, nošu pieraksta, skaņas apstrādes tehnoloģijas.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uzdevumi: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sniegt ieskatu mūzikas digitalizācijas vēsturē, izprast dažādu mūzikas failu specifiku, to transformēšanu, veidot iemaņas nošu raksta programmā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Sibelius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, skaņu ieraksta veidošanā programmā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Sound Forge</w:t>
            </w:r>
            <w:r w:rsidRPr="00ED18EB">
              <w:rPr>
                <w:rFonts w:eastAsia="Times New Roman"/>
                <w:szCs w:val="22"/>
                <w:lang w:eastAsia="lv-LV"/>
              </w:rPr>
              <w:t>, fonogrammas veidošanā un apzināt MIDI sistēmas pamatprincipus.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24541F" w:rsidRPr="00ED18EB" w:rsidTr="005E54E7">
        <w:trPr>
          <w:trHeight w:val="141"/>
        </w:trPr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24541F" w:rsidRPr="00ED18EB" w:rsidTr="005E54E7">
        <w:trPr>
          <w:trHeight w:val="47"/>
        </w:trPr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lekcijas (L) – 2 stundas, praktiskie darbi (P) – 30 stundas, studentu patstāvīgais darbs (Pd) – 48 stundas.</w:t>
            </w:r>
          </w:p>
          <w:p w:rsidR="0024541F" w:rsidRPr="00ED18EB" w:rsidRDefault="0024541F" w:rsidP="005E54E7">
            <w:pPr>
              <w:shd w:val="clear" w:color="auto" w:fill="auto"/>
            </w:pPr>
          </w:p>
          <w:tbl>
            <w:tblPr>
              <w:tblStyle w:val="TableGrid"/>
              <w:tblW w:w="9096" w:type="dxa"/>
              <w:tblLook w:val="04A0" w:firstRow="1" w:lastRow="0" w:firstColumn="1" w:lastColumn="0" w:noHBand="0" w:noVBand="1"/>
            </w:tblPr>
            <w:tblGrid>
              <w:gridCol w:w="3674"/>
              <w:gridCol w:w="1244"/>
              <w:gridCol w:w="902"/>
              <w:gridCol w:w="3276"/>
            </w:tblGrid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4541F" w:rsidRPr="00ED18EB" w:rsidTr="005E54E7">
              <w:tc>
                <w:tcPr>
                  <w:tcW w:w="9096" w:type="dxa"/>
                  <w:gridSpan w:val="4"/>
                </w:tcPr>
                <w:p w:rsidR="0024541F" w:rsidRPr="00ED18EB" w:rsidRDefault="0024541F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 semestris (32 stundas)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Dators un mūzikas valoda. </w:t>
                  </w:r>
                  <w:r w:rsidRPr="00ED18EB">
                    <w:rPr>
                      <w:lang w:eastAsia="lv-LV"/>
                    </w:rPr>
                    <w:t>Skaņu kartes to būtība. Mūzikas faili, to raksturojums.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Sagatavojas diskusijai par skaņu ieraksta saglabāšanas veidiem. 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lastRenderedPageBreak/>
                    <w:t xml:space="preserve">CD izveide. Programma </w:t>
                  </w:r>
                  <w:r w:rsidRPr="00ED18EB">
                    <w:rPr>
                      <w:i/>
                      <w:lang w:eastAsia="lv-LV"/>
                    </w:rPr>
                    <w:t xml:space="preserve">NERO Burning ROM. </w:t>
                  </w:r>
                  <w:r w:rsidRPr="00ED18EB">
                    <w:rPr>
                      <w:lang w:eastAsia="lv-LV"/>
                    </w:rPr>
                    <w:t xml:space="preserve">Ieraksta projekta izveidošana. Ieraksta parametri, to maiņa, pielāgošana. Mūzikas failu pārkodēšana. 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CD imidžu veidošana, mūzikas failu pārkodēšana, atsevišķu failu pārnešana no dažādiem datu nesējiem.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>CD vizuālā noformējuma veidošana.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Patstāvīga CD vāciņa izveide.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>Komutācija ar skaņu aparatūru, skaņu pulti, mūzikas instrumentiem.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Skaņu mikšerpults efektu un ekvalaizera detalizētāka izpēte.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Skaņas ieraksts. Programma </w:t>
                  </w:r>
                  <w:r w:rsidRPr="00ED18EB">
                    <w:rPr>
                      <w:i/>
                    </w:rPr>
                    <w:t>Sound Forge</w:t>
                  </w:r>
                  <w:r w:rsidRPr="00ED18EB">
                    <w:t>. Ieraksta parametru izvēle. Ieraksta uzlabošana, skaņas apstrāde.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Noskatīties video pamācības: piemēram, </w:t>
                  </w:r>
                  <w:r w:rsidRPr="00ED18EB">
                    <w:rPr>
                      <w:i/>
                    </w:rPr>
                    <w:t>Sound Forge</w:t>
                  </w:r>
                  <w:r w:rsidRPr="00ED18EB">
                    <w:t xml:space="preserve"> </w:t>
                  </w:r>
                  <w:r w:rsidRPr="00ED18EB">
                    <w:rPr>
                      <w:i/>
                    </w:rPr>
                    <w:t>Pro 12 – Introduction</w:t>
                  </w:r>
                  <w:r w:rsidRPr="00ED18EB">
                    <w:t xml:space="preserve"> (2019)</w:t>
                  </w:r>
                </w:p>
                <w:p w:rsidR="0024541F" w:rsidRPr="00ED18EB" w:rsidRDefault="0024541F" w:rsidP="005E54E7">
                  <w:pPr>
                    <w:shd w:val="clear" w:color="auto" w:fill="auto"/>
                  </w:pP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Programmas </w:t>
                  </w:r>
                  <w:r w:rsidRPr="00ED18EB">
                    <w:rPr>
                      <w:i/>
                    </w:rPr>
                    <w:t>Sound Forge</w:t>
                  </w:r>
                  <w:r w:rsidRPr="00ED18EB">
                    <w:t xml:space="preserve"> efekti un to pielietošana. Ieraksta montāža. 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Sagatavot materiālu (dziesma, dzejolis, mūzikas fragments) ieraksta kolāžas veidošanai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 xml:space="preserve">Nošu partitūru veidošana. Programma </w:t>
                  </w:r>
                  <w:r w:rsidRPr="00ED18EB">
                    <w:rPr>
                      <w:i/>
                      <w:lang w:eastAsia="lv-LV"/>
                    </w:rPr>
                    <w:t>Sibelius</w:t>
                  </w:r>
                  <w:r w:rsidRPr="00ED18EB">
                    <w:rPr>
                      <w:lang w:eastAsia="lv-LV"/>
                    </w:rPr>
                    <w:t xml:space="preserve">. Programmas darbības principi, nošu raksta iespējas, skaņdarba partitūras izveide, apzīmējumu, dažādu mūzikas izteiksmes līdzekļu ievietošana partitūrā. 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Veidot patstāvīgi partitūras dažādiem instrumentu sastāviem.</w:t>
                  </w:r>
                </w:p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Noskatīties video pamācību, piemēram, </w:t>
                  </w:r>
                  <w:r w:rsidRPr="00ED18EB">
                    <w:rPr>
                      <w:i/>
                    </w:rPr>
                    <w:t>Sibelius First v7 Notation Software</w:t>
                  </w:r>
                  <w:r w:rsidRPr="00ED18EB">
                    <w:t>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>Literārā teksta ievads partitūrā.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 xml:space="preserve">Sagatavot dziesmu darbam programmā </w:t>
                  </w:r>
                  <w:r w:rsidRPr="00ED18EB">
                    <w:rPr>
                      <w:i/>
                    </w:rPr>
                    <w:t>Sibelius</w:t>
                  </w:r>
                  <w:r w:rsidRPr="00ED18EB">
                    <w:t>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>Fonogrammu veidošana un ieraksts. Sintezators un tā funkcijas.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Patstāvīgi izpētīt virtuālo sintezatoru, tā iespējas.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rPr>
                      <w:lang w:eastAsia="lv-LV"/>
                    </w:rPr>
                    <w:t>Fonogrammas izveides iespējas uz sintezātora. Ieraksts reālajā laikā un ieraksts “soli pa solim”. Fonogrammas korekcijas un ieraksts.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Izvēlēties skaņdarbu fonogrammas veidošanai.</w:t>
                  </w:r>
                </w:p>
              </w:tc>
            </w:tr>
            <w:tr w:rsidR="0024541F" w:rsidRPr="00ED18EB" w:rsidTr="005E54E7">
              <w:tc>
                <w:tcPr>
                  <w:tcW w:w="3829" w:type="dxa"/>
                </w:tcPr>
                <w:p w:rsidR="0024541F" w:rsidRPr="00ED18EB" w:rsidRDefault="0024541F" w:rsidP="005E54E7">
                  <w:pPr>
                    <w:shd w:val="clear" w:color="auto" w:fill="auto"/>
                    <w:rPr>
                      <w:lang w:eastAsia="lv-LV"/>
                    </w:rPr>
                  </w:pPr>
                  <w:r w:rsidRPr="00ED18EB">
                    <w:rPr>
                      <w:lang w:eastAsia="lv-LV"/>
                    </w:rPr>
                    <w:t>Ieskaite ar atzīmi:</w:t>
                  </w:r>
                </w:p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veikt divus no uzdevumiem pēc izlozes: CD komplektācija, skaņu kolāžas ieraksts, nošu partitūras vai vienkāršas fonogrammas izveide – 50% no vērtējuma.</w:t>
                  </w:r>
                </w:p>
              </w:tc>
              <w:tc>
                <w:tcPr>
                  <w:tcW w:w="1244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621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</w:p>
              </w:tc>
              <w:tc>
                <w:tcPr>
                  <w:tcW w:w="3402" w:type="dxa"/>
                </w:tcPr>
                <w:p w:rsidR="0024541F" w:rsidRPr="00ED18EB" w:rsidRDefault="0024541F" w:rsidP="005E54E7">
                  <w:pPr>
                    <w:shd w:val="clear" w:color="auto" w:fill="auto"/>
                  </w:pPr>
                  <w:r w:rsidRPr="00ED18EB">
                    <w:t>Sagatavot nepieciešamos mūzikas materiālus ieskaitei.</w:t>
                  </w:r>
                </w:p>
              </w:tc>
            </w:tr>
          </w:tbl>
          <w:p w:rsidR="0024541F" w:rsidRPr="00ED18EB" w:rsidRDefault="0024541F" w:rsidP="005E54E7">
            <w:pPr>
              <w:shd w:val="clear" w:color="auto" w:fill="auto"/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Style2"/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Zināšanas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par datorprogrammām saistībā ar mūzikas valodu;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formulē ar mūzikas valodu saistītās galvenās informāciju tehnoloģiju sastāvdaļas un raksturo tās.</w:t>
            </w:r>
          </w:p>
          <w:p w:rsidR="0024541F" w:rsidRPr="00ED18EB" w:rsidRDefault="0024541F" w:rsidP="005E54E7">
            <w:pPr>
              <w:shd w:val="clear" w:color="auto" w:fill="auto"/>
              <w:rPr>
                <w:rStyle w:val="Style2Char"/>
              </w:rPr>
            </w:pPr>
          </w:p>
          <w:p w:rsidR="0024541F" w:rsidRPr="00ED18EB" w:rsidRDefault="0024541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Prasmes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prot ierakstīt skaņu ciparu tehnikā;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prot ierakstīt mūzikas failus un veidot mūzikas albūmus;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prot izveidot vienkāršu fonogrammu;</w:t>
            </w:r>
          </w:p>
          <w:p w:rsidR="0024541F" w:rsidRPr="00ED18EB" w:rsidRDefault="0024541F" w:rsidP="005E54E7">
            <w:pPr>
              <w:pStyle w:val="ListParagraph"/>
              <w:rPr>
                <w:rStyle w:val="Style2Char"/>
              </w:rPr>
            </w:pPr>
            <w:r w:rsidRPr="00ED18EB">
              <w:rPr>
                <w:lang w:eastAsia="lv-LV"/>
              </w:rPr>
              <w:t>prot izveidot nošu partitūru.</w:t>
            </w:r>
          </w:p>
          <w:p w:rsidR="0024541F" w:rsidRPr="00ED18EB" w:rsidRDefault="0024541F" w:rsidP="005E54E7">
            <w:pPr>
              <w:shd w:val="clear" w:color="auto" w:fill="auto"/>
              <w:rPr>
                <w:rStyle w:val="Style2Char"/>
              </w:rPr>
            </w:pPr>
          </w:p>
          <w:p w:rsidR="0024541F" w:rsidRPr="00ED18EB" w:rsidRDefault="0024541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analizē skaņas signāla kvalitātes un uzlabo tās;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veido mūzikas diktātus, mūzikas popūrijus un cita veida miksus mūzikā;</w:t>
            </w:r>
          </w:p>
          <w:p w:rsidR="0024541F" w:rsidRPr="00ED18EB" w:rsidRDefault="0024541F" w:rsidP="005E54E7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raksta nošu partitūru ar tastatūras un MIDI klaviatūras palīdzību.</w:t>
            </w:r>
          </w:p>
          <w:p w:rsidR="0024541F" w:rsidRPr="00ED18EB" w:rsidRDefault="0024541F" w:rsidP="005E54E7">
            <w:pPr>
              <w:shd w:val="clear" w:color="auto" w:fill="auto"/>
              <w:rPr>
                <w:lang w:eastAsia="lv-LV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4541F" w:rsidRPr="00ED18EB" w:rsidTr="005E54E7">
        <w:tc>
          <w:tcPr>
            <w:tcW w:w="9320" w:type="dxa"/>
            <w:shd w:val="clear" w:color="auto" w:fill="auto"/>
          </w:tcPr>
          <w:p w:rsidR="0024541F" w:rsidRPr="00ED18EB" w:rsidRDefault="0024541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lastRenderedPageBreak/>
              <w:t>Studējošo patstāvīgais darbs (Pd) 48 stundas tiek organizēts individuāli.</w:t>
            </w:r>
          </w:p>
          <w:p w:rsidR="0024541F" w:rsidRPr="00ED18EB" w:rsidRDefault="0024541F" w:rsidP="005E54E7">
            <w:pPr>
              <w:shd w:val="clear" w:color="auto" w:fill="auto"/>
            </w:pPr>
          </w:p>
          <w:p w:rsidR="0024541F" w:rsidRPr="00ED18EB" w:rsidRDefault="0024541F" w:rsidP="005E54E7">
            <w:pPr>
              <w:jc w:val="both"/>
            </w:pPr>
            <w:r w:rsidRPr="00ED18EB">
              <w:t xml:space="preserve">Patstāvīgajā darbā studējošais nostiprina praktiskajos darbos </w:t>
            </w:r>
            <w:r w:rsidRPr="00ED18EB">
              <w:rPr>
                <w:szCs w:val="22"/>
              </w:rPr>
              <w:t xml:space="preserve">gūtās zināšanas par skaņas un tās apstrādes galvenajiem jēdzieniem, izmantojot datortehnoloģijas; 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dažādu mūzikas failu specifiku, to transformēšanu; </w:t>
            </w:r>
            <w:r w:rsidRPr="00ED18EB">
              <w:rPr>
                <w:szCs w:val="22"/>
              </w:rPr>
              <w:t>pilnveido iemaņas skaņas ieraksta, nošu pieraksta un skaņas apstrādes tehnoloģijās, izmantojot datortehnoloģijas.</w:t>
            </w:r>
          </w:p>
          <w:p w:rsidR="0024541F" w:rsidRPr="00ED18EB" w:rsidRDefault="0024541F" w:rsidP="005E54E7">
            <w:pPr>
              <w:rPr>
                <w:rFonts w:eastAsia="Times New Roman"/>
                <w:lang w:eastAsia="lv-LV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24541F" w:rsidRPr="00ED18EB" w:rsidRDefault="0024541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 tā noslēgumā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>apstiprināts DU Senāta sēdē 17.12.2018., protokols Nr. 15).</w:t>
            </w:r>
          </w:p>
          <w:p w:rsidR="0024541F" w:rsidRPr="00ED18EB" w:rsidRDefault="0024541F" w:rsidP="005E54E7">
            <w:pPr>
              <w:pStyle w:val="Style2"/>
              <w:shd w:val="clear" w:color="auto" w:fill="auto"/>
            </w:pPr>
          </w:p>
          <w:p w:rsidR="0024541F" w:rsidRPr="00ED18EB" w:rsidRDefault="0024541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24541F" w:rsidRPr="00ED18EB" w:rsidRDefault="0024541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Studiju kursa gala vērtējumu veido:</w:t>
            </w:r>
          </w:p>
          <w:p w:rsidR="0024541F" w:rsidRPr="00ED18EB" w:rsidRDefault="0024541F" w:rsidP="005E54E7">
            <w:pPr>
              <w:pStyle w:val="ListParagraph"/>
            </w:pPr>
            <w:r w:rsidRPr="00ED18EB">
              <w:t>regulārs darbs praktiskajās nodarbībās – 50% no vērtējuma;</w:t>
            </w:r>
          </w:p>
          <w:p w:rsidR="0024541F" w:rsidRPr="00ED18EB" w:rsidRDefault="0024541F" w:rsidP="005E54E7">
            <w:pPr>
              <w:pStyle w:val="ListParagraph"/>
            </w:pPr>
            <w:r w:rsidRPr="00ED18EB">
              <w:t>veikt divus no uzdevumiem pēc izlozes: CD komplektācija, skaņu kolāžas ieraksts, nošu partitūras vai vienkāršas fonogrammas izveide – 50% no vērtējuma.</w:t>
            </w:r>
          </w:p>
          <w:p w:rsidR="0024541F" w:rsidRPr="00ED18EB" w:rsidRDefault="0024541F" w:rsidP="005E54E7">
            <w:pPr>
              <w:shd w:val="clear" w:color="auto" w:fill="auto"/>
              <w:ind w:left="57"/>
            </w:pPr>
          </w:p>
          <w:p w:rsidR="0024541F" w:rsidRPr="00ED18EB" w:rsidRDefault="0024541F" w:rsidP="005E54E7">
            <w:pPr>
              <w:pStyle w:val="Style2"/>
              <w:shd w:val="clear" w:color="auto" w:fill="auto"/>
            </w:pPr>
            <w:r w:rsidRPr="00ED18EB">
              <w:t>Vērtējuma kritēriji</w:t>
            </w:r>
          </w:p>
          <w:p w:rsidR="0024541F" w:rsidRPr="00ED18EB" w:rsidRDefault="0024541F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Vērtējuma galvenie kritēriji ir apgūto jautājumu izpratnes dziļums, zināšanu noturība, prasme sasniegt rezultātu.</w:t>
            </w:r>
          </w:p>
          <w:p w:rsidR="0024541F" w:rsidRPr="00ED18EB" w:rsidRDefault="0024541F" w:rsidP="005E54E7">
            <w:pPr>
              <w:shd w:val="clear" w:color="auto" w:fill="auto"/>
              <w:contextualSpacing/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Dators un mūzikas valoda.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MIDI.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Skaņas ieraksts CD formātā.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Skaņas ieraksts.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Skaņas apstrāde un restaurācija.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Nošu partitūru veidošana.</w:t>
            </w:r>
          </w:p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Fonogrammu veidošana un ieraksts.</w:t>
            </w:r>
          </w:p>
          <w:p w:rsidR="0024541F" w:rsidRPr="00ED18EB" w:rsidRDefault="0024541F" w:rsidP="005E54E7">
            <w:pPr>
              <w:shd w:val="clear" w:color="auto" w:fill="auto"/>
              <w:jc w:val="both"/>
              <w:rPr>
                <w:bCs w:val="0"/>
                <w:iCs w:val="0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Белунцов, В. (2000). Музыкальные возможности компьютера. Санкт–Петербург, Питер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Белунцов, В. (2003). Новейший самоучитель работы на компьютере для музыкантов, Москва, ДЕСС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hyperlink r:id="rId6" w:history="1">
              <w:r w:rsidRPr="00ED18EB">
                <w:rPr>
                  <w:rStyle w:val="Hyperlink"/>
                  <w:rFonts w:eastAsia="Times New Roman"/>
                  <w:szCs w:val="22"/>
                  <w:lang w:eastAsia="lv-LV"/>
                </w:rPr>
                <w:t>www.soundonsound.com/news?NewsID=10401</w:t>
              </w:r>
            </w:hyperlink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hyperlink r:id="rId7" w:history="1">
              <w:r w:rsidRPr="00ED18EB">
                <w:rPr>
                  <w:rStyle w:val="Hyperlink"/>
                  <w:rFonts w:eastAsia="Times New Roman"/>
                  <w:szCs w:val="22"/>
                  <w:lang w:eastAsia="lv-LV"/>
                </w:rPr>
                <w:t>www.sibelius.com/products/sibelius/index.html</w:t>
              </w:r>
            </w:hyperlink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Белунцов, В. (2005). Звук на компьютере. СанктПетербург, Питер.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Дубровский, Д. (2001). Компьютер для музыкантов любителей и профессионалов: Т. 1: Практическое пособие</w:t>
            </w:r>
          </w:p>
          <w:p w:rsidR="0024541F" w:rsidRPr="00ED18EB" w:rsidRDefault="0024541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hyperlink r:id="rId8" w:history="1">
              <w:r w:rsidRPr="00ED18EB">
                <w:rPr>
                  <w:rStyle w:val="Hyperlink"/>
                  <w:rFonts w:eastAsia="Times New Roman"/>
                  <w:szCs w:val="22"/>
                  <w:lang w:eastAsia="lv-LV"/>
                </w:rPr>
                <w:t>www.em.tgizd.ru/sod2006.shtml</w:t>
              </w:r>
            </w:hyperlink>
          </w:p>
          <w:p w:rsidR="0024541F" w:rsidRPr="00ED18EB" w:rsidRDefault="0024541F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hyperlink r:id="rId9" w:history="1">
              <w:r w:rsidRPr="00ED18EB">
                <w:rPr>
                  <w:rStyle w:val="Hyperlink"/>
                  <w:rFonts w:eastAsia="Times New Roman"/>
                  <w:szCs w:val="22"/>
                  <w:lang w:eastAsia="lv-LV"/>
                </w:rPr>
                <w:t>www.cakewalk.com/Products/SONAR/</w:t>
              </w:r>
            </w:hyperlink>
          </w:p>
          <w:p w:rsidR="0024541F" w:rsidRPr="00ED18EB" w:rsidRDefault="0024541F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Māksla Plus </w:t>
            </w:r>
          </w:p>
          <w:p w:rsidR="0024541F" w:rsidRPr="00ED18EB" w:rsidRDefault="0024541F" w:rsidP="005E54E7">
            <w:pPr>
              <w:shd w:val="clear" w:color="auto" w:fill="auto"/>
            </w:pPr>
          </w:p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Mūzikas akadēmijas raksti (JVLMA izdevums, no 2004)</w:t>
            </w:r>
          </w:p>
          <w:p w:rsidR="0024541F" w:rsidRPr="00ED18EB" w:rsidRDefault="0024541F" w:rsidP="005E54E7">
            <w:pPr>
              <w:shd w:val="clear" w:color="auto" w:fill="auto"/>
            </w:pPr>
            <w:r w:rsidRPr="00ED18EB">
              <w:rPr>
                <w:szCs w:val="22"/>
              </w:rPr>
              <w:t>Mūzikas zinātne šodien: pastāvīgais un mainīgais/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24541F" w:rsidRPr="00ED18EB" w:rsidRDefault="0024541F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24541F" w:rsidRPr="00ED18EB" w:rsidTr="005E54E7">
        <w:tc>
          <w:tcPr>
            <w:tcW w:w="9320" w:type="dxa"/>
          </w:tcPr>
          <w:p w:rsidR="0024541F" w:rsidRPr="00ED18EB" w:rsidRDefault="0024541F" w:rsidP="005E54E7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24541F" w:rsidRPr="00ED18EB" w:rsidTr="005E54E7">
        <w:tc>
          <w:tcPr>
            <w:tcW w:w="9320" w:type="dxa"/>
            <w:shd w:val="clear" w:color="auto" w:fill="FFFFFF" w:themeFill="background1"/>
          </w:tcPr>
          <w:p w:rsidR="0024541F" w:rsidRPr="00ED18EB" w:rsidRDefault="0024541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B2 daļa.</w:t>
            </w:r>
          </w:p>
          <w:p w:rsidR="0024541F" w:rsidRPr="00ED18EB" w:rsidRDefault="0024541F" w:rsidP="005E54E7">
            <w:pPr>
              <w:jc w:val="both"/>
            </w:pPr>
            <w:r w:rsidRPr="00ED18EB">
              <w:rPr>
                <w:szCs w:val="22"/>
              </w:rPr>
              <w:t>Kurss tiek docēts latviešu valodā.</w:t>
            </w:r>
          </w:p>
          <w:p w:rsidR="0024541F" w:rsidRPr="00ED18EB" w:rsidRDefault="0024541F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</w:p>
        </w:tc>
      </w:tr>
    </w:tbl>
    <w:p w:rsidR="0024541F" w:rsidRPr="00ED18EB" w:rsidRDefault="0024541F" w:rsidP="0024541F">
      <w:pPr>
        <w:shd w:val="clear" w:color="auto" w:fill="auto"/>
        <w:rPr>
          <w:szCs w:val="22"/>
        </w:rPr>
        <w:sectPr w:rsidR="0024541F" w:rsidRPr="00ED18EB" w:rsidSect="003F1DD7">
          <w:pgSz w:w="11906" w:h="16838" w:code="9"/>
          <w:pgMar w:top="1418" w:right="1418" w:bottom="1418" w:left="1701" w:header="720" w:footer="720" w:gutter="0"/>
          <w:cols w:space="720"/>
          <w:docGrid w:linePitch="360"/>
        </w:sectPr>
      </w:pPr>
    </w:p>
    <w:p w:rsidR="0024541F" w:rsidRPr="00ED18EB" w:rsidRDefault="0024541F" w:rsidP="0024541F">
      <w:pPr>
        <w:shd w:val="clear" w:color="auto" w:fill="auto"/>
        <w:rPr>
          <w:szCs w:val="22"/>
        </w:rPr>
      </w:pPr>
    </w:p>
    <w:p w:rsidR="0024541F" w:rsidRDefault="0024541F"/>
    <w:sectPr w:rsidR="0024541F" w:rsidSect="0024541F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1F"/>
    <w:rsid w:val="0024541F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41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4541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4541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4541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4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4541F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4541F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4541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4541F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4541F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4541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4541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4541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4541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41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41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4541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4541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4541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4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4541F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4541F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4541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4541F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4541F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4541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4541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4541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4541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41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.tgizd.ru/sod2006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ibelius.com/products/sibelius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undonsound.com/news?NewsID=10401" TargetMode="Externa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kewalk.com/Products/SONA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5142E034174B1D8F8D809624380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0F37F-2C05-43E2-99DD-B237E94C128D}"/>
      </w:docPartPr>
      <w:docPartBody>
        <w:p w:rsidR="00000000" w:rsidRDefault="00E864F0" w:rsidP="00E864F0">
          <w:pPr>
            <w:pStyle w:val="DC5142E034174B1D8F8D8096243800A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F0"/>
    <w:rsid w:val="00E864F0"/>
    <w:rsid w:val="00F5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64F0"/>
    <w:rPr>
      <w:color w:val="808080"/>
    </w:rPr>
  </w:style>
  <w:style w:type="paragraph" w:customStyle="1" w:styleId="DC5142E034174B1D8F8D8096243800AA">
    <w:name w:val="DC5142E034174B1D8F8D8096243800AA"/>
    <w:rsid w:val="00E864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64F0"/>
    <w:rPr>
      <w:color w:val="808080"/>
    </w:rPr>
  </w:style>
  <w:style w:type="paragraph" w:customStyle="1" w:styleId="DC5142E034174B1D8F8D8096243800AA">
    <w:name w:val="DC5142E034174B1D8F8D8096243800AA"/>
    <w:rsid w:val="00E864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4172</Words>
  <Characters>2379</Characters>
  <Application>Microsoft Office Word</Application>
  <DocSecurity>0</DocSecurity>
  <Lines>19</Lines>
  <Paragraphs>13</Paragraphs>
  <ScaleCrop>false</ScaleCrop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2023-07-13T08:26:00Z</dcterms:created>
  <dcterms:modified xsi:type="dcterms:W3CDTF">2023-07-13T08:26:00Z</dcterms:modified>
</cp:coreProperties>
</file>