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51" w:rsidRPr="00ED18EB" w:rsidRDefault="00202E51" w:rsidP="00202E51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02E51" w:rsidRPr="00ED18EB" w:rsidRDefault="00202E51" w:rsidP="00202E51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02E51" w:rsidRPr="00ED18EB" w:rsidRDefault="00202E51" w:rsidP="00202E51">
      <w:pPr>
        <w:shd w:val="clear" w:color="auto" w:fill="auto"/>
        <w:rPr>
          <w:szCs w:val="22"/>
        </w:rPr>
      </w:pPr>
    </w:p>
    <w:tbl>
      <w:tblPr>
        <w:tblStyle w:val="TableGrid"/>
        <w:tblpPr w:leftFromText="180" w:rightFromText="180" w:vertAnchor="text" w:horzAnchor="margin" w:tblpY="1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202E51" w:rsidRPr="00ED18EB" w:rsidTr="005E54E7">
        <w:trPr>
          <w:trHeight w:val="39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pStyle w:val="Style1"/>
              <w:framePr w:wrap="auto"/>
            </w:pPr>
            <w:bookmarkStart w:id="0" w:name="_Toc94194674"/>
            <w:bookmarkStart w:id="1" w:name="_Toc94237331"/>
            <w:bookmarkStart w:id="2" w:name="_Toc103773837"/>
            <w:bookmarkStart w:id="3" w:name="_Toc103779817"/>
            <w:proofErr w:type="spellStart"/>
            <w:r w:rsidRPr="00ED18EB">
              <w:t>Vokālais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ansamblis</w:t>
            </w:r>
            <w:proofErr w:type="spellEnd"/>
            <w:r w:rsidRPr="00ED18EB">
              <w:t xml:space="preserve"> I</w:t>
            </w:r>
            <w:bookmarkEnd w:id="0"/>
            <w:bookmarkEnd w:id="1"/>
            <w:bookmarkEnd w:id="2"/>
            <w:bookmarkEnd w:id="3"/>
          </w:p>
        </w:tc>
      </w:tr>
      <w:tr w:rsidR="00202E51" w:rsidRPr="00ED18EB" w:rsidTr="005E54E7">
        <w:trPr>
          <w:trHeight w:val="38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MākZ4452</w:t>
            </w:r>
          </w:p>
        </w:tc>
      </w:tr>
      <w:tr w:rsidR="00202E51" w:rsidRPr="00ED18EB" w:rsidTr="005E54E7">
        <w:trPr>
          <w:trHeight w:val="38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297347313"/>
            <w:placeholder>
              <w:docPart w:val="8CB2B106716647DCA1F78A52F767B4E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202E51" w:rsidRPr="00ED18EB" w:rsidRDefault="00202E51" w:rsidP="005E54E7">
                <w:pPr>
                  <w:shd w:val="clear" w:color="auto" w:fill="auto"/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202E51" w:rsidRPr="00ED18EB" w:rsidTr="005E54E7">
        <w:trPr>
          <w:trHeight w:val="38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4.</w:t>
            </w:r>
          </w:p>
        </w:tc>
      </w:tr>
      <w:tr w:rsidR="00202E51" w:rsidRPr="00ED18EB" w:rsidTr="005E54E7">
        <w:trPr>
          <w:trHeight w:val="38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2</w:t>
            </w:r>
          </w:p>
        </w:tc>
      </w:tr>
      <w:tr w:rsidR="00202E51" w:rsidRPr="00ED18EB" w:rsidTr="005E54E7">
        <w:trPr>
          <w:trHeight w:val="38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3</w:t>
            </w:r>
          </w:p>
        </w:tc>
      </w:tr>
      <w:tr w:rsidR="00202E51" w:rsidRPr="00ED18EB" w:rsidTr="005E54E7">
        <w:trPr>
          <w:trHeight w:val="382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32</w:t>
            </w:r>
          </w:p>
        </w:tc>
      </w:tr>
      <w:tr w:rsidR="00202E51" w:rsidRPr="00ED18EB" w:rsidTr="005E54E7">
        <w:trPr>
          <w:trHeight w:val="255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hSpace="0" w:wrap="auto" w:vAnchor="margin" w:hAnchor="text" w:yAlign="inline"/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202E51" w:rsidRPr="00ED18EB" w:rsidTr="005E54E7">
        <w:trPr>
          <w:trHeight w:val="255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hSpace="0" w:wrap="auto" w:vAnchor="margin" w:hAnchor="text" w:yAlign="inline"/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202E51" w:rsidRPr="00ED18EB" w:rsidTr="005E54E7">
        <w:trPr>
          <w:trHeight w:val="255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hSpace="0" w:wrap="auto" w:vAnchor="margin" w:hAnchor="text" w:yAlign="inline"/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32</w:t>
            </w:r>
          </w:p>
        </w:tc>
      </w:tr>
      <w:tr w:rsidR="00202E51" w:rsidRPr="00ED18EB" w:rsidTr="005E54E7">
        <w:trPr>
          <w:trHeight w:val="255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hSpace="0" w:wrap="auto" w:vAnchor="margin" w:hAnchor="text" w:yAlign="inline"/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202E51" w:rsidRPr="00ED18EB" w:rsidTr="005E54E7">
        <w:trPr>
          <w:trHeight w:val="255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hSpace="0" w:wrap="auto" w:vAnchor="margin" w:hAnchor="text" w:yAlign="inline"/>
            </w:pPr>
            <w:r w:rsidRPr="00ED18EB"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rPr>
                <w:lang w:eastAsia="lv-LV"/>
              </w:rPr>
              <w:t>48</w:t>
            </w:r>
          </w:p>
        </w:tc>
      </w:tr>
      <w:tr w:rsidR="00202E51" w:rsidRPr="00ED18EB" w:rsidTr="005E54E7">
        <w:trPr>
          <w:trHeight w:val="255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  <w:shd w:val="clear" w:color="auto" w:fill="FFFFFF" w:themeFill="background1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Apgūtas solo dziedāšanas prasmes mūzikas profesionālās bakalaura studiju programmas 6. semestra prasību līmenī.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MākZ3521 Akadēmiskā dziedāšana VI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</w:t>
            </w:r>
            <w:r w:rsidRPr="00ED18EB">
              <w:rPr>
                <w:i/>
              </w:rPr>
              <w:t xml:space="preserve"> </w:t>
            </w:r>
            <w:r w:rsidRPr="00ED18EB">
              <w:t>studentiem.</w:t>
            </w:r>
          </w:p>
          <w:p w:rsidR="00202E51" w:rsidRPr="00ED18EB" w:rsidRDefault="00202E51" w:rsidP="005E54E7">
            <w:pPr>
              <w:shd w:val="clear" w:color="auto" w:fill="auto"/>
              <w:rPr>
                <w:rStyle w:val="Style2Char"/>
              </w:rPr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rPr>
                <w:rStyle w:val="Style2Char"/>
              </w:rPr>
              <w:t>Kursa mērķis:</w:t>
            </w:r>
            <w:r w:rsidRPr="00ED18EB">
              <w:rPr>
                <w:rFonts w:eastAsia="Lucida Sans Unicode"/>
              </w:rPr>
              <w:t xml:space="preserve"> </w:t>
            </w:r>
            <w:r w:rsidRPr="00ED18EB">
              <w:t>veicināt daudzbalsīgas dziedāšanas iemaņu un muzicēšanas ansamblī praktisko iemaņu veidošanos.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pt-BR"/>
              </w:rPr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</w:t>
            </w:r>
            <w:r w:rsidRPr="00ED18EB">
              <w:rPr>
                <w:rFonts w:eastAsia="Times New Roman"/>
              </w:rPr>
              <w:t>daudzbalsīgas dziedāšanas īpatnību apgūšanu, studenta vokālās dzirdes attīstīšanu,</w:t>
            </w:r>
            <w:r w:rsidRPr="00ED18EB">
              <w:t xml:space="preserve"> ansambļa labskanības</w:t>
            </w:r>
            <w:r w:rsidRPr="00ED18EB">
              <w:rPr>
                <w:rFonts w:eastAsia="Times New Roman"/>
                <w:lang w:val="pt-BR"/>
              </w:rPr>
              <w:t xml:space="preserve"> attīstīšanas paņēmienu apzināšanu un skaņdarba mākslinieciskā izpildījuma veidošanu ansamblī.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pt-BR"/>
              </w:rPr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Kursa struktūra: praktiskie darbi (P) – 32 stundas;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48 stundas.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02E51" w:rsidRPr="00ED18EB" w:rsidTr="005E54E7">
              <w:tc>
                <w:tcPr>
                  <w:tcW w:w="9101" w:type="dxa"/>
                  <w:gridSpan w:val="4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VII semestris (32 stundas)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Dziedātāja balss pārbaude un ansambļa komplektēšana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 xml:space="preserve">Veidot savus iespējamos ansambļa variantus balstoties uz mēģinājumā </w:t>
                  </w:r>
                  <w:r w:rsidRPr="00ED18EB">
                    <w:lastRenderedPageBreak/>
                    <w:t>iegūtajiem balsu pārbaudes datiem.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lastRenderedPageBreak/>
                    <w:t xml:space="preserve">Vokālā ansambļa mēģinājuma struktūra. 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Analizēt ansambļa mēģinājumu struktūru. Idejiski veidot savu skaņdarba apgūšanas stratēģiju.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Ansambļa dziedātāju vokālo iemaņu attīstīšanas paņēmieni.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Individuāli pilnveidot vokālās iemaņas.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Darbs pa balss grupām, atsevišķi.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Apgūt savu balsi no galvas.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Homofoni harmonisku un polifonu kora skaņdarbu iestudēšanas paņēmieni.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Papildināt zināšanas par dažādu skaņdarbu apgūšanas paņēmienu būtību.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 xml:space="preserve">Sudņika, S. (1989). </w:t>
                  </w:r>
                  <w:r w:rsidRPr="00ED18EB">
                    <w:rPr>
                      <w:i/>
                    </w:rPr>
                    <w:t>Kordiriģenta darba pamati.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Skaņdarba mākslinieciskā izpildījuma veidošana.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Papildināt zināšanas par dažādu laikmetu skaņdarbu māksliniecisko izpildījumu.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Ansambļa sagatavošanās koncertam.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overflowPunct w:val="0"/>
                    <w:jc w:val="both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 xml:space="preserve">Iepazīt literatūru par skatuves </w:t>
                  </w:r>
                  <w:proofErr w:type="spellStart"/>
                  <w:r w:rsidRPr="00ED18EB">
                    <w:t>uzrtraukumu</w:t>
                  </w:r>
                  <w:proofErr w:type="spellEnd"/>
                  <w:r w:rsidRPr="00ED18EB">
                    <w:t>, tā pārvarēšanas iespējām.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overflowPunct w:val="0"/>
                    <w:jc w:val="both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 xml:space="preserve">Ieteicamā literatūra: 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proofErr w:type="spellStart"/>
                  <w:r w:rsidRPr="00ED18EB">
                    <w:t>Hallam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Susan</w:t>
                  </w:r>
                  <w:proofErr w:type="spellEnd"/>
                  <w:r w:rsidRPr="00ED18EB">
                    <w:t xml:space="preserve"> (2009) </w:t>
                  </w:r>
                  <w:proofErr w:type="spellStart"/>
                  <w:r w:rsidRPr="00ED18EB">
                    <w:rPr>
                      <w:i/>
                    </w:rPr>
                    <w:t>The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Oxford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handbook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of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music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psychology</w:t>
                  </w:r>
                  <w:proofErr w:type="spellEnd"/>
                  <w:r w:rsidRPr="00ED18EB">
                    <w:rPr>
                      <w:i/>
                    </w:rPr>
                    <w:t>.</w:t>
                  </w:r>
                  <w:r w:rsidRPr="00ED18EB">
                    <w:t xml:space="preserve"> 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Uzstāšanās un tās analīze.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Argumentēt uzstāšanās rezultātus.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Ieskaite ar atzīmi: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Sekmīgs darbs ansambļa mēģinājumos – 25% no vērtējuma;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 xml:space="preserve">– savas kora balss nodziedāšana </w:t>
                  </w:r>
                  <w:r w:rsidRPr="00ED18EB">
                    <w:rPr>
                      <w:i/>
                      <w:lang w:val="sv-SE"/>
                    </w:rPr>
                    <w:t xml:space="preserve">a cappella – </w:t>
                  </w:r>
                  <w:r w:rsidRPr="00ED18EB">
                    <w:rPr>
                      <w:lang w:val="sv-SE"/>
                    </w:rPr>
                    <w:t>25% no vērtējuma;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– uzstāšanās koncertos – 25% no vērtējuma;</w:t>
                  </w:r>
                </w:p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rPr>
                      <w:lang w:val="sv-SE"/>
                    </w:rPr>
                    <w:t>– ansambļa darba procesa analīze –25 % no vērtējuma.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202E51" w:rsidRPr="00ED18EB" w:rsidRDefault="00202E51" w:rsidP="00B0611C">
                  <w:pPr>
                    <w:framePr w:hSpace="180" w:wrap="around" w:vAnchor="text" w:hAnchor="margin" w:y="1"/>
                    <w:shd w:val="clear" w:color="auto" w:fill="auto"/>
                  </w:pPr>
                  <w:r w:rsidRPr="00ED18EB">
                    <w:t>Iekļauties ansambļa sastāvā, vokāli pilnvērtīgi nodziedāt savu balsi uzstājoties koncertā</w:t>
                  </w:r>
                </w:p>
              </w:tc>
            </w:tr>
          </w:tbl>
          <w:p w:rsidR="00202E51" w:rsidRPr="00ED18EB" w:rsidRDefault="00202E51" w:rsidP="005E54E7">
            <w:pPr>
              <w:pStyle w:val="Nosaukumi"/>
              <w:rPr>
                <w:lang w:val="lv-LV"/>
              </w:rPr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  <w:shd w:val="clear" w:color="auto" w:fill="auto"/>
          </w:tcPr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Zināšanas: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demonstrē zināšanas par ansambli, tā veidiem, raksturo ansambļa skaņojumu, tā sasniegšanas variantus;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raksturo dziedātāja balss uzbūvi, vokālās tehnikas pamatelementiem;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formulē galvenos vokālās partitūras analīzes aspektus.</w:t>
            </w:r>
          </w:p>
          <w:p w:rsidR="00202E51" w:rsidRPr="00ED18EB" w:rsidRDefault="00202E51" w:rsidP="005E54E7">
            <w:pPr>
              <w:pStyle w:val="Style2"/>
              <w:shd w:val="clear" w:color="auto" w:fill="auto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Prasmes: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dziedāt dažādu laikmetu un stilu ansambļa balsi;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iekļauties ansambļa skanējumā;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izstrādāt ansambļa mēģinājuma plānu, veikt tā korekcijas.</w:t>
            </w:r>
          </w:p>
          <w:p w:rsidR="00202E51" w:rsidRPr="00ED18EB" w:rsidRDefault="00202E51" w:rsidP="005E54E7">
            <w:pPr>
              <w:pStyle w:val="Style2"/>
              <w:shd w:val="clear" w:color="auto" w:fill="auto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Kompetence:</w:t>
            </w:r>
          </w:p>
          <w:p w:rsidR="00202E51" w:rsidRPr="00ED18EB" w:rsidRDefault="00202E51" w:rsidP="00202E51">
            <w:pPr>
              <w:pStyle w:val="ListParagraph"/>
              <w:rPr>
                <w:lang w:val="en-GB"/>
              </w:rPr>
            </w:pPr>
            <w:proofErr w:type="spellStart"/>
            <w:r w:rsidRPr="00ED18EB">
              <w:rPr>
                <w:lang w:val="en-GB"/>
              </w:rPr>
              <w:t>diagnosticē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dziedātāja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balss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diapazonu</w:t>
            </w:r>
            <w:proofErr w:type="spellEnd"/>
            <w:r w:rsidRPr="00ED18EB">
              <w:rPr>
                <w:lang w:val="en-GB"/>
              </w:rPr>
              <w:t>;</w:t>
            </w:r>
          </w:p>
          <w:p w:rsidR="00202E51" w:rsidRPr="00ED18EB" w:rsidRDefault="00202E51" w:rsidP="00202E51">
            <w:pPr>
              <w:pStyle w:val="ListParagraph"/>
              <w:rPr>
                <w:lang w:val="en-GB"/>
              </w:rPr>
            </w:pPr>
            <w:proofErr w:type="spellStart"/>
            <w:r w:rsidRPr="00ED18EB">
              <w:rPr>
                <w:lang w:val="en-GB"/>
              </w:rPr>
              <w:t>nosaka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dziedātāja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atbilstību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konkrētai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balss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grupai</w:t>
            </w:r>
            <w:proofErr w:type="spellEnd"/>
            <w:r w:rsidRPr="00ED18EB">
              <w:rPr>
                <w:lang w:val="en-GB"/>
              </w:rPr>
              <w:t>;</w:t>
            </w:r>
          </w:p>
          <w:p w:rsidR="00202E51" w:rsidRPr="00ED18EB" w:rsidRDefault="00202E51" w:rsidP="00202E51">
            <w:pPr>
              <w:pStyle w:val="ListParagraph"/>
              <w:rPr>
                <w:lang w:val="sv-SE"/>
              </w:rPr>
            </w:pPr>
            <w:r w:rsidRPr="00ED18EB">
              <w:rPr>
                <w:lang w:val="sv-SE"/>
              </w:rPr>
              <w:t>pamato ansambļa izvietojuma efektivitāti atkarībā no skaņdarba faktūras, izpildītāju sastāva utml.;</w:t>
            </w:r>
          </w:p>
          <w:p w:rsidR="00202E51" w:rsidRPr="00ED18EB" w:rsidRDefault="00202E51" w:rsidP="00202E51">
            <w:pPr>
              <w:pStyle w:val="ListParagraph"/>
              <w:rPr>
                <w:lang w:val="sv-SE"/>
              </w:rPr>
            </w:pPr>
            <w:r w:rsidRPr="00ED18EB">
              <w:rPr>
                <w:lang w:val="sv-SE"/>
              </w:rPr>
              <w:t>izveido iedziedāšanās kompleksu atbilstoši izvirzītajam mērķim (elpas balsta attīstība, dikcijas attīstība utml.).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02E51" w:rsidRPr="00ED18EB" w:rsidTr="005E54E7">
        <w:trPr>
          <w:trHeight w:val="281"/>
        </w:trPr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48 stundas tiek organizēts individuāli: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programmas skaņdarbu patstāvīga analīze un apguve;</w:t>
            </w:r>
          </w:p>
          <w:p w:rsidR="00202E51" w:rsidRPr="00ED18EB" w:rsidRDefault="00202E51" w:rsidP="00202E51">
            <w:pPr>
              <w:pStyle w:val="ListParagraph"/>
              <w:rPr>
                <w:bCs/>
                <w:iCs/>
              </w:rPr>
            </w:pPr>
            <w:r w:rsidRPr="00ED18EB">
              <w:t>tehniskās meistarības pilnveide;</w:t>
            </w:r>
          </w:p>
          <w:p w:rsidR="00202E51" w:rsidRPr="00ED18EB" w:rsidRDefault="00202E51" w:rsidP="00202E51">
            <w:pPr>
              <w:pStyle w:val="ListParagraph"/>
              <w:rPr>
                <w:bCs/>
                <w:iCs/>
              </w:rPr>
            </w:pPr>
            <w:r w:rsidRPr="00ED18EB">
              <w:t>iepazīšanās ar dažādām interpretācijām izmantojot video un audio materiālus, to salīdzināšana un izvērtēšana.</w:t>
            </w:r>
          </w:p>
          <w:p w:rsidR="00202E51" w:rsidRPr="00ED18EB" w:rsidRDefault="00202E51" w:rsidP="005E54E7">
            <w:pPr>
              <w:shd w:val="clear" w:color="auto" w:fill="auto"/>
              <w:ind w:left="57"/>
            </w:pPr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  <w:r w:rsidRPr="00ED18EB">
              <w:t xml:space="preserve">Studiju kursa apguves </w:t>
            </w:r>
            <w:r w:rsidRPr="00ED18EB">
              <w:rPr>
                <w:rStyle w:val="Style2Char"/>
              </w:rPr>
              <w:t>pārbaudes forma</w:t>
            </w:r>
            <w:r w:rsidRPr="00ED18EB">
              <w:rPr>
                <w:rFonts w:eastAsia="Times New Roman"/>
                <w:lang w:val="sv-SE"/>
              </w:rPr>
              <w:t>: ieskaite ar atzīmi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>apstiprināts DU Senāta sēdē 17.12.2018., protokols Nr. 15).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  <w:r w:rsidRPr="00ED18EB">
              <w:rPr>
                <w:rFonts w:eastAsia="Times New Roman"/>
                <w:lang w:val="sv-SE"/>
              </w:rPr>
              <w:t>Sekmīgs darbs ansambļa mēģinājumos; ansmbļa vadītāja funkciju izpilde; savas balss vienbalsīgs atskaņojums; uzstāšanās koncertos un to analīze.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Izmantojamās studiju formas – praktiskās nodarbības, dalība akadēmiskajā koncertā, dalība koncertā, diskusijas, pārrunas, ieskaite ar atzīmi. 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Kursu apgūst latviešu vai angļu valodā.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atskaņot no galvas programmas. 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Ieskaite ar atzīmi VII semestris: 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t xml:space="preserve">– </w:t>
            </w:r>
            <w:r w:rsidRPr="00ED18EB">
              <w:rPr>
                <w:lang w:val="sv-SE"/>
              </w:rPr>
              <w:t>sekmīgs darbs ansambļa mēģinājumos – 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 xml:space="preserve">– savas ansambļa balss nodziedāšana </w:t>
            </w:r>
            <w:r w:rsidRPr="00ED18EB">
              <w:rPr>
                <w:i/>
                <w:lang w:val="sv-SE"/>
              </w:rPr>
              <w:t xml:space="preserve">a cappella – </w:t>
            </w:r>
            <w:r w:rsidRPr="00ED18EB">
              <w:rPr>
                <w:lang w:val="sv-SE"/>
              </w:rPr>
              <w:t>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>– uzstāšanās koncertos – 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>– ansambļa darba procesa analīze –25%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contextualSpacing/>
            </w:pPr>
            <w:r w:rsidRPr="00ED18EB">
              <w:t>Vērtēšanas forma:</w:t>
            </w:r>
            <w:r w:rsidRPr="00ED18EB">
              <w:rPr>
                <w:b/>
              </w:rPr>
              <w:t xml:space="preserve"> </w:t>
            </w:r>
            <w:r w:rsidRPr="00ED18EB">
              <w:t>praktiska (programmas skaņdarbu atskaņošana), mutiska (diskusijas, pārrunas).</w:t>
            </w:r>
          </w:p>
          <w:p w:rsidR="00202E51" w:rsidRPr="00ED18EB" w:rsidRDefault="00202E51" w:rsidP="005E54E7">
            <w:pPr>
              <w:shd w:val="clear" w:color="auto" w:fill="auto"/>
              <w:contextualSpacing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202E51" w:rsidRPr="00ED18EB" w:rsidRDefault="00202E51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kolokvijā, ieskaitē un eksāmenā vērtē 10 ballu skalā.</w:t>
            </w:r>
          </w:p>
          <w:p w:rsidR="00202E51" w:rsidRPr="00ED18EB" w:rsidRDefault="00202E51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repertuāra atbilstība studiju kursa programmas prasībām;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uzstāšanās kultūra (uzvedība, stāja un artistiskums);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 xml:space="preserve">skaņdarba teksts; 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stils un žanrs;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atskaņojuma mākslinieciskais sniegums (saturs, tēls, forma, dinamika, frāzējums, oriģinalitāte u.c.).</w:t>
            </w:r>
          </w:p>
          <w:p w:rsidR="00202E51" w:rsidRPr="00ED18EB" w:rsidRDefault="00202E51" w:rsidP="005E54E7">
            <w:pPr>
              <w:shd w:val="clear" w:color="auto" w:fill="auto"/>
              <w:ind w:left="57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6 (gandrīz labi) – apgūtas studiju programmas prasības, taču atsevišķas nozīmīgas zināšanu un prasmju </w:t>
            </w:r>
            <w:r w:rsidRPr="00ED18EB">
              <w:lastRenderedPageBreak/>
              <w:t>jomas ir nepietiekami stabilas un pārliecinošas;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3 (vāji) – zināšanas, prasmes un iemaņas ir ļoti minimālas, nav spēju tās praktiski lietot;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1 (ļoti, ļoti vāji) – nav izpratnes par studiju kursa būtību un iemaņām tajā.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202E51" w:rsidRPr="00ED18EB" w:rsidTr="005E54E7">
        <w:tc>
          <w:tcPr>
            <w:tcW w:w="9320" w:type="dxa"/>
            <w:gridSpan w:val="2"/>
            <w:shd w:val="clear" w:color="auto" w:fill="FFFFFF" w:themeFill="background1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Ansambļa dziedātāju vokālo iemaņu attīstīšanas paņēmieni.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Skaņdarbu izvēle darbam ar ansambli.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Izvēlētā skaņdarba apguve.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Darbs pa balss grupām, atsevišķi.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Ansambļa darba mēģinājumu plāns.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Homofoni harmonisku un polifonu kora skaņdarbu iestudēšanas paņēmieni.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Vokālā darba analīze.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Skaņdarba mākslinieciskā izpildījuma veidošana.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Ansambļa sagatavošanās koncertam.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Uzstāšanās un tās analīze.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  <w:rPr>
                <w:lang w:val="de-DE"/>
              </w:rPr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gridSpan w:val="2"/>
            <w:shd w:val="clear" w:color="auto" w:fill="auto"/>
          </w:tcPr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de-DE"/>
              </w:rPr>
              <w:t xml:space="preserve">Allen, H. </w:t>
            </w:r>
            <w:r w:rsidRPr="00ED18EB">
              <w:rPr>
                <w:rFonts w:eastAsia="Times New Roman"/>
                <w:i/>
                <w:lang w:val="de-DE"/>
              </w:rPr>
              <w:t>Chorleiter und Ensembleleiter: Dienstbewertung, Vergätung, Rechtsstatus, Vertrag</w:t>
            </w:r>
            <w:r w:rsidRPr="00ED18EB">
              <w:rPr>
                <w:rFonts w:eastAsia="Times New Roman"/>
                <w:lang w:val="de-DE"/>
              </w:rPr>
              <w:t>. Verband Deutscher Konzert Chőre (VDKC)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sv-SE"/>
              </w:rPr>
              <w:t xml:space="preserve">Gailis, D. (1965). </w:t>
            </w:r>
            <w:r w:rsidRPr="00ED18EB">
              <w:rPr>
                <w:rFonts w:eastAsia="Times New Roman"/>
                <w:i/>
                <w:lang w:val="sv-SE"/>
              </w:rPr>
              <w:t>Kora dziedātāja rokasgrāmata</w:t>
            </w:r>
            <w:r w:rsidRPr="00ED18EB">
              <w:rPr>
                <w:rFonts w:eastAsia="Times New Roman"/>
                <w:lang w:val="sv-SE"/>
              </w:rPr>
              <w:t xml:space="preserve">. </w:t>
            </w:r>
            <w:r w:rsidRPr="00ED18EB">
              <w:rPr>
                <w:rFonts w:eastAsia="Times New Roman"/>
                <w:lang w:val="de-DE"/>
              </w:rPr>
              <w:t>Rīga: Liesma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Hallam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S. (2009). </w:t>
            </w:r>
            <w:proofErr w:type="spellStart"/>
            <w:r w:rsidRPr="00ED18EB">
              <w:rPr>
                <w:rFonts w:eastAsia="Times New Roman"/>
                <w:lang w:eastAsia="lv-LV"/>
              </w:rPr>
              <w:t>The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Oxford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handbook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of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music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psychology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lang w:eastAsia="lv-LV"/>
              </w:rPr>
              <w:t>Oxford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New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York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ED18EB">
              <w:rPr>
                <w:rFonts w:eastAsia="Times New Roman"/>
                <w:lang w:eastAsia="lv-LV"/>
              </w:rPr>
              <w:t>Oxford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University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Press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</w:rPr>
            </w:pPr>
            <w:r w:rsidRPr="00ED18EB">
              <w:rPr>
                <w:rFonts w:eastAsia="Times New Roman"/>
              </w:rPr>
              <w:t xml:space="preserve">Krūmiņš, A. (1987). </w:t>
            </w:r>
            <w:r w:rsidRPr="00ED18EB">
              <w:rPr>
                <w:rFonts w:eastAsia="Times New Roman"/>
                <w:i/>
              </w:rPr>
              <w:t>Kora dziedāšanas teorijas jautājumi.</w:t>
            </w:r>
            <w:r w:rsidRPr="00ED18EB">
              <w:rPr>
                <w:rFonts w:eastAsia="Times New Roman"/>
              </w:rPr>
              <w:t xml:space="preserve"> </w:t>
            </w:r>
            <w:r w:rsidRPr="00ED18EB">
              <w:rPr>
                <w:rFonts w:eastAsia="Times New Roman"/>
                <w:i/>
              </w:rPr>
              <w:t>1. daļa</w:t>
            </w:r>
            <w:r w:rsidRPr="00ED18EB">
              <w:rPr>
                <w:rFonts w:eastAsia="Times New Roman"/>
              </w:rPr>
              <w:t>. Rīga: Mācību iestāžu metodiskais kabinets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</w:rPr>
            </w:pPr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Bimberg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S., </w:t>
            </w:r>
            <w:proofErr w:type="spellStart"/>
            <w:r w:rsidRPr="00ED18EB">
              <w:rPr>
                <w:rFonts w:eastAsia="Times New Roman"/>
                <w:lang w:eastAsia="lv-LV"/>
              </w:rPr>
              <w:t>Friedrich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G., </w:t>
            </w:r>
            <w:proofErr w:type="spellStart"/>
            <w:r w:rsidRPr="00ED18EB">
              <w:rPr>
                <w:rFonts w:eastAsia="Times New Roman"/>
                <w:lang w:eastAsia="lv-LV"/>
              </w:rPr>
              <w:t>Frischmuth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G. (1981).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Handbuch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der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Chorleitung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lang w:eastAsia="lv-LV"/>
              </w:rPr>
              <w:t>Leipzig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VEB </w:t>
            </w:r>
            <w:proofErr w:type="spellStart"/>
            <w:r w:rsidRPr="00ED18EB">
              <w:rPr>
                <w:rFonts w:eastAsia="Times New Roman"/>
                <w:lang w:eastAsia="lv-LV"/>
              </w:rPr>
              <w:t>Deutscher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Verlag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für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Musik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Kondraschin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K. (1989).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Die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Kunst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des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Dirigierens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>.</w:t>
            </w:r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Münschen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ED18EB">
              <w:rPr>
                <w:rFonts w:eastAsia="Times New Roman"/>
                <w:lang w:eastAsia="lv-LV"/>
              </w:rPr>
              <w:t>Zürich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lang w:eastAsia="lv-LV"/>
              </w:rPr>
              <w:t>Piper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de-DE"/>
              </w:rPr>
              <w:t xml:space="preserve">Krūmiņš, A. (1988). </w:t>
            </w:r>
            <w:r w:rsidRPr="00ED18EB">
              <w:rPr>
                <w:rFonts w:eastAsia="Times New Roman"/>
                <w:i/>
                <w:lang w:val="de-DE"/>
              </w:rPr>
              <w:t>Kora dziedāšanas teorijas jautājumi I, II daļa</w:t>
            </w:r>
            <w:r w:rsidRPr="00ED18EB">
              <w:rPr>
                <w:rFonts w:eastAsia="Times New Roman"/>
                <w:lang w:val="de-DE"/>
              </w:rPr>
              <w:t>, Rīga: Mācību iestāžu metodiskais kabinets</w:t>
            </w:r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val="de-DE"/>
              </w:rPr>
            </w:pPr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Žurnāli:</w:t>
            </w: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/>
                <w:iCs w:val="0"/>
              </w:rPr>
            </w:pP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Education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Krājumi:</w:t>
            </w: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i/>
              </w:rPr>
              <w:t>Latvju mūzika.</w:t>
            </w:r>
            <w:r w:rsidRPr="00ED18EB">
              <w:t xml:space="preserve"> Periodisks rakstu krājums. 1970.–1991.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rPr>
                <w:i/>
              </w:rPr>
              <w:t>Mūzikas akadēmijas raksti</w:t>
            </w:r>
            <w:r w:rsidRPr="00ED18EB">
              <w:t xml:space="preserve"> (JVLMA izdevums, no 2004)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202E51" w:rsidRPr="00ED18EB" w:rsidRDefault="00202E51" w:rsidP="005E54E7">
            <w:pPr>
              <w:shd w:val="clear" w:color="auto" w:fill="auto"/>
            </w:pPr>
            <w:proofErr w:type="spellStart"/>
            <w:r w:rsidRPr="00ED18EB">
              <w:rPr>
                <w:i/>
              </w:rPr>
              <w:t>Problems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in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Pedagogy</w:t>
            </w:r>
            <w:proofErr w:type="spellEnd"/>
            <w:r w:rsidRPr="00ED18EB">
              <w:t xml:space="preserve"> (DU izdevums)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gridSpan w:val="2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lastRenderedPageBreak/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Kursu apgūst latviešu vai angļu valodā.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Koncertmeistara dalība individuālajās praktiskajās nodarbībās 50%.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</w:tc>
      </w:tr>
    </w:tbl>
    <w:p w:rsidR="00202E51" w:rsidRPr="00ED18EB" w:rsidRDefault="00202E51" w:rsidP="00202E51">
      <w:pPr>
        <w:shd w:val="clear" w:color="auto" w:fill="auto"/>
        <w:autoSpaceDE/>
        <w:autoSpaceDN/>
        <w:adjustRightInd/>
        <w:spacing w:after="160" w:line="259" w:lineRule="auto"/>
        <w:rPr>
          <w:szCs w:val="22"/>
        </w:rPr>
      </w:pPr>
      <w:r w:rsidRPr="00ED18EB">
        <w:rPr>
          <w:szCs w:val="22"/>
        </w:rPr>
        <w:br w:type="page"/>
      </w:r>
      <w:bookmarkStart w:id="4" w:name="_GoBack"/>
      <w:bookmarkEnd w:id="4"/>
    </w:p>
    <w:sectPr w:rsidR="00202E51" w:rsidRPr="00ED18EB" w:rsidSect="00202E51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35CAA"/>
    <w:multiLevelType w:val="hybridMultilevel"/>
    <w:tmpl w:val="4BB833E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51"/>
    <w:rsid w:val="00202E51"/>
    <w:rsid w:val="00476ACE"/>
    <w:rsid w:val="00B0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5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2E5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02E5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02E5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0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02E51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02E5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02E5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02E5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02E5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02E5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02E5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02E5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02E5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5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5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2E5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02E5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02E5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0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02E51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02E5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02E5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02E5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02E5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02E5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02E5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02E5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02E5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5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B2B106716647DCA1F78A52F767B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5385B-655C-4EAD-9E92-EA9DA144BCF1}"/>
      </w:docPartPr>
      <w:docPartBody>
        <w:p w:rsidR="003B0076" w:rsidRDefault="00C17470" w:rsidP="00C17470">
          <w:pPr>
            <w:pStyle w:val="8CB2B106716647DCA1F78A52F767B4E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70"/>
    <w:rsid w:val="00057C02"/>
    <w:rsid w:val="003B0076"/>
    <w:rsid w:val="00840A78"/>
    <w:rsid w:val="00C1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470"/>
    <w:rPr>
      <w:color w:val="808080"/>
    </w:rPr>
  </w:style>
  <w:style w:type="paragraph" w:customStyle="1" w:styleId="B170FA597E274E7699273C647502F14D">
    <w:name w:val="B170FA597E274E7699273C647502F14D"/>
    <w:rsid w:val="00C17470"/>
  </w:style>
  <w:style w:type="paragraph" w:customStyle="1" w:styleId="8CB2B106716647DCA1F78A52F767B4E4">
    <w:name w:val="8CB2B106716647DCA1F78A52F767B4E4"/>
    <w:rsid w:val="00C17470"/>
  </w:style>
  <w:style w:type="paragraph" w:customStyle="1" w:styleId="43F08952C88E48F5B7D276CE3D3B6B21">
    <w:name w:val="43F08952C88E48F5B7D276CE3D3B6B21"/>
    <w:rsid w:val="00C174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470"/>
    <w:rPr>
      <w:color w:val="808080"/>
    </w:rPr>
  </w:style>
  <w:style w:type="paragraph" w:customStyle="1" w:styleId="B170FA597E274E7699273C647502F14D">
    <w:name w:val="B170FA597E274E7699273C647502F14D"/>
    <w:rsid w:val="00C17470"/>
  </w:style>
  <w:style w:type="paragraph" w:customStyle="1" w:styleId="8CB2B106716647DCA1F78A52F767B4E4">
    <w:name w:val="8CB2B106716647DCA1F78A52F767B4E4"/>
    <w:rsid w:val="00C17470"/>
  </w:style>
  <w:style w:type="paragraph" w:customStyle="1" w:styleId="43F08952C88E48F5B7D276CE3D3B6B21">
    <w:name w:val="43F08952C88E48F5B7D276CE3D3B6B21"/>
    <w:rsid w:val="00C174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5571</Words>
  <Characters>3177</Characters>
  <Application>Microsoft Office Word</Application>
  <DocSecurity>0</DocSecurity>
  <Lines>26</Lines>
  <Paragraphs>17</Paragraphs>
  <ScaleCrop>false</ScaleCrop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2023-07-13T09:12:00Z</dcterms:created>
  <dcterms:modified xsi:type="dcterms:W3CDTF">2023-07-13T09:15:00Z</dcterms:modified>
</cp:coreProperties>
</file>