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5C0083" w:rsidRPr="00ED18EB" w:rsidRDefault="005C0083" w:rsidP="005C0083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5C0083" w:rsidRPr="00ED18EB" w:rsidRDefault="005C0083" w:rsidP="005C0083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5C0083" w:rsidRPr="00ED18EB" w:rsidRDefault="005C0083" w:rsidP="005C0083"/>
    <w:tbl>
      <w:tblPr>
        <w:tblW w:w="93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218"/>
        <w:gridCol w:w="5102"/>
      </w:tblGrid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0083" w:rsidRPr="00ED18EB" w:rsidRDefault="005C0083" w:rsidP="005E54E7">
            <w:pPr>
              <w:pStyle w:val="Style1"/>
              <w:framePr w:wrap="around"/>
              <w:rPr>
                <w:lang w:val="en-US"/>
              </w:rPr>
            </w:pPr>
            <w:bookmarkStart w:id="0" w:name="_Toc94194683"/>
            <w:bookmarkStart w:id="1" w:name="_Toc94237340"/>
            <w:bookmarkStart w:id="2" w:name="_Toc103773822"/>
            <w:bookmarkStart w:id="3" w:name="_Toc103779802"/>
            <w:proofErr w:type="spellStart"/>
            <w:r w:rsidRPr="00ED18EB">
              <w:t>Aktiermeistarība</w:t>
            </w:r>
            <w:proofErr w:type="spellEnd"/>
            <w:r w:rsidRPr="00ED18EB">
              <w:t xml:space="preserve">/ </w:t>
            </w:r>
            <w:proofErr w:type="spellStart"/>
            <w:r w:rsidRPr="00ED18EB">
              <w:t>Runas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skatuves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kultūra</w:t>
            </w:r>
            <w:bookmarkEnd w:id="0"/>
            <w:bookmarkEnd w:id="1"/>
            <w:bookmarkEnd w:id="2"/>
            <w:bookmarkEnd w:id="3"/>
            <w:proofErr w:type="spellEnd"/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0083" w:rsidRPr="00ED18EB" w:rsidRDefault="005C0083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MākZ4454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  <w:szCs w:val="22"/>
            </w:rPr>
            <w:id w:val="-2022778708"/>
            <w:placeholder>
              <w:docPart w:val="966F0CC3D0824F36AA39CE9603EE2DF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  <w:p w:rsidR="005C0083" w:rsidRPr="00ED18EB" w:rsidRDefault="005C0083" w:rsidP="005E54E7">
                <w:pPr>
                  <w:shd w:val="clear" w:color="auto" w:fill="auto"/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3.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val="en-GB"/>
              </w:rPr>
              <w:t>2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val="en-GB"/>
              </w:rPr>
              <w:t>3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val="en-GB"/>
              </w:rPr>
              <w:t>32</w:t>
            </w:r>
          </w:p>
        </w:tc>
        <w:bookmarkStart w:id="4" w:name="_GoBack"/>
        <w:bookmarkEnd w:id="4"/>
      </w:tr>
    </w:tbl>
    <w:tbl>
      <w:tblPr>
        <w:tblW w:w="93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218"/>
        <w:gridCol w:w="5102"/>
      </w:tblGrid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val="en-GB"/>
              </w:rPr>
              <w:t>24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val="en-GB"/>
              </w:rPr>
              <w:t xml:space="preserve">8 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val="en-GB" w:eastAsia="lv-LV"/>
              </w:rPr>
              <w:t>–</w:t>
            </w:r>
          </w:p>
        </w:tc>
      </w:tr>
      <w:tr w:rsidR="005C0083" w:rsidRPr="00ED18EB" w:rsidTr="005E54E7"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  <w:lang w:eastAsia="lv-LV"/>
              </w:rPr>
              <w:t>48</w:t>
            </w:r>
          </w:p>
        </w:tc>
      </w:tr>
    </w:tbl>
    <w:tbl>
      <w:tblPr>
        <w:tblW w:w="93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20"/>
      </w:tblGrid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rPr>
                <w:lang w:val="en-US" w:eastAsia="ru-RU"/>
              </w:rPr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  <w:rPr>
                <w:lang w:val="en-US"/>
              </w:rPr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  <w:lang w:eastAsia="ru-RU"/>
              </w:rPr>
              <w:t>Mg.art</w:t>
            </w:r>
            <w:proofErr w:type="spellEnd"/>
            <w:r w:rsidRPr="00ED18EB">
              <w:rPr>
                <w:szCs w:val="22"/>
                <w:lang w:eastAsia="ru-RU"/>
              </w:rPr>
              <w:t xml:space="preserve">., </w:t>
            </w:r>
            <w:proofErr w:type="spellStart"/>
            <w:r w:rsidRPr="00ED18EB">
              <w:rPr>
                <w:szCs w:val="22"/>
                <w:lang w:eastAsia="ru-RU"/>
              </w:rPr>
              <w:t>viesasistente</w:t>
            </w:r>
            <w:proofErr w:type="spellEnd"/>
            <w:r w:rsidRPr="00ED18EB">
              <w:rPr>
                <w:szCs w:val="22"/>
                <w:lang w:eastAsia="ru-RU"/>
              </w:rPr>
              <w:t xml:space="preserve"> Natālija </w:t>
            </w:r>
            <w:proofErr w:type="spellStart"/>
            <w:r w:rsidRPr="00ED18EB">
              <w:rPr>
                <w:szCs w:val="22"/>
                <w:lang w:eastAsia="ru-RU"/>
              </w:rPr>
              <w:t>Kotona</w:t>
            </w:r>
            <w:proofErr w:type="spellEnd"/>
          </w:p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docents Gļebs </w:t>
            </w:r>
            <w:proofErr w:type="spellStart"/>
            <w:r w:rsidRPr="00ED18EB">
              <w:rPr>
                <w:szCs w:val="22"/>
              </w:rPr>
              <w:t>Beļajevs</w:t>
            </w:r>
            <w:proofErr w:type="spellEnd"/>
          </w:p>
          <w:p w:rsidR="005C0083" w:rsidRPr="00ED18EB" w:rsidRDefault="005C0083" w:rsidP="005E54E7">
            <w:pPr>
              <w:shd w:val="clear" w:color="auto" w:fill="auto"/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rPr>
                <w:lang w:eastAsia="ru-RU"/>
              </w:rPr>
            </w:pPr>
            <w:proofErr w:type="spellStart"/>
            <w:r w:rsidRPr="00ED18EB">
              <w:rPr>
                <w:szCs w:val="22"/>
                <w:lang w:eastAsia="ru-RU"/>
              </w:rPr>
              <w:t>Mg.art</w:t>
            </w:r>
            <w:proofErr w:type="spellEnd"/>
            <w:r w:rsidRPr="00ED18EB">
              <w:rPr>
                <w:szCs w:val="22"/>
                <w:lang w:eastAsia="ru-RU"/>
              </w:rPr>
              <w:t xml:space="preserve">., </w:t>
            </w:r>
            <w:proofErr w:type="spellStart"/>
            <w:r w:rsidRPr="00ED18EB">
              <w:rPr>
                <w:szCs w:val="22"/>
                <w:lang w:eastAsia="ru-RU"/>
              </w:rPr>
              <w:t>viesasistente</w:t>
            </w:r>
            <w:proofErr w:type="spellEnd"/>
            <w:r w:rsidRPr="00ED18EB">
              <w:rPr>
                <w:szCs w:val="22"/>
                <w:lang w:eastAsia="ru-RU"/>
              </w:rPr>
              <w:t xml:space="preserve"> Natālija </w:t>
            </w:r>
            <w:proofErr w:type="spellStart"/>
            <w:r w:rsidRPr="00ED18EB">
              <w:rPr>
                <w:szCs w:val="22"/>
                <w:lang w:eastAsia="ru-RU"/>
              </w:rPr>
              <w:t>Kotona</w:t>
            </w:r>
            <w:proofErr w:type="spellEnd"/>
          </w:p>
          <w:p w:rsidR="005C0083" w:rsidRPr="00ED18EB" w:rsidRDefault="005C0083" w:rsidP="005E54E7">
            <w:pPr>
              <w:shd w:val="clear" w:color="auto" w:fill="auto"/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Nav nepieciešamas.</w:t>
            </w:r>
          </w:p>
          <w:p w:rsidR="005C0083" w:rsidRPr="00ED18EB" w:rsidRDefault="005C0083" w:rsidP="005E54E7">
            <w:pPr>
              <w:shd w:val="clear" w:color="auto" w:fill="auto"/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augstākās izglītības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 xml:space="preserve">studentiem. </w:t>
            </w:r>
          </w:p>
          <w:p w:rsidR="005C0083" w:rsidRPr="00ED18EB" w:rsidRDefault="005C0083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: 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iepazīstināt studentus ar pareizu, literārai latviešu valodai atbilstošu skaņu veidošanu, iemācīt ķermeņa atbrīvošanas paņēmienus, pilnās elpošanas tehniku un pilnskanīgu toņa veidošanu un </w:t>
            </w:r>
            <w:r w:rsidRPr="00ED18EB">
              <w:rPr>
                <w:szCs w:val="22"/>
              </w:rPr>
              <w:t>padziļināt izpratni par aktiermeistarību, kā vienu no skatuves tēla veidošanas pamatiem, un attīstīt kompetenci aktiermeistarības elementu izmantošanai sava mūziķa skatuves tēla veidošanā.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lekcijas (L) – 24 stundas, semināri (S) – 8 stundas, studentu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– 48 stundas.</w:t>
            </w:r>
          </w:p>
          <w:p w:rsidR="005C0083" w:rsidRPr="00ED18EB" w:rsidRDefault="005C0083" w:rsidP="005E54E7">
            <w:pPr>
              <w:shd w:val="clear" w:color="auto" w:fill="auto"/>
            </w:pPr>
          </w:p>
          <w:p w:rsidR="005C0083" w:rsidRPr="00ED18EB" w:rsidRDefault="005C0083" w:rsidP="005E54E7">
            <w:pPr>
              <w:shd w:val="clear" w:color="auto" w:fill="auto"/>
              <w:rPr>
                <w:b/>
              </w:rPr>
            </w:pPr>
            <w:r w:rsidRPr="00ED18EB">
              <w:rPr>
                <w:b/>
                <w:szCs w:val="22"/>
              </w:rPr>
              <w:t>V semestris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1. Valoda un runa. Vārds – domāšanas līdzeklis.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Patstāvīgais darbs: </w:t>
            </w:r>
          </w:p>
          <w:p w:rsidR="005C0083" w:rsidRPr="00ED18EB" w:rsidRDefault="005C0083" w:rsidP="005E54E7">
            <w:pPr>
              <w:shd w:val="clear" w:color="auto" w:fill="auto"/>
              <w:ind w:left="357" w:hanging="357"/>
            </w:pPr>
            <w:r w:rsidRPr="00ED18EB">
              <w:t>– literatūras studēšana un analīze, metodisko palīglīdzekļu iepazīšana. Pd4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2. Runas kultūra laikā un telpā, valodas ritms. L4, S2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Patstāvīgais darbs: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lastRenderedPageBreak/>
              <w:t>– literatūras studēšana un analīze, metodisko palīglīdzekļu iepazīšana; Pd2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praktisko uzdevumu sagatavošana. Pd5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3. Publiskās runas normas, autora teksta apguve.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Patstāvīgais darbs: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literatūras studēšana un analīze, metodisko palīglīdzekļu iepazīšana; Pd2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koncertprogrammas pieteikšanas sagatavošana. Pd4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4. Aktiera skatuviskā uzmanība.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Patstāvīgais darbs: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praktisko uzdevumu sagatavošana; Pd10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literatūras studēšana un analīze, metodisko palīglīdzekļu iepazīšana Pd2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5. Skatuviskā atbrīvotība.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Patstāvīgais darbs: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 xml:space="preserve">– literatūras studēšana un analīze, metodisko palīglīdzekļu iepazīšana; Pd2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praktisko uzdevumu sagatavošana. Pd5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6. Vokālista darbs pie lomas skatuves tēla veidošanā. L4, S2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Patstāvīgais darbs: 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literatūras studēšana un analīze, metodisko palīglīdzekļu iepazīšana; Pd2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t>– praktisko uzdevumu sagatavošana (operas āriju atskaņošana un analīze aktiermeistarības kontekstā). Pd10</w:t>
            </w:r>
          </w:p>
          <w:p w:rsidR="005C0083" w:rsidRPr="00ED18EB" w:rsidRDefault="005C0083" w:rsidP="005E54E7">
            <w:pPr>
              <w:shd w:val="clear" w:color="auto" w:fill="auto"/>
            </w:pPr>
          </w:p>
        </w:tc>
      </w:tr>
      <w:tr w:rsidR="005C0083" w:rsidRPr="00ED18EB" w:rsidTr="005E54E7">
        <w:trPr>
          <w:trHeight w:val="58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5C0083" w:rsidRPr="00ED18EB" w:rsidTr="005E54E7">
        <w:trPr>
          <w:trHeight w:val="1771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Style2"/>
              <w:shd w:val="clear" w:color="auto" w:fill="auto"/>
            </w:pPr>
            <w:r w:rsidRPr="00ED18EB">
              <w:t>Zināšanas: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par runas kultūras teorētiskām un praktiskām nostādnēm;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pārzina aktiermeistarības terminoloģiju;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demonstrē izpratni par aktiermeistarības kā būtiskāko skatuvisko izteiksmes līdzekli.</w:t>
            </w:r>
          </w:p>
          <w:p w:rsidR="005C0083" w:rsidRPr="00ED18EB" w:rsidRDefault="005C0083" w:rsidP="005E54E7">
            <w:pPr>
              <w:pStyle w:val="Style2"/>
              <w:shd w:val="clear" w:color="auto" w:fill="auto"/>
            </w:pPr>
          </w:p>
          <w:p w:rsidR="005C0083" w:rsidRPr="00ED18EB" w:rsidRDefault="005C0083" w:rsidP="005E54E7">
            <w:pPr>
              <w:pStyle w:val="Style2"/>
              <w:shd w:val="clear" w:color="auto" w:fill="auto"/>
            </w:pPr>
            <w:r w:rsidRPr="00ED18EB">
              <w:t>Prasmes: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prasme pārvaldīt runas tehniku;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prasme realizēt aktiermeistarības tehnikas pamatus dažādu stilu un žanru iestudējumos;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prasme izvēlēties attiecīgos aktiermeistarības izteiksmes līdzekļus koncertuzveduma kontekstā.</w:t>
            </w:r>
          </w:p>
          <w:p w:rsidR="005C0083" w:rsidRPr="00ED18EB" w:rsidRDefault="005C0083" w:rsidP="005E54E7">
            <w:pPr>
              <w:pStyle w:val="Style2"/>
              <w:shd w:val="clear" w:color="auto" w:fill="auto"/>
            </w:pPr>
          </w:p>
          <w:p w:rsidR="005C0083" w:rsidRPr="00ED18EB" w:rsidRDefault="005C0083" w:rsidP="005E54E7">
            <w:pPr>
              <w:pStyle w:val="Style2"/>
              <w:shd w:val="clear" w:color="auto" w:fill="auto"/>
            </w:pPr>
            <w:r w:rsidRPr="00ED18EB">
              <w:t>Kompetence: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>– prot analizēt un vērtēt runas izpildījumu;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  <w:r w:rsidRPr="00ED18EB">
              <w:rPr>
                <w:szCs w:val="22"/>
              </w:rPr>
              <w:t xml:space="preserve">– prot sasaistīt aktiermeistarības mācību ar citiem mūzikas kursiem un specialitāti, arī </w:t>
            </w:r>
            <w:proofErr w:type="spellStart"/>
            <w:r w:rsidRPr="00ED18EB">
              <w:rPr>
                <w:szCs w:val="22"/>
              </w:rPr>
              <w:t>koncertprakses</w:t>
            </w:r>
            <w:proofErr w:type="spellEnd"/>
            <w:r w:rsidRPr="00ED18EB">
              <w:rPr>
                <w:szCs w:val="22"/>
              </w:rPr>
              <w:t xml:space="preserve"> kontekstā;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– prot paust savu attieksmi, izvērtējot savu un citu studentu aktiermeistarības prasmes.</w:t>
            </w:r>
          </w:p>
          <w:p w:rsidR="005C0083" w:rsidRPr="00ED18EB" w:rsidRDefault="005C0083" w:rsidP="005E54E7">
            <w:pPr>
              <w:shd w:val="clear" w:color="auto" w:fill="auto"/>
              <w:rPr>
                <w:bCs w:val="0"/>
              </w:rPr>
            </w:pPr>
          </w:p>
        </w:tc>
      </w:tr>
      <w:tr w:rsidR="005C0083" w:rsidRPr="00ED18EB" w:rsidTr="005E54E7">
        <w:trPr>
          <w:trHeight w:val="58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5C0083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Studentu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48 stundas tiek organizēts individuāli.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Patstāvīgie uzdevumi: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– praktisko uzdevumu sagatavošana; Pd30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– norādītās literatūras studēšana un analīze, metodisko palīglīdzekļu iepazīšana; Pd14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– koncertprogrammas pieteikšanas sagatavošana. Pd4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Pārbaudes forma</w:t>
            </w:r>
            <w:r w:rsidRPr="00ED18EB">
              <w:rPr>
                <w:szCs w:val="22"/>
              </w:rPr>
              <w:t xml:space="preserve"> – ieskaite ar atzīmi.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</w:p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ED18EB">
              <w:rPr>
                <w:szCs w:val="22"/>
              </w:rPr>
              <w:t>(</w:t>
            </w:r>
            <w:proofErr w:type="gramEnd"/>
            <w:r w:rsidRPr="00ED18EB">
              <w:rPr>
                <w:szCs w:val="22"/>
              </w:rPr>
              <w:t>apstiprināts DU Senāta sēdē 17.12.2018., protokols Nr. 15).</w:t>
            </w:r>
          </w:p>
          <w:p w:rsidR="005C0083" w:rsidRPr="00ED18EB" w:rsidRDefault="005C0083" w:rsidP="005E54E7">
            <w:pPr>
              <w:pStyle w:val="Style2"/>
              <w:shd w:val="clear" w:color="auto" w:fill="auto"/>
            </w:pPr>
          </w:p>
          <w:p w:rsidR="005C0083" w:rsidRPr="00ED18EB" w:rsidRDefault="005C0083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lastRenderedPageBreak/>
              <w:t>Studentu zināšanas, prasmes un kompetences tiek vērtētas vairākas reizes semestrī, proti, semināra stundās un semestra noslēguma pārbaudījumā – ieskaite ar atzīmi. Kopvērtējumu sastāda: semināru vērtējums – 50%, ieskaite ar atzīmi – 50%.</w:t>
            </w:r>
          </w:p>
          <w:p w:rsidR="005C0083" w:rsidRPr="00ED18EB" w:rsidRDefault="005C0083" w:rsidP="005E54E7">
            <w:pPr>
              <w:pStyle w:val="BodyText"/>
              <w:shd w:val="clear" w:color="auto" w:fill="auto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C0083" w:rsidRPr="00ED18EB" w:rsidRDefault="005C0083" w:rsidP="005E54E7">
            <w:pPr>
              <w:pStyle w:val="BodyText"/>
              <w:shd w:val="clear" w:color="auto" w:fill="auto"/>
              <w:spacing w:after="0"/>
              <w:jc w:val="both"/>
              <w:rPr>
                <w:rFonts w:ascii="Times New Roman" w:hAnsi="Times New Roman" w:cs="Times New Roman"/>
              </w:rPr>
            </w:pPr>
            <w:r w:rsidRPr="00ED18EB">
              <w:rPr>
                <w:rFonts w:ascii="Times New Roman" w:hAnsi="Times New Roman" w:cs="Times New Roman"/>
              </w:rPr>
              <w:t>Semināru tēmas: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Valoda un runa. Vārds – domāšanas līdzeklis.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Runas kultūra laikā un telpā.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Valodas ritms.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Publiskās runas normas, autora teksta apguve.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Aktiera skatuviskā uzmanība.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Skatuviskā atbrīvotība.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Vokālista darbs pie lomas skatuves tēla veidošanā.</w:t>
            </w:r>
          </w:p>
          <w:p w:rsidR="005C0083" w:rsidRPr="00ED18EB" w:rsidRDefault="005C0083" w:rsidP="005E54E7">
            <w:pPr>
              <w:pStyle w:val="BodyText"/>
              <w:shd w:val="clear" w:color="auto" w:fill="auto"/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5C0083" w:rsidRPr="00ED18EB" w:rsidRDefault="005C0083" w:rsidP="005E54E7">
            <w:pPr>
              <w:pStyle w:val="Style2"/>
              <w:shd w:val="clear" w:color="auto" w:fill="auto"/>
            </w:pPr>
            <w:r w:rsidRPr="00ED18EB">
              <w:t>Vērtēšanas kritēriji</w:t>
            </w:r>
          </w:p>
          <w:p w:rsidR="005C0083" w:rsidRPr="00ED18EB" w:rsidRDefault="005C0083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5C0083" w:rsidRPr="00ED18EB" w:rsidRDefault="005C0083" w:rsidP="005E54E7">
            <w:pPr>
              <w:shd w:val="clear" w:color="auto" w:fill="auto"/>
              <w:contextualSpacing/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Valoda un runa. Vārds – domāšanas līdzeklis.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Runas kultūra laikā un telpā, valodas ritms. L4, S2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Publiskās runas normas, autora teksta apguve.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Aktiera skatuviskā uzmanība.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Skatuviskā atbrīvotība. L4, S1</w:t>
            </w:r>
          </w:p>
          <w:p w:rsidR="005C0083" w:rsidRPr="00ED18EB" w:rsidRDefault="005C0083" w:rsidP="005E54E7">
            <w:pPr>
              <w:shd w:val="clear" w:color="auto" w:fill="auto"/>
            </w:pPr>
            <w:r w:rsidRPr="00ED18EB">
              <w:rPr>
                <w:szCs w:val="22"/>
              </w:rPr>
              <w:t>Vokālista darbs pie lomas skatuves tēla veidošanā. L4, S2</w:t>
            </w:r>
          </w:p>
          <w:p w:rsidR="005C0083" w:rsidRPr="00ED18EB" w:rsidRDefault="005C0083" w:rsidP="005E54E7">
            <w:pPr>
              <w:shd w:val="clear" w:color="auto" w:fill="auto"/>
            </w:pPr>
          </w:p>
        </w:tc>
      </w:tr>
      <w:tr w:rsidR="005C0083" w:rsidRPr="00ED18EB" w:rsidTr="005E54E7">
        <w:trPr>
          <w:trHeight w:val="58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5C0083" w:rsidRPr="00ED18EB" w:rsidTr="005E54E7">
        <w:trPr>
          <w:trHeight w:val="1118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Mendziņa</w:t>
            </w:r>
            <w:proofErr w:type="spellEnd"/>
            <w:r w:rsidRPr="00ED18EB">
              <w:rPr>
                <w:szCs w:val="22"/>
              </w:rPr>
              <w:t xml:space="preserve">, D. (2004). </w:t>
            </w:r>
            <w:r w:rsidRPr="00ED18EB">
              <w:rPr>
                <w:i/>
                <w:szCs w:val="22"/>
              </w:rPr>
              <w:t>Vārds, Doma, Runa.</w:t>
            </w:r>
            <w:r w:rsidRPr="00ED18EB">
              <w:rPr>
                <w:szCs w:val="22"/>
              </w:rPr>
              <w:t xml:space="preserve"> Rīga: Sol Vita</w:t>
            </w:r>
          </w:p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Apele</w:t>
            </w:r>
            <w:proofErr w:type="spellEnd"/>
            <w:r w:rsidRPr="00ED18EB">
              <w:rPr>
                <w:szCs w:val="22"/>
              </w:rPr>
              <w:t xml:space="preserve">, Antonija (2011). </w:t>
            </w:r>
            <w:r w:rsidRPr="00ED18EB">
              <w:rPr>
                <w:i/>
                <w:szCs w:val="22"/>
              </w:rPr>
              <w:t>Prasme runāt publiski.</w:t>
            </w:r>
            <w:r w:rsidRPr="00ED18EB">
              <w:rPr>
                <w:szCs w:val="22"/>
              </w:rPr>
              <w:t xml:space="preserve"> Rīga: Zvaigzne ABC</w:t>
            </w:r>
          </w:p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Spārka</w:t>
            </w:r>
            <w:proofErr w:type="spellEnd"/>
            <w:r w:rsidRPr="00ED18EB">
              <w:rPr>
                <w:szCs w:val="22"/>
              </w:rPr>
              <w:t xml:space="preserve">, V. (1999). </w:t>
            </w:r>
            <w:r w:rsidRPr="00ED18EB">
              <w:rPr>
                <w:i/>
                <w:szCs w:val="22"/>
              </w:rPr>
              <w:t>Teātra spēles – improvizācija</w:t>
            </w:r>
            <w:r w:rsidRPr="00ED18EB">
              <w:rPr>
                <w:szCs w:val="22"/>
              </w:rPr>
              <w:t>. Rīga: Preses nams</w:t>
            </w:r>
          </w:p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Geikina</w:t>
            </w:r>
            <w:proofErr w:type="spellEnd"/>
            <w:r w:rsidRPr="00ED18EB">
              <w:rPr>
                <w:szCs w:val="22"/>
              </w:rPr>
              <w:t xml:space="preserve">, S. (2003). </w:t>
            </w:r>
            <w:r w:rsidRPr="00ED18EB">
              <w:rPr>
                <w:i/>
                <w:szCs w:val="22"/>
              </w:rPr>
              <w:t>Retorikas pamati</w:t>
            </w:r>
            <w:r w:rsidRPr="00ED18EB">
              <w:rPr>
                <w:szCs w:val="22"/>
              </w:rPr>
              <w:t>. Rīga: Raka</w:t>
            </w:r>
          </w:p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Keigels</w:t>
            </w:r>
            <w:proofErr w:type="spellEnd"/>
            <w:r w:rsidRPr="00ED18EB">
              <w:rPr>
                <w:szCs w:val="22"/>
              </w:rPr>
              <w:t xml:space="preserve">, T. (2005). </w:t>
            </w:r>
            <w:r w:rsidRPr="00ED18EB">
              <w:rPr>
                <w:i/>
                <w:szCs w:val="22"/>
              </w:rPr>
              <w:t>Uzstāšanās māksla</w:t>
            </w:r>
            <w:r w:rsidRPr="00ED18EB">
              <w:rPr>
                <w:szCs w:val="22"/>
              </w:rPr>
              <w:t>. Rīga: Arka, apgāds Atēna</w:t>
            </w:r>
          </w:p>
          <w:p w:rsidR="005C0083" w:rsidRPr="00ED18EB" w:rsidRDefault="005C0083" w:rsidP="005E54E7">
            <w:pPr>
              <w:shd w:val="clear" w:color="auto" w:fill="auto"/>
            </w:pPr>
          </w:p>
        </w:tc>
      </w:tr>
      <w:tr w:rsidR="005C0083" w:rsidRPr="00ED18EB" w:rsidTr="005E54E7">
        <w:trPr>
          <w:trHeight w:val="58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5C0083" w:rsidRPr="00ED18EB" w:rsidTr="005E54E7">
        <w:trPr>
          <w:trHeight w:val="511"/>
        </w:trPr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Glāsa</w:t>
            </w:r>
            <w:proofErr w:type="spellEnd"/>
            <w:r w:rsidRPr="00ED18EB">
              <w:rPr>
                <w:szCs w:val="22"/>
              </w:rPr>
              <w:t xml:space="preserve">, L. (2005). </w:t>
            </w:r>
            <w:r w:rsidRPr="00ED18EB">
              <w:rPr>
                <w:i/>
                <w:szCs w:val="22"/>
              </w:rPr>
              <w:t>Ķermeņa valoda (Kā iepazīt un izprast cilvēkus).</w:t>
            </w:r>
            <w:r w:rsidRPr="00ED18EB">
              <w:rPr>
                <w:szCs w:val="22"/>
              </w:rPr>
              <w:t xml:space="preserve"> Rīga: Valters un Rapa </w:t>
            </w:r>
          </w:p>
          <w:p w:rsidR="005C0083" w:rsidRPr="00ED18EB" w:rsidRDefault="005C0083" w:rsidP="005E54E7">
            <w:pPr>
              <w:shd w:val="clear" w:color="auto" w:fill="auto"/>
              <w:rPr>
                <w:lang w:val="ru-RU"/>
              </w:rPr>
            </w:pP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Гиппиус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, С. (2001).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Тренинг развития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креативности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Гимнастика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чувств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СПб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Речь</w:t>
            </w:r>
            <w:proofErr w:type="spellEnd"/>
          </w:p>
          <w:p w:rsidR="005C0083" w:rsidRPr="00ED18EB" w:rsidRDefault="005C0083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Станиславский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, К. (2008).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Работа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актера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над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собой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>.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Москва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Артист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Режиссер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Театр</w:t>
            </w:r>
            <w:proofErr w:type="spellEnd"/>
          </w:p>
          <w:p w:rsidR="005C0083" w:rsidRPr="00ED18EB" w:rsidRDefault="005C0083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ind w:left="2"/>
            </w:pPr>
            <w:r w:rsidRPr="00ED18EB">
              <w:rPr>
                <w:szCs w:val="22"/>
              </w:rPr>
              <w:t xml:space="preserve">Žurnāls </w:t>
            </w:r>
            <w:r w:rsidRPr="00ED18EB">
              <w:rPr>
                <w:i/>
                <w:szCs w:val="22"/>
              </w:rPr>
              <w:t>Teātra Vēstnesis</w:t>
            </w:r>
            <w:r w:rsidRPr="00ED18EB">
              <w:rPr>
                <w:szCs w:val="22"/>
              </w:rPr>
              <w:t>, Rīga: Preses nams, 2020</w:t>
            </w:r>
          </w:p>
          <w:p w:rsidR="005C0083" w:rsidRPr="00ED18EB" w:rsidRDefault="005C0083" w:rsidP="005E54E7">
            <w:pPr>
              <w:shd w:val="clear" w:color="auto" w:fill="auto"/>
              <w:ind w:left="2"/>
              <w:rPr>
                <w:bCs w:val="0"/>
                <w:iCs w:val="0"/>
              </w:rPr>
            </w:pPr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5C0083" w:rsidRPr="00ED18EB" w:rsidTr="005E54E7">
        <w:tc>
          <w:tcPr>
            <w:tcW w:w="9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C0083" w:rsidRPr="00ED18EB" w:rsidRDefault="005C0083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5C0083" w:rsidRPr="00ED18EB" w:rsidRDefault="005C0083" w:rsidP="005E54E7">
            <w:pPr>
              <w:shd w:val="clear" w:color="auto" w:fill="auto"/>
              <w:jc w:val="both"/>
            </w:pPr>
          </w:p>
        </w:tc>
      </w:tr>
    </w:tbl>
    <w:p w:rsidR="005C0083" w:rsidRPr="00ED18EB" w:rsidRDefault="005C0083" w:rsidP="005C0083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5C0083" w:rsidRDefault="005C0083"/>
    <w:sectPr w:rsidR="005C0083" w:rsidSect="005C0083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083"/>
    <w:rsid w:val="00476ACE"/>
    <w:rsid w:val="005C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083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5C0083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5C0083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5C0083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C0083"/>
    <w:rPr>
      <w:shd w:val="clear" w:color="auto" w:fill="FFFFFF" w:themeFill="background1"/>
    </w:rPr>
  </w:style>
  <w:style w:type="paragraph" w:styleId="Header">
    <w:name w:val="header"/>
    <w:basedOn w:val="Normal"/>
    <w:link w:val="HeaderChar"/>
    <w:uiPriority w:val="99"/>
    <w:unhideWhenUsed/>
    <w:rsid w:val="005C0083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0083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5C0083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5C0083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5C0083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5C0083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5C0083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083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083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5C0083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5C0083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5C0083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C0083"/>
    <w:rPr>
      <w:shd w:val="clear" w:color="auto" w:fill="FFFFFF" w:themeFill="background1"/>
    </w:rPr>
  </w:style>
  <w:style w:type="paragraph" w:styleId="Header">
    <w:name w:val="header"/>
    <w:basedOn w:val="Normal"/>
    <w:link w:val="HeaderChar"/>
    <w:uiPriority w:val="99"/>
    <w:unhideWhenUsed/>
    <w:rsid w:val="005C0083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0083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5C0083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5C0083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5C0083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5C0083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5C0083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083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6F0CC3D0824F36AA39CE9603EE2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07B28-6924-4AA7-9726-FCA77AE1AB1D}"/>
      </w:docPartPr>
      <w:docPartBody>
        <w:p w:rsidR="00000000" w:rsidRDefault="0019477E" w:rsidP="0019477E">
          <w:pPr>
            <w:pStyle w:val="966F0CC3D0824F36AA39CE9603EE2DF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7E"/>
    <w:rsid w:val="0019477E"/>
    <w:rsid w:val="00A3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477E"/>
    <w:rPr>
      <w:color w:val="808080"/>
    </w:rPr>
  </w:style>
  <w:style w:type="paragraph" w:customStyle="1" w:styleId="966F0CC3D0824F36AA39CE9603EE2DF8">
    <w:name w:val="966F0CC3D0824F36AA39CE9603EE2DF8"/>
    <w:rsid w:val="0019477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477E"/>
    <w:rPr>
      <w:color w:val="808080"/>
    </w:rPr>
  </w:style>
  <w:style w:type="paragraph" w:customStyle="1" w:styleId="966F0CC3D0824F36AA39CE9603EE2DF8">
    <w:name w:val="966F0CC3D0824F36AA39CE9603EE2DF8"/>
    <w:rsid w:val="00194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3607</Words>
  <Characters>2057</Characters>
  <Application>Microsoft Office Word</Application>
  <DocSecurity>0</DocSecurity>
  <Lines>17</Lines>
  <Paragraphs>11</Paragraphs>
  <ScaleCrop>false</ScaleCrop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2023-07-13T08:59:00Z</dcterms:created>
  <dcterms:modified xsi:type="dcterms:W3CDTF">2023-07-13T09:01:00Z</dcterms:modified>
</cp:coreProperties>
</file>