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CE" w:rsidRDefault="00476ACE"/>
    <w:p w:rsidR="00A37DE4" w:rsidRPr="00ED18EB" w:rsidRDefault="00A37DE4" w:rsidP="00A37DE4">
      <w:pPr>
        <w:shd w:val="clear" w:color="auto" w:fill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p w:rsidR="00A37DE4" w:rsidRPr="00ED18EB" w:rsidRDefault="00A37DE4" w:rsidP="00A37DE4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lastRenderedPageBreak/>
        <w:t>DAUGAVPILS UNIVERSITĀTES</w:t>
      </w:r>
    </w:p>
    <w:p w:rsidR="00A37DE4" w:rsidRPr="00ED18EB" w:rsidRDefault="00A37DE4" w:rsidP="00A37DE4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37DE4" w:rsidRPr="00ED18EB" w:rsidRDefault="00A37DE4" w:rsidP="00A37DE4"/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2"/>
      </w:tblGrid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vAlign w:val="center"/>
          </w:tcPr>
          <w:p w:rsidR="00A37DE4" w:rsidRPr="00ED18EB" w:rsidRDefault="00A37DE4" w:rsidP="005E54E7">
            <w:pPr>
              <w:pStyle w:val="Style1"/>
              <w:framePr w:wrap="around"/>
            </w:pPr>
            <w:bookmarkStart w:id="0" w:name="_Toc103738617"/>
            <w:bookmarkStart w:id="1" w:name="_Toc103779782"/>
            <w:proofErr w:type="spellStart"/>
            <w:r w:rsidRPr="00ED18EB">
              <w:t>Pūšaminstrumentu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spēles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mācību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metodika</w:t>
            </w:r>
            <w:proofErr w:type="spellEnd"/>
            <w:r w:rsidRPr="00ED18EB">
              <w:t xml:space="preserve"> I</w:t>
            </w:r>
            <w:bookmarkEnd w:id="0"/>
            <w:bookmarkEnd w:id="1"/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vAlign w:val="center"/>
          </w:tcPr>
          <w:p w:rsidR="00A37DE4" w:rsidRPr="00ED18EB" w:rsidRDefault="00A37DE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MākZ3517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  <w:szCs w:val="22"/>
            </w:rPr>
            <w:id w:val="-118228022"/>
            <w:placeholder>
              <w:docPart w:val="C749073ECA034269945F91FB33BDA888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102" w:type="dxa"/>
              </w:tcPr>
              <w:p w:rsidR="00A37DE4" w:rsidRPr="00ED18EB" w:rsidRDefault="00A37DE4" w:rsidP="005E54E7">
                <w:pPr>
                  <w:shd w:val="clear" w:color="auto" w:fill="auto"/>
                  <w:rPr>
                    <w:b/>
                  </w:rPr>
                </w:pPr>
                <w:r w:rsidRPr="00ED18EB">
                  <w:rPr>
                    <w:b/>
                    <w:vanish/>
                    <w:szCs w:val="22"/>
                  </w:rPr>
                  <w:t>Mākslas zinātne</w:t>
                </w:r>
              </w:p>
            </w:tc>
          </w:sdtContent>
        </w:sdt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</w:tcPr>
          <w:p w:rsidR="00A37DE4" w:rsidRPr="00ED18EB" w:rsidRDefault="00A37DE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3.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vAlign w:val="center"/>
          </w:tcPr>
          <w:p w:rsidR="00A37DE4" w:rsidRPr="00ED18EB" w:rsidRDefault="00A37DE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2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3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vAlign w:val="center"/>
          </w:tcPr>
          <w:p w:rsidR="00A37DE4" w:rsidRPr="00ED18EB" w:rsidRDefault="00A37DE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32</w:t>
            </w:r>
          </w:p>
        </w:tc>
      </w:tr>
    </w:tbl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2"/>
      </w:tblGrid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24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8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</w:t>
            </w:r>
          </w:p>
        </w:tc>
      </w:tr>
      <w:tr w:rsidR="00A37DE4" w:rsidRPr="00ED18EB" w:rsidTr="005E54E7">
        <w:tc>
          <w:tcPr>
            <w:tcW w:w="4219" w:type="dxa"/>
          </w:tcPr>
          <w:p w:rsidR="00A37DE4" w:rsidRPr="00ED18EB" w:rsidRDefault="00A37DE4" w:rsidP="005E54E7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vAlign w:val="center"/>
          </w:tcPr>
          <w:p w:rsidR="00A37DE4" w:rsidRPr="00ED18EB" w:rsidRDefault="00A37DE4" w:rsidP="005E54E7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szCs w:val="22"/>
              </w:rPr>
              <w:t>48</w:t>
            </w:r>
          </w:p>
        </w:tc>
      </w:tr>
    </w:tbl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  <w:rPr>
                <w:lang w:eastAsia="lv-LV"/>
              </w:rPr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Dr.art., viesprofesors </w:t>
            </w:r>
            <w:proofErr w:type="spellStart"/>
            <w:r w:rsidRPr="00ED18EB">
              <w:rPr>
                <w:szCs w:val="22"/>
              </w:rPr>
              <w:t>Rytis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Urniežius</w:t>
            </w:r>
            <w:proofErr w:type="spellEnd"/>
          </w:p>
          <w:p w:rsidR="00A37DE4" w:rsidRPr="00ED18EB" w:rsidRDefault="00A37DE4" w:rsidP="005E54E7">
            <w:pPr>
              <w:shd w:val="clear" w:color="auto" w:fill="auto"/>
              <w:rPr>
                <w:lang w:val="en-US"/>
              </w:rPr>
            </w:pPr>
            <w:proofErr w:type="spellStart"/>
            <w:r w:rsidRPr="00ED18EB">
              <w:rPr>
                <w:szCs w:val="22"/>
                <w:lang w:val="en-US"/>
              </w:rPr>
              <w:t>Dr.art</w:t>
            </w:r>
            <w:proofErr w:type="spellEnd"/>
            <w:r w:rsidRPr="00ED18EB">
              <w:rPr>
                <w:szCs w:val="22"/>
                <w:lang w:val="en-US"/>
              </w:rPr>
              <w:t xml:space="preserve">., </w:t>
            </w:r>
            <w:proofErr w:type="spellStart"/>
            <w:r w:rsidRPr="00ED18EB">
              <w:rPr>
                <w:szCs w:val="22"/>
                <w:lang w:val="en-US"/>
              </w:rPr>
              <w:t>profesors</w:t>
            </w:r>
            <w:proofErr w:type="spellEnd"/>
            <w:r w:rsidRPr="00ED18EB">
              <w:rPr>
                <w:szCs w:val="22"/>
                <w:lang w:val="en-US"/>
              </w:rPr>
              <w:t xml:space="preserve"> </w:t>
            </w:r>
            <w:proofErr w:type="spellStart"/>
            <w:r w:rsidRPr="00ED18EB">
              <w:rPr>
                <w:szCs w:val="22"/>
                <w:lang w:val="en-US"/>
              </w:rPr>
              <w:t>Ēvalds</w:t>
            </w:r>
            <w:proofErr w:type="spellEnd"/>
            <w:r w:rsidRPr="00ED18EB">
              <w:rPr>
                <w:szCs w:val="22"/>
                <w:lang w:val="en-US"/>
              </w:rPr>
              <w:t xml:space="preserve"> </w:t>
            </w:r>
            <w:proofErr w:type="spellStart"/>
            <w:r w:rsidRPr="00ED18EB">
              <w:rPr>
                <w:szCs w:val="22"/>
                <w:lang w:val="en-US"/>
              </w:rPr>
              <w:t>Daugulis</w:t>
            </w:r>
            <w:proofErr w:type="spellEnd"/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Dr.art., viesprofesors </w:t>
            </w:r>
            <w:proofErr w:type="spellStart"/>
            <w:r w:rsidRPr="00ED18EB">
              <w:rPr>
                <w:szCs w:val="22"/>
              </w:rPr>
              <w:t>Rišards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Kšištofs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Žoledzevskis</w:t>
            </w:r>
            <w:proofErr w:type="spellEnd"/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Dainis </w:t>
            </w:r>
            <w:proofErr w:type="spellStart"/>
            <w:r w:rsidRPr="00ED18EB">
              <w:t>Vuškāns</w:t>
            </w:r>
            <w:proofErr w:type="spellEnd"/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docents </w:t>
            </w:r>
            <w:proofErr w:type="spellStart"/>
            <w:r w:rsidRPr="00ED18EB">
              <w:rPr>
                <w:szCs w:val="22"/>
              </w:rPr>
              <w:t>Vasilijs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Šušerts</w:t>
            </w:r>
            <w:proofErr w:type="spellEnd"/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Mg.art</w:t>
            </w:r>
            <w:proofErr w:type="spellEnd"/>
            <w:r w:rsidRPr="00ED18EB">
              <w:rPr>
                <w:szCs w:val="22"/>
              </w:rPr>
              <w:t xml:space="preserve">., </w:t>
            </w:r>
            <w:proofErr w:type="spellStart"/>
            <w:r w:rsidRPr="00ED18EB">
              <w:rPr>
                <w:szCs w:val="22"/>
              </w:rPr>
              <w:t>viesasistents</w:t>
            </w:r>
            <w:proofErr w:type="spellEnd"/>
            <w:r w:rsidRPr="00ED18EB">
              <w:rPr>
                <w:szCs w:val="22"/>
              </w:rPr>
              <w:t xml:space="preserve"> Ruslans </w:t>
            </w:r>
            <w:proofErr w:type="spellStart"/>
            <w:r w:rsidRPr="00ED18EB">
              <w:rPr>
                <w:szCs w:val="22"/>
              </w:rPr>
              <w:t>Margevičs</w:t>
            </w:r>
            <w:proofErr w:type="spellEnd"/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>Pūšaminstrumenta spēles prasmes, kas iegūtas atbilstoši mūzikas profesionālās bakalaura studiju programmas 5. semestra prasībām.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  <w:r w:rsidRPr="00ED18EB">
              <w:t xml:space="preserve"> </w:t>
            </w: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rPr>
                <w:rFonts w:eastAsia="Times New Roman"/>
                <w:b/>
                <w:lang w:eastAsia="lv-LV"/>
              </w:rPr>
            </w:pPr>
            <w:r w:rsidRPr="00ED18EB">
              <w:rPr>
                <w:b/>
                <w:i/>
                <w:szCs w:val="22"/>
                <w:shd w:val="clear" w:color="auto" w:fill="FFFFFF"/>
              </w:rPr>
              <w:t>Studiju kurss tiek realizēts modulī “</w:t>
            </w:r>
            <w:r w:rsidRPr="00ED18EB">
              <w:rPr>
                <w:b/>
                <w:i/>
                <w:szCs w:val="22"/>
              </w:rPr>
              <w:t>Studiju kursi profesionālās izglītības attiecīgā mācību priekšmeta pedagoga tiesību ieguvei”.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Kurss paredzēts profesionālās bakalaura studiju programmas “Mūzika” profesionālās specializācijas moduļa “Pūšaminstrumenta spēle” studējošajiem.</w:t>
            </w:r>
          </w:p>
          <w:p w:rsidR="00A37DE4" w:rsidRPr="00ED18EB" w:rsidRDefault="00A37DE4" w:rsidP="005E54E7">
            <w:pPr>
              <w:shd w:val="clear" w:color="auto" w:fill="auto"/>
              <w:rPr>
                <w:rStyle w:val="Style2Char"/>
              </w:rPr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 xml:space="preserve">KURSA MĒRĶIS </w:t>
            </w:r>
            <w:r w:rsidRPr="00ED18EB">
              <w:rPr>
                <w:szCs w:val="22"/>
              </w:rPr>
              <w:t>– attīstīt pedagoģiskās prasmes metodiski pareizi vadīt pūšaminstrumentu spēles apguvi.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>KURSA UZDEVUMI</w:t>
            </w:r>
            <w:r w:rsidRPr="00ED18EB">
              <w:rPr>
                <w:szCs w:val="22"/>
              </w:rPr>
              <w:t xml:space="preserve"> – iegūt zināšanas par pūšaminstrumentu spēles iemaņu attīstīšanu, par bērnu muzikālo spēju noteikšanas paņēmieniem, par dažādiem izglītības procesa organizēšanas veidiem un paņēmieniem.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VI semestris 2KP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Kursa struktūra: lekcijas (L) – 24 stundas; semināri (S) – 8 stundas;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– 48 stundas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1. Pūšaminstrumentu spēles pedagoģijas priekšmets. L2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2. Pūšaminstrumentu spēles pedagoģijas vēsture. L8, S2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3. Muzikālo spēju pārbaude un identificēšana. L2, S2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4. Pūšaminstrumentu sākotnējā apguves posma īpatnības. L4, S2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5. Pūšaminstrumentu mācīšanas pieredze Latvijā. L4, S1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6. Pūšaminstrumentu mācīšanas pieredze ārvalstīs. L4, S1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ZINĀŠANAS</w:t>
            </w:r>
            <w:r w:rsidRPr="00ED18EB">
              <w:rPr>
                <w:szCs w:val="22"/>
                <w:lang w:eastAsia="ru-RU"/>
              </w:rPr>
              <w:t xml:space="preserve"> 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zināšanas par konkrēta pūšaminstrumenta tehniku;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zināšanas par pūšaminstrumentu mācīšanas metodēm.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PRASMES</w:t>
            </w:r>
            <w:r w:rsidRPr="00ED18EB">
              <w:rPr>
                <w:szCs w:val="22"/>
                <w:lang w:eastAsia="ru-RU"/>
              </w:rPr>
              <w:t xml:space="preserve"> </w:t>
            </w:r>
          </w:p>
          <w:p w:rsidR="00A37DE4" w:rsidRPr="00ED18EB" w:rsidRDefault="00A37DE4" w:rsidP="005E54E7">
            <w:r w:rsidRPr="00ED18EB">
              <w:rPr>
                <w:szCs w:val="22"/>
              </w:rPr>
              <w:t xml:space="preserve">– </w:t>
            </w:r>
            <w:r w:rsidRPr="00ED18EB">
              <w:rPr>
                <w:szCs w:val="22"/>
                <w:shd w:val="clear" w:color="auto" w:fill="FFFFFF" w:themeFill="background1"/>
              </w:rPr>
              <w:t>sniegt audzēkņiem precīzi informāciju.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KOMPETENCE</w:t>
            </w:r>
            <w:r w:rsidRPr="00ED18EB">
              <w:rPr>
                <w:szCs w:val="22"/>
                <w:lang w:eastAsia="ru-RU"/>
              </w:rPr>
              <w:t xml:space="preserve"> 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analizēt un novērtēt pūšaminstrumentu pedagoģisko repertuāru;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sastādīt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Studējošo patstāvīgais darbs (</w:t>
            </w:r>
            <w:proofErr w:type="spellStart"/>
            <w:r w:rsidRPr="00ED18EB">
              <w:rPr>
                <w:szCs w:val="22"/>
              </w:rPr>
              <w:t>Pd</w:t>
            </w:r>
            <w:proofErr w:type="spellEnd"/>
            <w:r w:rsidRPr="00ED18EB">
              <w:rPr>
                <w:szCs w:val="22"/>
              </w:rPr>
              <w:t>) 48 stundas: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VI semestris 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Pūšaminstrumentu spēles apguves metodiskās literatūras studijas: metodika, metode, metodiskais paņēmiens. Skolēnu muzikālo spēju pārbaudes un identificēšanas veidu apguve. Pūšaminstrumentu sākotnējā apguves posma īpatnību izpēte. Pūšaminstrumentu spēles pedagoģijas teorijas un vēstures Latvijā un citās valstīs apguve. Pd48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rStyle w:val="Style2Char"/>
                <w:szCs w:val="22"/>
              </w:rPr>
              <w:t xml:space="preserve">Pārbaudes veids </w:t>
            </w:r>
            <w:r w:rsidRPr="00ED18EB">
              <w:rPr>
                <w:szCs w:val="22"/>
              </w:rPr>
              <w:t>– ieskaite ar atzīmi.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Izmantojamās studiju formas – lekcijas, semināri, radošie patstāvīgie darbi, analītisks mutisks skaņdarba raksturojums no notīm, ieskaite ar atzīmi.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Ieskaite ar atzīmi 6. semestrī.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PĀRBAUDĪJUMU PRASĪBAS: </w:t>
            </w:r>
          </w:p>
          <w:p w:rsidR="00A37DE4" w:rsidRPr="00ED18EB" w:rsidRDefault="00A37DE4" w:rsidP="005E54E7">
            <w:pPr>
              <w:pStyle w:val="ListParagraph"/>
            </w:pPr>
            <w:r w:rsidRPr="00ED18EB">
              <w:t>regulārs un aktīvs darbs semināros, demonstrējot instrumenta spēles apguves metodikas būtības izpratni;</w:t>
            </w:r>
          </w:p>
          <w:p w:rsidR="00A37DE4" w:rsidRPr="00ED18EB" w:rsidRDefault="00A37DE4" w:rsidP="005E54E7">
            <w:pPr>
              <w:pStyle w:val="ListParagraph"/>
            </w:pPr>
            <w:r w:rsidRPr="00ED18EB">
              <w:t>kvalitatīvi izpildīti kursa programmā norādītie patstāvīgie darbi: skaņdarba apguvei raksturīgo metožu izvēle un pamatojums.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Studentu darbība studiju procesā šajā kursā tiek vērtēta pēc šādiem komponentiem: pūšaminstrumentu mūzika vēstures un repertuāra analīzes kompetence, teorijas un vēstures zināšanas. 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STUDIJU REZULTĀTU VĒRTĒŠANAS KRITĒRIJI</w:t>
            </w:r>
          </w:p>
          <w:p w:rsidR="00A37DE4" w:rsidRPr="00ED18EB" w:rsidRDefault="00A37DE4" w:rsidP="005E54E7">
            <w:pPr>
              <w:shd w:val="clear" w:color="auto" w:fill="auto"/>
              <w:jc w:val="both"/>
            </w:pPr>
            <w:r w:rsidRPr="00ED18EB">
              <w:rPr>
                <w:szCs w:val="22"/>
              </w:rPr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rPr>
                <w:szCs w:val="22"/>
              </w:rPr>
              <w:t>(</w:t>
            </w:r>
            <w:proofErr w:type="gramEnd"/>
            <w:r w:rsidRPr="00ED18EB">
              <w:rPr>
                <w:szCs w:val="22"/>
              </w:rPr>
              <w:t>apstiprināts DU Senāta sēdē 17.12.2018., protokols Nr. 15), vadoties pēc šādiem kritērijiem: iegūto zināšanu apjoms un kvalitāte, iegūtās prasmes un kompetence atbilstoši plānotajiem studiju rezultātiem.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pStyle w:val="Style2"/>
              <w:shd w:val="clear" w:color="auto" w:fill="auto"/>
            </w:pPr>
            <w:r w:rsidRPr="00ED18EB">
              <w:t>Vērtēšanas kritēriji: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zināšanas par konkrēta pūšaminstrumenta spēles tehniku;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>– spēja nosaukt nozīmīgākās pūšaminstrumentu spēles mācīšanas metodes;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pedagoģiskā repertuāra pārzināšana;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analizēt un novērtēt pūšaminstrumentu pedagoģisko repertuāru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komunikācijas prasmju izpausme informācijas sniegšanā;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spēja sastādīt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STUDIJU REZULTĀTU VĒRTĒŠANA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Izcili (10)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izcilas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daudzas pūšaminstrumentu spēles mācīšanas metodes;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daudzus pedagoģiskā repertuāra skaņdarbus;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visaptveroši analizēt un novērtēt pūšaminstrumentu pedagoģisko repertuāru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labas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sastādīt atbilstošu un izsmeļošu individuālo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Teicami (9)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teicamas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prot </w:t>
            </w:r>
            <w:r w:rsidRPr="00ED18EB">
              <w:rPr>
                <w:szCs w:val="22"/>
                <w:shd w:val="clear" w:color="auto" w:fill="FFFFFF" w:themeFill="background1"/>
              </w:rPr>
              <w:t xml:space="preserve">nosaukt </w:t>
            </w:r>
            <w:proofErr w:type="gramStart"/>
            <w:r w:rsidRPr="00ED18EB">
              <w:rPr>
                <w:szCs w:val="22"/>
                <w:shd w:val="clear" w:color="auto" w:fill="FFFFFF" w:themeFill="background1"/>
              </w:rPr>
              <w:t>lielu daudzumu</w:t>
            </w:r>
            <w:r w:rsidRPr="00ED18EB">
              <w:rPr>
                <w:szCs w:val="22"/>
              </w:rPr>
              <w:t xml:space="preserve"> pūšaminstrumentu spēles mācību metožu</w:t>
            </w:r>
            <w:proofErr w:type="gramEnd"/>
            <w:r w:rsidRPr="00ED18EB">
              <w:rPr>
                <w:szCs w:val="22"/>
              </w:rPr>
              <w:t>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pedagoģiskā repertuāra kompozīcijas;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veiksmīgi analizēt un novērtēt pūšaminstrumentu pedagoģisko repertuāru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labas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sastādīt atbilstošu individuālo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Ļoti labi (8)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labas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– students prot nosaukt </w:t>
            </w:r>
            <w:proofErr w:type="gramStart"/>
            <w:r w:rsidRPr="00ED18EB">
              <w:rPr>
                <w:szCs w:val="22"/>
              </w:rPr>
              <w:t>ievērojamu daudzumu pūšaminstrumentu spēles mācību metožu</w:t>
            </w:r>
            <w:proofErr w:type="gramEnd"/>
            <w:r w:rsidRPr="00ED18EB">
              <w:rPr>
                <w:szCs w:val="22"/>
              </w:rPr>
              <w:t>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pietiekamu skaitu pedagoģiskā repertuāra skaņdarbu;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analizēt un novērtēt pūšaminstrumentu pedagoģiskā repertuāra vērtējumus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labas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izveidot labu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Labi (7)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viduvējas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nozīmīgākās pūšaminstrumentu spēles mācīšanas metodes;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svarīgāko no pedagoģiskā repertuāra kompozīcijām;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vidējā līmenī var analizēt un novērtēt pūšaminstrumentu pedagoģiskā repertuāra vērtējumus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pietiekamas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var sastādīt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Gandrīz labi (6)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pietiekamas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vairākas nozīmīgas pūšaminstrumentu spēles mācīšanas metodes;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dažus svarīgus pedagoģiskā repertuāra kompozīcijas;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apmierinoši izanalizēt un novērtēt pūšaminstrumentu pedagoģiskā repertuāra vērtējumus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ierobežotas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studentam ir grūtības sastādīt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Viduvēji (5)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viduvējas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prot nosaukt tikai dažas nozīmīgas pūšaminstrumentu spēles mācīšanas metodes;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zina maz pedagoģiskā repertuāra kompozīciju;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lastRenderedPageBreak/>
              <w:t xml:space="preserve">– students </w:t>
            </w:r>
            <w:r w:rsidRPr="00ED18EB">
              <w:rPr>
                <w:szCs w:val="22"/>
                <w:shd w:val="clear" w:color="auto" w:fill="FFFFFF" w:themeFill="background1"/>
              </w:rPr>
              <w:t>diez vai var</w:t>
            </w:r>
            <w:r w:rsidRPr="00ED18EB">
              <w:rPr>
                <w:szCs w:val="22"/>
              </w:rPr>
              <w:t xml:space="preserve"> analizēt un novērtēt pūšaminstrumentu pedagoģiskā repertuāra vērtējumus konkrēta vecuma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ierobežotas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saskaras ar nopietnām grūtībām individuālā stundu plāna sastādīšanā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Gandrīz viduvēji (4)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ļoti vājas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pietiekamu skaitu pūšaminstrumentu spēles mācību metožu;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pietiekamu skaitu pedagoģiskā repertuāra skaņdarbu;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pareizi analizēt un novērtēt pūšamo instrumentu pedagoģiskā repertuāra vērtējumus;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minimālas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gandrīz nespēj sastādīt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Vāji (3)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neapmierinošas zināšanas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nevienu pūšaminstrumentu spēles mācīšanas metodi;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pietiekamu skaitu pedagoģiskā repertuāra skaņdarbu;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analizēt un novērtēt pūšamo instrumentu pedagoģiskā repertuāra vērtējumus;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uzrāda neapmierinošas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sastādīt individuālu stundu plānu atbilstoši audzēkņa vecumam, spējām un repertuāram.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Ļoti vāji (2)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zināšanu trūkums konkrēta pūšaminstrumenta spēles tehnikā;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nevienu pūšaminstrumentu spēles mācīšanas metodi;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nosaukt nevienu pedagoģiskā repertuāra kompozīciju;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analizēt un novērtēt pūšamo instrumentu pedagoģiskā repertuāra vērtējumus;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neuzrāda komunikācijas prasmes informācijas sniegšanā audzēkņiem;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students nespēj sastādīt individuālu stundu plānu.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Ļoti, ļoti vāji (1)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– pilnīga zināšanu neesamība nevienā studiju priekšmeta sadaļā.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VI semestris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1. Pūšaminstrumentu spēles pedagoģijas priekšmets.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2. Pūšaminstrumentu spēles pedagoģijas vēsture.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3. Muzikālo spēju pārbaude un identificēšana.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4. Pūšaminstrumentu sākotnējās apguves īpatnības.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5. Pūšaminstrumentu mācīšanas pieredze Latvijā.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6. Pūšaminstrumentu mācīšanas pieredze ārvalstīs.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37DE4" w:rsidRPr="00ED18EB" w:rsidTr="005E54E7">
        <w:tc>
          <w:tcPr>
            <w:tcW w:w="9320" w:type="dxa"/>
            <w:shd w:val="clear" w:color="auto" w:fill="auto"/>
          </w:tcPr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Boren</w:t>
            </w:r>
            <w:proofErr w:type="spellEnd"/>
            <w:r w:rsidRPr="00ED18EB">
              <w:rPr>
                <w:szCs w:val="22"/>
              </w:rPr>
              <w:t>, M. (2005</w:t>
            </w:r>
            <w:r w:rsidRPr="00ED18EB">
              <w:rPr>
                <w:i/>
                <w:szCs w:val="22"/>
              </w:rPr>
              <w:t xml:space="preserve">). </w:t>
            </w:r>
            <w:proofErr w:type="spellStart"/>
            <w:r w:rsidRPr="00ED18EB">
              <w:rPr>
                <w:i/>
                <w:szCs w:val="22"/>
              </w:rPr>
              <w:t>Breathing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for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performance</w:t>
            </w:r>
            <w:proofErr w:type="spellEnd"/>
            <w:r w:rsidRPr="00ED18EB">
              <w:rPr>
                <w:i/>
                <w:szCs w:val="22"/>
              </w:rPr>
              <w:t xml:space="preserve">: A </w:t>
            </w:r>
            <w:proofErr w:type="spellStart"/>
            <w:r w:rsidRPr="00ED18EB">
              <w:rPr>
                <w:i/>
                <w:szCs w:val="22"/>
              </w:rPr>
              <w:t>guide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for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wind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voice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musicians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Houston</w:t>
            </w:r>
            <w:proofErr w:type="spellEnd"/>
            <w:r w:rsidRPr="00ED18EB">
              <w:rPr>
                <w:szCs w:val="22"/>
              </w:rPr>
              <w:t xml:space="preserve">, TX: </w:t>
            </w:r>
            <w:proofErr w:type="spellStart"/>
            <w:r w:rsidRPr="00ED18EB">
              <w:rPr>
                <w:szCs w:val="22"/>
              </w:rPr>
              <w:t>Powerlung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Press</w:t>
            </w:r>
            <w:proofErr w:type="spellEnd"/>
            <w:r w:rsidRPr="00ED18EB">
              <w:rPr>
                <w:szCs w:val="22"/>
              </w:rPr>
              <w:t xml:space="preserve"> (docētāja privātais izdevumu krājums, kas skenētā veidā tiks ievietots e–studiju vidē </w:t>
            </w:r>
            <w:proofErr w:type="spellStart"/>
            <w:r w:rsidRPr="00ED18EB">
              <w:rPr>
                <w:i/>
                <w:szCs w:val="22"/>
              </w:rPr>
              <w:t>Moodle</w:t>
            </w:r>
            <w:proofErr w:type="spellEnd"/>
            <w:r w:rsidRPr="00ED18EB">
              <w:rPr>
                <w:szCs w:val="22"/>
              </w:rPr>
              <w:t>)</w:t>
            </w:r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Caplan</w:t>
            </w:r>
            <w:proofErr w:type="spellEnd"/>
            <w:r w:rsidRPr="00ED18EB">
              <w:rPr>
                <w:szCs w:val="22"/>
              </w:rPr>
              <w:t xml:space="preserve">, B. (2004). </w:t>
            </w:r>
            <w:proofErr w:type="spellStart"/>
            <w:r w:rsidRPr="00ED18EB">
              <w:rPr>
                <w:i/>
                <w:szCs w:val="22"/>
              </w:rPr>
              <w:t>Practicing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For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Artistic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Success</w:t>
            </w:r>
            <w:proofErr w:type="spellEnd"/>
            <w:r w:rsidRPr="00ED18EB">
              <w:rPr>
                <w:i/>
                <w:szCs w:val="22"/>
              </w:rPr>
              <w:t xml:space="preserve">: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Musician's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Guide</w:t>
            </w:r>
            <w:proofErr w:type="spellEnd"/>
            <w:r w:rsidRPr="00ED18EB">
              <w:rPr>
                <w:i/>
                <w:szCs w:val="22"/>
              </w:rPr>
              <w:t xml:space="preserve"> to </w:t>
            </w:r>
            <w:proofErr w:type="spellStart"/>
            <w:r w:rsidRPr="00ED18EB">
              <w:rPr>
                <w:i/>
                <w:szCs w:val="22"/>
              </w:rPr>
              <w:t>Self</w:t>
            </w:r>
            <w:proofErr w:type="spellEnd"/>
            <w:r w:rsidRPr="00ED18EB">
              <w:rPr>
                <w:i/>
                <w:szCs w:val="22"/>
              </w:rPr>
              <w:t xml:space="preserve">– </w:t>
            </w:r>
            <w:proofErr w:type="spellStart"/>
            <w:r w:rsidRPr="00ED18EB">
              <w:rPr>
                <w:i/>
                <w:szCs w:val="22"/>
              </w:rPr>
              <w:t>Empowerment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Perception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Development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Techniques</w:t>
            </w:r>
            <w:proofErr w:type="spellEnd"/>
            <w:r w:rsidRPr="00ED18EB">
              <w:rPr>
                <w:szCs w:val="22"/>
              </w:rPr>
              <w:t xml:space="preserve">, NY. (docētāja privātais izdevumu krājums, kas skenētā veidā tiks ievietots e–studiju vidē </w:t>
            </w:r>
            <w:proofErr w:type="spellStart"/>
            <w:r w:rsidRPr="00ED18EB">
              <w:rPr>
                <w:i/>
                <w:szCs w:val="22"/>
              </w:rPr>
              <w:t>Moodle</w:t>
            </w:r>
            <w:proofErr w:type="spellEnd"/>
            <w:r w:rsidRPr="00ED18EB">
              <w:rPr>
                <w:szCs w:val="22"/>
              </w:rPr>
              <w:t>)</w:t>
            </w:r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Farkas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szCs w:val="22"/>
              </w:rPr>
              <w:t>Ph</w:t>
            </w:r>
            <w:proofErr w:type="spellEnd"/>
            <w:r w:rsidRPr="00ED18EB">
              <w:rPr>
                <w:szCs w:val="22"/>
              </w:rPr>
              <w:t xml:space="preserve">. (1989).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Art </w:t>
            </w:r>
            <w:proofErr w:type="spellStart"/>
            <w:r w:rsidRPr="00ED18EB">
              <w:rPr>
                <w:i/>
                <w:szCs w:val="22"/>
              </w:rPr>
              <w:t>of</w:t>
            </w:r>
            <w:proofErr w:type="spellEnd"/>
            <w:r w:rsidRPr="00ED18EB">
              <w:rPr>
                <w:i/>
                <w:szCs w:val="22"/>
              </w:rPr>
              <w:t xml:space="preserve"> Brass </w:t>
            </w:r>
            <w:proofErr w:type="spellStart"/>
            <w:r w:rsidRPr="00ED18EB">
              <w:rPr>
                <w:i/>
                <w:szCs w:val="22"/>
              </w:rPr>
              <w:t>Playing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Wind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Inc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Farkas</w:t>
            </w:r>
            <w:proofErr w:type="spellEnd"/>
            <w:r w:rsidRPr="00ED18EB">
              <w:rPr>
                <w:szCs w:val="22"/>
              </w:rPr>
              <w:t xml:space="preserve">, </w:t>
            </w:r>
            <w:proofErr w:type="spellStart"/>
            <w:r w:rsidRPr="00ED18EB">
              <w:rPr>
                <w:szCs w:val="22"/>
              </w:rPr>
              <w:t>Ph</w:t>
            </w:r>
            <w:proofErr w:type="spellEnd"/>
            <w:r w:rsidRPr="00ED18EB">
              <w:rPr>
                <w:szCs w:val="22"/>
              </w:rPr>
              <w:t xml:space="preserve">. (1976).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Art </w:t>
            </w:r>
            <w:proofErr w:type="spellStart"/>
            <w:r w:rsidRPr="00ED18EB">
              <w:rPr>
                <w:i/>
                <w:szCs w:val="22"/>
              </w:rPr>
              <w:t>of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Musicianship</w:t>
            </w:r>
            <w:proofErr w:type="spellEnd"/>
            <w:r w:rsidRPr="00ED18EB">
              <w:rPr>
                <w:i/>
                <w:szCs w:val="22"/>
              </w:rPr>
              <w:t xml:space="preserve">: A </w:t>
            </w:r>
            <w:proofErr w:type="spellStart"/>
            <w:r w:rsidRPr="00ED18EB">
              <w:rPr>
                <w:i/>
                <w:szCs w:val="22"/>
              </w:rPr>
              <w:t>Treatise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on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Skills</w:t>
            </w:r>
            <w:proofErr w:type="spellEnd"/>
            <w:r w:rsidRPr="00ED18EB">
              <w:rPr>
                <w:i/>
                <w:szCs w:val="22"/>
              </w:rPr>
              <w:t xml:space="preserve">, </w:t>
            </w:r>
            <w:proofErr w:type="spellStart"/>
            <w:r w:rsidRPr="00ED18EB">
              <w:rPr>
                <w:i/>
                <w:szCs w:val="22"/>
              </w:rPr>
              <w:t>Knowledge</w:t>
            </w:r>
            <w:proofErr w:type="spellEnd"/>
            <w:r w:rsidRPr="00ED18EB">
              <w:rPr>
                <w:i/>
                <w:szCs w:val="22"/>
              </w:rPr>
              <w:t xml:space="preserve">, </w:t>
            </w:r>
            <w:proofErr w:type="spellStart"/>
            <w:r w:rsidRPr="00ED18EB">
              <w:rPr>
                <w:i/>
                <w:szCs w:val="22"/>
              </w:rPr>
              <w:t>and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Sensitivity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Needed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by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Mature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Musician</w:t>
            </w:r>
            <w:proofErr w:type="spellEnd"/>
            <w:r w:rsidRPr="00ED18EB">
              <w:rPr>
                <w:i/>
                <w:szCs w:val="22"/>
              </w:rPr>
              <w:t xml:space="preserve"> to </w:t>
            </w:r>
            <w:proofErr w:type="spellStart"/>
            <w:r w:rsidRPr="00ED18EB">
              <w:rPr>
                <w:i/>
                <w:szCs w:val="22"/>
              </w:rPr>
              <w:t>Perform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in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Artistic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and</w:t>
            </w:r>
            <w:proofErr w:type="spellEnd"/>
            <w:r w:rsidRPr="00ED18EB">
              <w:rPr>
                <w:i/>
                <w:szCs w:val="22"/>
              </w:rPr>
              <w:t xml:space="preserve"> Professional </w:t>
            </w:r>
            <w:proofErr w:type="spellStart"/>
            <w:r w:rsidRPr="00ED18EB">
              <w:rPr>
                <w:i/>
                <w:szCs w:val="22"/>
              </w:rPr>
              <w:t>Manner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Musical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Publications</w:t>
            </w:r>
            <w:proofErr w:type="spellEnd"/>
            <w:r w:rsidRPr="00ED18EB">
              <w:rPr>
                <w:szCs w:val="22"/>
              </w:rPr>
              <w:t xml:space="preserve"> (docētāja privātais izdevumu krājums, kas skenētā veidā tiks ievietots e–studiju vidē </w:t>
            </w:r>
            <w:proofErr w:type="spellStart"/>
            <w:r w:rsidRPr="00ED18EB">
              <w:rPr>
                <w:i/>
                <w:szCs w:val="22"/>
              </w:rPr>
              <w:t>Moodle</w:t>
            </w:r>
            <w:proofErr w:type="spellEnd"/>
            <w:r w:rsidRPr="00ED18EB">
              <w:rPr>
                <w:szCs w:val="22"/>
              </w:rPr>
              <w:t>)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lastRenderedPageBreak/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Geiringer</w:t>
            </w:r>
            <w:proofErr w:type="spellEnd"/>
            <w:r w:rsidRPr="00ED18EB">
              <w:rPr>
                <w:szCs w:val="22"/>
              </w:rPr>
              <w:t xml:space="preserve">, K. (1978). </w:t>
            </w:r>
            <w:r w:rsidRPr="00ED18EB">
              <w:rPr>
                <w:i/>
                <w:szCs w:val="22"/>
              </w:rPr>
              <w:t xml:space="preserve">Instruments </w:t>
            </w:r>
            <w:proofErr w:type="spellStart"/>
            <w:r w:rsidRPr="00ED18EB">
              <w:rPr>
                <w:i/>
                <w:szCs w:val="22"/>
              </w:rPr>
              <w:t>in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the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History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of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Western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</w:t>
            </w:r>
            <w:proofErr w:type="spellEnd"/>
            <w:r w:rsidRPr="00ED18EB">
              <w:rPr>
                <w:i/>
                <w:szCs w:val="22"/>
              </w:rPr>
              <w:t>.</w:t>
            </w:r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New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York</w:t>
            </w:r>
            <w:proofErr w:type="spellEnd"/>
            <w:r w:rsidRPr="00ED18EB">
              <w:rPr>
                <w:szCs w:val="22"/>
              </w:rPr>
              <w:t xml:space="preserve">: </w:t>
            </w:r>
            <w:proofErr w:type="spellStart"/>
            <w:r w:rsidRPr="00ED18EB">
              <w:rPr>
                <w:szCs w:val="22"/>
              </w:rPr>
              <w:t>Oxford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University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Press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6" w:history="1">
              <w:r w:rsidRPr="00ED18EB">
                <w:rPr>
                  <w:rStyle w:val="Hyperlink"/>
                  <w:color w:val="auto"/>
                  <w:szCs w:val="22"/>
                </w:rPr>
                <w:t>http://www.survivorlibrary.com/library/instruments_in_the_history_of_western_music_1978.pdf/</w:t>
              </w:r>
            </w:hyperlink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Steenstrup</w:t>
            </w:r>
            <w:proofErr w:type="spellEnd"/>
            <w:r w:rsidRPr="00ED18EB">
              <w:rPr>
                <w:szCs w:val="22"/>
              </w:rPr>
              <w:t xml:space="preserve">, K. (2007). </w:t>
            </w:r>
            <w:proofErr w:type="spellStart"/>
            <w:r w:rsidRPr="00ED18EB">
              <w:rPr>
                <w:i/>
                <w:szCs w:val="22"/>
              </w:rPr>
              <w:t>Teaching</w:t>
            </w:r>
            <w:proofErr w:type="spellEnd"/>
            <w:r w:rsidRPr="00ED18EB">
              <w:rPr>
                <w:i/>
                <w:szCs w:val="22"/>
              </w:rPr>
              <w:t xml:space="preserve"> Brass.</w:t>
            </w:r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Aarhus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University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Press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McGill</w:t>
            </w:r>
            <w:proofErr w:type="spellEnd"/>
            <w:r w:rsidRPr="00ED18EB">
              <w:rPr>
                <w:szCs w:val="22"/>
              </w:rPr>
              <w:t xml:space="preserve">, D. (2009). </w:t>
            </w:r>
            <w:proofErr w:type="spellStart"/>
            <w:r w:rsidRPr="00ED18EB">
              <w:rPr>
                <w:i/>
                <w:szCs w:val="22"/>
              </w:rPr>
              <w:t>Sound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in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Motion</w:t>
            </w:r>
            <w:proofErr w:type="spellEnd"/>
            <w:r w:rsidRPr="00ED18EB">
              <w:rPr>
                <w:i/>
                <w:szCs w:val="22"/>
              </w:rPr>
              <w:t xml:space="preserve">: A </w:t>
            </w:r>
            <w:proofErr w:type="spellStart"/>
            <w:r w:rsidRPr="00ED18EB">
              <w:rPr>
                <w:i/>
                <w:szCs w:val="22"/>
              </w:rPr>
              <w:t>Performer's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Guide</w:t>
            </w:r>
            <w:proofErr w:type="spellEnd"/>
            <w:r w:rsidRPr="00ED18EB">
              <w:rPr>
                <w:i/>
                <w:szCs w:val="22"/>
              </w:rPr>
              <w:t xml:space="preserve"> to </w:t>
            </w:r>
            <w:proofErr w:type="spellStart"/>
            <w:r w:rsidRPr="00ED18EB">
              <w:rPr>
                <w:i/>
                <w:szCs w:val="22"/>
              </w:rPr>
              <w:t>Greater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Musical</w:t>
            </w:r>
            <w:proofErr w:type="spellEnd"/>
            <w:r w:rsidRPr="00ED18EB">
              <w:rPr>
                <w:i/>
                <w:szCs w:val="22"/>
              </w:rPr>
              <w:t xml:space="preserve"> </w:t>
            </w:r>
            <w:proofErr w:type="spellStart"/>
            <w:r w:rsidRPr="00ED18EB">
              <w:rPr>
                <w:i/>
                <w:szCs w:val="22"/>
              </w:rPr>
              <w:t>Expression</w:t>
            </w:r>
            <w:proofErr w:type="spellEnd"/>
            <w:r w:rsidRPr="00ED18EB">
              <w:rPr>
                <w:szCs w:val="22"/>
              </w:rPr>
              <w:t xml:space="preserve">. Indiana </w:t>
            </w:r>
            <w:proofErr w:type="spellStart"/>
            <w:r w:rsidRPr="00ED18EB">
              <w:rPr>
                <w:szCs w:val="22"/>
              </w:rPr>
              <w:t>University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Press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Žurnāli:</w:t>
            </w:r>
            <w:r w:rsidRPr="00ED18EB">
              <w:rPr>
                <w:szCs w:val="22"/>
                <w:lang w:val="en-GB" w:eastAsia="lv-LV"/>
              </w:rPr>
              <w:t xml:space="preserve"> </w:t>
            </w:r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British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Journal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of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Education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7" w:history="1">
              <w:r w:rsidRPr="00ED18EB">
                <w:rPr>
                  <w:rStyle w:val="Hyperlink"/>
                  <w:color w:val="auto"/>
                  <w:szCs w:val="22"/>
                </w:rPr>
                <w:t>https://www.cambridge.org/core/journals/british–journal–of–music–education/</w:t>
              </w:r>
            </w:hyperlink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Early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Performer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8" w:history="1">
              <w:r w:rsidRPr="00ED18EB">
                <w:rPr>
                  <w:rStyle w:val="Hyperlink"/>
                  <w:color w:val="auto"/>
                  <w:szCs w:val="22"/>
                </w:rPr>
                <w:t>https://www.earlymusic.info/Performer.php</w:t>
              </w:r>
              <w:r w:rsidRPr="00ED18EB">
                <w:rPr>
                  <w:rStyle w:val="Hyperlink"/>
                  <w:color w:val="auto"/>
                </w:rPr>
                <w:t>/</w:t>
              </w:r>
            </w:hyperlink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International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Journal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of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Education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9" w:history="1">
              <w:r w:rsidRPr="00ED18EB">
                <w:rPr>
                  <w:rStyle w:val="Hyperlink"/>
                  <w:color w:val="auto"/>
                  <w:szCs w:val="22"/>
                </w:rPr>
                <w:t>https://journals.sagepub.com/home/ijm/</w:t>
              </w:r>
            </w:hyperlink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Journal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of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Research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in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Education</w:t>
            </w:r>
            <w:proofErr w:type="spellEnd"/>
            <w:r w:rsidRPr="00ED18EB">
              <w:rPr>
                <w:szCs w:val="22"/>
              </w:rPr>
              <w:t>.</w:t>
            </w:r>
          </w:p>
          <w:p w:rsidR="00A37DE4" w:rsidRPr="00ED18EB" w:rsidRDefault="00697CFF" w:rsidP="005E54E7">
            <w:pPr>
              <w:shd w:val="clear" w:color="auto" w:fill="auto"/>
            </w:pPr>
            <w:hyperlink r:id="rId10" w:history="1">
              <w:r w:rsidR="00A37DE4" w:rsidRPr="00ED18EB">
                <w:rPr>
                  <w:rStyle w:val="Hyperlink"/>
                  <w:color w:val="auto"/>
                  <w:szCs w:val="22"/>
                </w:rPr>
                <w:t>https://journals.sagepub.com/doi/abs/10.1177/0022429415583474?journalCode=jrmas</w:t>
              </w:r>
            </w:hyperlink>
          </w:p>
          <w:p w:rsidR="00A37DE4" w:rsidRPr="00ED18EB" w:rsidRDefault="00A37DE4" w:rsidP="005E54E7">
            <w:pPr>
              <w:shd w:val="clear" w:color="auto" w:fill="auto"/>
            </w:pPr>
            <w:proofErr w:type="spellStart"/>
            <w:r w:rsidRPr="00ED18EB">
              <w:rPr>
                <w:szCs w:val="22"/>
              </w:rPr>
              <w:t>Windplayer</w:t>
            </w:r>
            <w:proofErr w:type="spellEnd"/>
            <w:r w:rsidRPr="00ED18EB">
              <w:rPr>
                <w:szCs w:val="22"/>
              </w:rPr>
              <w:t xml:space="preserve">. </w:t>
            </w:r>
            <w:proofErr w:type="spellStart"/>
            <w:r w:rsidRPr="00ED18EB">
              <w:rPr>
                <w:szCs w:val="22"/>
              </w:rPr>
              <w:t>For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Wind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and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Bras</w:t>
            </w:r>
            <w:proofErr w:type="spellEnd"/>
            <w:r w:rsidRPr="00ED18EB">
              <w:rPr>
                <w:szCs w:val="22"/>
              </w:rPr>
              <w:t xml:space="preserve"> </w:t>
            </w:r>
            <w:proofErr w:type="spellStart"/>
            <w:r w:rsidRPr="00ED18EB">
              <w:rPr>
                <w:szCs w:val="22"/>
              </w:rPr>
              <w:t>Musicians</w:t>
            </w:r>
            <w:proofErr w:type="spellEnd"/>
            <w:r w:rsidRPr="00ED18EB">
              <w:rPr>
                <w:szCs w:val="22"/>
              </w:rPr>
              <w:t xml:space="preserve">. </w:t>
            </w:r>
            <w:hyperlink r:id="rId11" w:history="1">
              <w:r w:rsidRPr="00ED18EB">
                <w:rPr>
                  <w:rStyle w:val="Hyperlink"/>
                  <w:color w:val="auto"/>
                  <w:szCs w:val="22"/>
                </w:rPr>
                <w:t>https://journals.sagepub.com/doi/abs/10.1177/0022429415583474?journalCode=jrma</w:t>
              </w:r>
              <w:r w:rsidRPr="00ED18EB">
                <w:rPr>
                  <w:rStyle w:val="Hyperlink"/>
                  <w:color w:val="auto"/>
                </w:rPr>
                <w:t>/</w:t>
              </w:r>
            </w:hyperlink>
          </w:p>
          <w:p w:rsidR="00A37DE4" w:rsidRPr="00ED18EB" w:rsidRDefault="00A37DE4" w:rsidP="005E54E7">
            <w:pPr>
              <w:shd w:val="clear" w:color="auto" w:fill="auto"/>
            </w:pPr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A37DE4" w:rsidRPr="00ED18EB" w:rsidTr="005E54E7">
        <w:tc>
          <w:tcPr>
            <w:tcW w:w="9320" w:type="dxa"/>
          </w:tcPr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 xml:space="preserve">Profesionālās bakalaura studiju programmas ”Mūzika” B2.2. daļa. </w:t>
            </w:r>
          </w:p>
          <w:p w:rsidR="00A37DE4" w:rsidRPr="00ED18EB" w:rsidRDefault="00A37DE4" w:rsidP="005E54E7">
            <w:pPr>
              <w:shd w:val="clear" w:color="auto" w:fill="auto"/>
            </w:pPr>
            <w:r w:rsidRPr="00ED18EB">
              <w:rPr>
                <w:szCs w:val="22"/>
              </w:rPr>
              <w:t>Kursu apgūst latviešu vai angļu valodā.</w:t>
            </w:r>
          </w:p>
          <w:p w:rsidR="00A37DE4" w:rsidRPr="00ED18EB" w:rsidRDefault="00A37DE4" w:rsidP="005E54E7">
            <w:pPr>
              <w:shd w:val="clear" w:color="auto" w:fill="auto"/>
            </w:pPr>
          </w:p>
        </w:tc>
      </w:tr>
    </w:tbl>
    <w:p w:rsidR="00A37DE4" w:rsidRPr="00ED18EB" w:rsidRDefault="00A37DE4" w:rsidP="00A37DE4">
      <w:pPr>
        <w:shd w:val="clear" w:color="auto" w:fill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  <w:bookmarkStart w:id="2" w:name="_GoBack"/>
      <w:bookmarkEnd w:id="2"/>
    </w:p>
    <w:sectPr w:rsidR="00A37DE4" w:rsidRPr="00ED18EB" w:rsidSect="00A37DE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B4F"/>
    <w:multiLevelType w:val="hybridMultilevel"/>
    <w:tmpl w:val="DA686E62"/>
    <w:lvl w:ilvl="0" w:tplc="1C2AE374">
      <w:start w:val="1"/>
      <w:numFmt w:val="bullet"/>
      <w:pStyle w:val="ListParagraph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DF37B3"/>
    <w:multiLevelType w:val="multilevel"/>
    <w:tmpl w:val="E84A25D8"/>
    <w:lvl w:ilvl="0">
      <w:start w:val="1"/>
      <w:numFmt w:val="decimal"/>
      <w:pStyle w:val="nodaasvirsrakstsarnumur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paknodaa1"/>
      <w:isLgl/>
      <w:lvlText w:val="%1.%2."/>
      <w:lvlJc w:val="left"/>
      <w:pPr>
        <w:tabs>
          <w:tab w:val="num" w:pos="3913"/>
        </w:tabs>
        <w:ind w:left="3913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E4"/>
    <w:rsid w:val="00476ACE"/>
    <w:rsid w:val="00697CFF"/>
    <w:rsid w:val="00A3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DE4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D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D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D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DE4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A37DE4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DE4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A37DE4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37DE4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37DE4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37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37DE4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37DE4"/>
    <w:rPr>
      <w:rFonts w:ascii="Times New Roman" w:hAnsi="Times New Roman" w:cs="Times New Roman"/>
    </w:rPr>
  </w:style>
  <w:style w:type="paragraph" w:customStyle="1" w:styleId="Default">
    <w:name w:val="Default"/>
    <w:rsid w:val="00A37D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A37DE4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37DE4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A37DE4"/>
  </w:style>
  <w:style w:type="character" w:styleId="HTMLCite">
    <w:name w:val="HTML Cite"/>
    <w:uiPriority w:val="99"/>
    <w:semiHidden/>
    <w:unhideWhenUsed/>
    <w:rsid w:val="00A37DE4"/>
    <w:rPr>
      <w:i/>
      <w:iCs/>
    </w:rPr>
  </w:style>
  <w:style w:type="character" w:customStyle="1" w:styleId="st">
    <w:name w:val="st"/>
    <w:basedOn w:val="DefaultParagraphFont"/>
    <w:rsid w:val="00A37DE4"/>
  </w:style>
  <w:style w:type="character" w:styleId="Emphasis">
    <w:name w:val="Emphasis"/>
    <w:basedOn w:val="DefaultParagraphFont"/>
    <w:uiPriority w:val="20"/>
    <w:qFormat/>
    <w:rsid w:val="00A37DE4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A37DE4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A37DE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A37DE4"/>
  </w:style>
  <w:style w:type="character" w:customStyle="1" w:styleId="content">
    <w:name w:val="content"/>
    <w:rsid w:val="00A37DE4"/>
  </w:style>
  <w:style w:type="table" w:customStyle="1" w:styleId="TableGrid1">
    <w:name w:val="Table Grid1"/>
    <w:basedOn w:val="TableNormal"/>
    <w:next w:val="TableGrid"/>
    <w:uiPriority w:val="59"/>
    <w:rsid w:val="00A37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A37DE4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A37DE4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A37DE4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A37DE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37DE4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nhideWhenUsed/>
    <w:rsid w:val="00A37DE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rsid w:val="00A37DE4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A37DE4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DE4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DE4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A37DE4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A37DE4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DE4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A37DE4"/>
    <w:rPr>
      <w:rFonts w:cs="Times New Roman"/>
    </w:rPr>
  </w:style>
  <w:style w:type="paragraph" w:customStyle="1" w:styleId="tv213">
    <w:name w:val="tv213"/>
    <w:basedOn w:val="Normal"/>
    <w:rsid w:val="00A37DE4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A37DE4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A37DE4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A37DE4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A37DE4"/>
  </w:style>
  <w:style w:type="character" w:customStyle="1" w:styleId="apple-converted-space">
    <w:name w:val="apple-converted-space"/>
    <w:basedOn w:val="DefaultParagraphFont"/>
    <w:rsid w:val="00A37DE4"/>
  </w:style>
  <w:style w:type="character" w:customStyle="1" w:styleId="Nosaukums1">
    <w:name w:val="Nosaukums1"/>
    <w:basedOn w:val="DefaultParagraphFont"/>
    <w:rsid w:val="00A37DE4"/>
  </w:style>
  <w:style w:type="paragraph" w:styleId="CommentText">
    <w:name w:val="annotation text"/>
    <w:basedOn w:val="Normal"/>
    <w:link w:val="CommentTextChar"/>
    <w:uiPriority w:val="99"/>
    <w:semiHidden/>
    <w:unhideWhenUsed/>
    <w:rsid w:val="00A37DE4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DE4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DE4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DE4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A37DE4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A37DE4"/>
  </w:style>
  <w:style w:type="character" w:customStyle="1" w:styleId="Title1">
    <w:name w:val="Title1"/>
    <w:basedOn w:val="DefaultParagraphFont"/>
    <w:rsid w:val="00A37DE4"/>
  </w:style>
  <w:style w:type="character" w:styleId="CommentReference">
    <w:name w:val="annotation reference"/>
    <w:basedOn w:val="DefaultParagraphFont"/>
    <w:unhideWhenUsed/>
    <w:rsid w:val="00A37DE4"/>
    <w:rPr>
      <w:sz w:val="16"/>
      <w:szCs w:val="16"/>
    </w:rPr>
  </w:style>
  <w:style w:type="paragraph" w:customStyle="1" w:styleId="Parasts1">
    <w:name w:val="Parasts1"/>
    <w:rsid w:val="00A37DE4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A37DE4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A37DE4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A37DE4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A37DE4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A37DE4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A37DE4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37DE4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37DE4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37DE4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A37DE4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7DE4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A37DE4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A37DE4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7DE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7DE4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A37DE4"/>
  </w:style>
  <w:style w:type="character" w:customStyle="1" w:styleId="fn">
    <w:name w:val="fn"/>
    <w:basedOn w:val="DefaultParagraphFont"/>
    <w:rsid w:val="00A37DE4"/>
  </w:style>
  <w:style w:type="character" w:customStyle="1" w:styleId="Subtitle1">
    <w:name w:val="Subtitle1"/>
    <w:basedOn w:val="DefaultParagraphFont"/>
    <w:rsid w:val="00A37DE4"/>
  </w:style>
  <w:style w:type="character" w:styleId="PlaceholderText">
    <w:name w:val="Placeholder Text"/>
    <w:basedOn w:val="DefaultParagraphFont"/>
    <w:uiPriority w:val="99"/>
    <w:semiHidden/>
    <w:rsid w:val="00A37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DE4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D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D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D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DE4"/>
    <w:rPr>
      <w:rFonts w:asciiTheme="majorHAnsi" w:eastAsiaTheme="majorEastAsia" w:hAnsiTheme="majorHAnsi" w:cstheme="majorBidi"/>
      <w:bCs/>
      <w:iCs/>
      <w:color w:val="365F91" w:themeColor="accent1" w:themeShade="BF"/>
      <w:sz w:val="32"/>
      <w:szCs w:val="32"/>
      <w:shd w:val="clear" w:color="auto" w:fill="FFFFFF" w:themeFill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A37DE4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DE4"/>
    <w:rPr>
      <w:rFonts w:asciiTheme="majorHAnsi" w:eastAsiaTheme="majorEastAsia" w:hAnsiTheme="majorHAnsi" w:cstheme="majorBidi"/>
      <w:bCs/>
      <w:iCs/>
      <w:color w:val="243F60" w:themeColor="accent1" w:themeShade="7F"/>
      <w:szCs w:val="24"/>
      <w:shd w:val="clear" w:color="auto" w:fill="FFFFFF" w:themeFill="background1"/>
    </w:rPr>
  </w:style>
  <w:style w:type="character" w:styleId="Hyperlink">
    <w:name w:val="Hyperlink"/>
    <w:uiPriority w:val="99"/>
    <w:unhideWhenUsed/>
    <w:rsid w:val="00A37DE4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37DE4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37DE4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37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,Saraksta rindkopa1"/>
    <w:basedOn w:val="Normal"/>
    <w:link w:val="ListParagraphChar"/>
    <w:autoRedefine/>
    <w:qFormat/>
    <w:rsid w:val="00A37DE4"/>
    <w:pPr>
      <w:numPr>
        <w:numId w:val="2"/>
      </w:numPr>
      <w:shd w:val="clear" w:color="auto" w:fill="auto"/>
      <w:tabs>
        <w:tab w:val="left" w:pos="460"/>
      </w:tabs>
      <w:autoSpaceDE/>
      <w:autoSpaceDN/>
      <w:adjustRightInd/>
      <w:ind w:left="170" w:hanging="170"/>
    </w:pPr>
    <w:rPr>
      <w:rFonts w:eastAsiaTheme="minorHAnsi"/>
      <w:bCs w:val="0"/>
      <w:iCs w:val="0"/>
      <w:szCs w:val="22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37DE4"/>
    <w:rPr>
      <w:rFonts w:ascii="Times New Roman" w:hAnsi="Times New Roman" w:cs="Times New Roman"/>
    </w:rPr>
  </w:style>
  <w:style w:type="paragraph" w:customStyle="1" w:styleId="Default">
    <w:name w:val="Default"/>
    <w:rsid w:val="00A37D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A37DE4"/>
    <w:pPr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37DE4"/>
    <w:rPr>
      <w:shd w:val="clear" w:color="auto" w:fill="FFFFFF" w:themeFill="background1"/>
    </w:rPr>
  </w:style>
  <w:style w:type="character" w:customStyle="1" w:styleId="reference-text">
    <w:name w:val="reference-text"/>
    <w:basedOn w:val="DefaultParagraphFont"/>
    <w:rsid w:val="00A37DE4"/>
  </w:style>
  <w:style w:type="character" w:styleId="HTMLCite">
    <w:name w:val="HTML Cite"/>
    <w:uiPriority w:val="99"/>
    <w:semiHidden/>
    <w:unhideWhenUsed/>
    <w:rsid w:val="00A37DE4"/>
    <w:rPr>
      <w:i/>
      <w:iCs/>
    </w:rPr>
  </w:style>
  <w:style w:type="character" w:customStyle="1" w:styleId="st">
    <w:name w:val="st"/>
    <w:basedOn w:val="DefaultParagraphFont"/>
    <w:rsid w:val="00A37DE4"/>
  </w:style>
  <w:style w:type="character" w:styleId="Emphasis">
    <w:name w:val="Emphasis"/>
    <w:basedOn w:val="DefaultParagraphFont"/>
    <w:uiPriority w:val="20"/>
    <w:qFormat/>
    <w:rsid w:val="00A37DE4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A37DE4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A37DE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DefaultParagraphFont"/>
    <w:rsid w:val="00A37DE4"/>
  </w:style>
  <w:style w:type="character" w:customStyle="1" w:styleId="content">
    <w:name w:val="content"/>
    <w:rsid w:val="00A37DE4"/>
  </w:style>
  <w:style w:type="table" w:customStyle="1" w:styleId="TableGrid1">
    <w:name w:val="Table Grid1"/>
    <w:basedOn w:val="TableNormal"/>
    <w:next w:val="TableGrid"/>
    <w:uiPriority w:val="59"/>
    <w:rsid w:val="00A37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daasvirsrakstsarnumuru">
    <w:name w:val="nodaļas virsraksts ar numuru"/>
    <w:basedOn w:val="Heading1"/>
    <w:rsid w:val="00A37DE4"/>
    <w:pPr>
      <w:keepNext w:val="0"/>
      <w:keepLines w:val="0"/>
      <w:pageBreakBefore/>
      <w:numPr>
        <w:numId w:val="1"/>
      </w:numPr>
      <w:tabs>
        <w:tab w:val="clear" w:pos="360"/>
      </w:tabs>
      <w:autoSpaceDE/>
      <w:autoSpaceDN/>
      <w:adjustRightInd/>
      <w:spacing w:after="240"/>
      <w:ind w:left="357" w:hanging="357"/>
      <w:jc w:val="center"/>
    </w:pPr>
    <w:rPr>
      <w:rFonts w:ascii="Times New Roman" w:eastAsia="Times New Roman" w:hAnsi="Times New Roman" w:cs="Times New Roman"/>
      <w:b/>
      <w:bCs w:val="0"/>
      <w:iCs w:val="0"/>
      <w:caps/>
      <w:color w:val="auto"/>
      <w:sz w:val="28"/>
      <w:szCs w:val="20"/>
    </w:rPr>
  </w:style>
  <w:style w:type="paragraph" w:customStyle="1" w:styleId="apaknodaa1">
    <w:name w:val="apakšnodaļa 1"/>
    <w:basedOn w:val="Heading2"/>
    <w:rsid w:val="00A37DE4"/>
    <w:pPr>
      <w:keepLines w:val="0"/>
      <w:numPr>
        <w:ilvl w:val="1"/>
        <w:numId w:val="1"/>
      </w:numPr>
      <w:tabs>
        <w:tab w:val="clear" w:pos="3913"/>
        <w:tab w:val="num" w:pos="360"/>
      </w:tabs>
      <w:autoSpaceDE/>
      <w:autoSpaceDN/>
      <w:adjustRightInd/>
      <w:spacing w:before="240" w:after="120"/>
      <w:ind w:left="0" w:firstLine="0"/>
      <w:jc w:val="center"/>
    </w:pPr>
    <w:rPr>
      <w:rFonts w:ascii="Times New Roman" w:eastAsia="Times New Roman" w:hAnsi="Times New Roman" w:cs="Times New Roman"/>
      <w:b/>
      <w:bCs w:val="0"/>
      <w:iCs w:val="0"/>
      <w:color w:val="auto"/>
      <w:sz w:val="28"/>
      <w:szCs w:val="20"/>
    </w:rPr>
  </w:style>
  <w:style w:type="paragraph" w:customStyle="1" w:styleId="apaknodaa2">
    <w:name w:val="apakšnodaļa2"/>
    <w:basedOn w:val="Heading3"/>
    <w:rsid w:val="00A37DE4"/>
    <w:pPr>
      <w:keepLines w:val="0"/>
      <w:autoSpaceDE/>
      <w:autoSpaceDN/>
      <w:adjustRightInd/>
      <w:spacing w:before="120" w:after="120"/>
      <w:jc w:val="center"/>
    </w:pPr>
    <w:rPr>
      <w:rFonts w:ascii="Times New Roman" w:eastAsia="Times New Roman" w:hAnsi="Times New Roman" w:cs="Times New Roman"/>
      <w:b/>
      <w:bCs w:val="0"/>
      <w:i/>
      <w:iCs w:val="0"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A37DE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37DE4"/>
    <w:rPr>
      <w:shd w:val="clear" w:color="auto" w:fill="FFFFFF" w:themeFill="background1"/>
    </w:rPr>
  </w:style>
  <w:style w:type="paragraph" w:styleId="Footer">
    <w:name w:val="footer"/>
    <w:aliases w:val=" Rakstz.,Rakstz."/>
    <w:basedOn w:val="Normal"/>
    <w:link w:val="FooterChar"/>
    <w:unhideWhenUsed/>
    <w:rsid w:val="00A37DE4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FooterChar">
    <w:name w:val="Footer Char"/>
    <w:aliases w:val=" Rakstz. Char,Rakstz. Char"/>
    <w:basedOn w:val="DefaultParagraphFont"/>
    <w:link w:val="Footer"/>
    <w:rsid w:val="00A37DE4"/>
    <w:rPr>
      <w:shd w:val="clear" w:color="auto" w:fill="FFFFFF" w:themeFill="background1"/>
    </w:rPr>
  </w:style>
  <w:style w:type="character" w:styleId="Strong">
    <w:name w:val="Strong"/>
    <w:basedOn w:val="DefaultParagraphFont"/>
    <w:uiPriority w:val="22"/>
    <w:qFormat/>
    <w:rsid w:val="00A37DE4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DE4"/>
    <w:rPr>
      <w:rFonts w:ascii="Tahoma" w:hAnsi="Tahoma" w:cs="Tahoma"/>
      <w:sz w:val="16"/>
      <w:szCs w:val="16"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DE4"/>
    <w:pPr>
      <w:autoSpaceDE/>
      <w:autoSpaceDN/>
      <w:adjustRightInd/>
    </w:pPr>
    <w:rPr>
      <w:rFonts w:ascii="Tahoma" w:eastAsiaTheme="minorHAnsi" w:hAnsi="Tahoma" w:cs="Tahoma"/>
      <w:bCs w:val="0"/>
      <w:iCs w:val="0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A37DE4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  <w:style w:type="paragraph" w:styleId="PlainText">
    <w:name w:val="Plain Text"/>
    <w:basedOn w:val="Normal"/>
    <w:link w:val="PlainTextChar"/>
    <w:uiPriority w:val="99"/>
    <w:rsid w:val="00A37DE4"/>
    <w:pPr>
      <w:autoSpaceDE/>
      <w:autoSpaceDN/>
      <w:adjustRightInd/>
    </w:pPr>
    <w:rPr>
      <w:rFonts w:ascii="Calibri" w:hAnsi="Calibri" w:cs="Arial"/>
      <w:bCs w:val="0"/>
      <w:iCs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DE4"/>
    <w:rPr>
      <w:rFonts w:ascii="Calibri" w:eastAsia="Calibri" w:hAnsi="Calibri" w:cs="Arial"/>
      <w:szCs w:val="21"/>
      <w:shd w:val="clear" w:color="auto" w:fill="FFFFFF" w:themeFill="background1"/>
    </w:rPr>
  </w:style>
  <w:style w:type="character" w:customStyle="1" w:styleId="svno">
    <w:name w:val="sv_no"/>
    <w:uiPriority w:val="99"/>
    <w:rsid w:val="00A37DE4"/>
    <w:rPr>
      <w:rFonts w:cs="Times New Roman"/>
    </w:rPr>
  </w:style>
  <w:style w:type="paragraph" w:customStyle="1" w:styleId="tv213">
    <w:name w:val="tv213"/>
    <w:basedOn w:val="Normal"/>
    <w:rsid w:val="00A37DE4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customStyle="1" w:styleId="labojumupamats">
    <w:name w:val="labojumu_pamats"/>
    <w:basedOn w:val="Normal"/>
    <w:rsid w:val="00A37DE4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GB" w:eastAsia="en-GB"/>
    </w:rPr>
  </w:style>
  <w:style w:type="paragraph" w:styleId="BodyText3">
    <w:name w:val="Body Text 3"/>
    <w:basedOn w:val="Normal"/>
    <w:link w:val="BodyText3Char"/>
    <w:rsid w:val="00A37DE4"/>
    <w:pPr>
      <w:autoSpaceDE/>
      <w:autoSpaceDN/>
      <w:adjustRightInd/>
      <w:jc w:val="both"/>
    </w:pPr>
    <w:rPr>
      <w:rFonts w:eastAsia="Times New Roman"/>
      <w:bCs w:val="0"/>
      <w:iCs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A37DE4"/>
    <w:rPr>
      <w:rFonts w:ascii="Times New Roman" w:eastAsia="Times New Roman" w:hAnsi="Times New Roman" w:cs="Times New Roman"/>
      <w:sz w:val="28"/>
      <w:szCs w:val="20"/>
      <w:shd w:val="clear" w:color="auto" w:fill="FFFFFF" w:themeFill="background1"/>
    </w:rPr>
  </w:style>
  <w:style w:type="character" w:customStyle="1" w:styleId="a-size-large">
    <w:name w:val="a-size-large"/>
    <w:basedOn w:val="DefaultParagraphFont"/>
    <w:rsid w:val="00A37DE4"/>
  </w:style>
  <w:style w:type="character" w:customStyle="1" w:styleId="apple-converted-space">
    <w:name w:val="apple-converted-space"/>
    <w:basedOn w:val="DefaultParagraphFont"/>
    <w:rsid w:val="00A37DE4"/>
  </w:style>
  <w:style w:type="character" w:customStyle="1" w:styleId="Nosaukums1">
    <w:name w:val="Nosaukums1"/>
    <w:basedOn w:val="DefaultParagraphFont"/>
    <w:rsid w:val="00A37DE4"/>
  </w:style>
  <w:style w:type="paragraph" w:styleId="CommentText">
    <w:name w:val="annotation text"/>
    <w:basedOn w:val="Normal"/>
    <w:link w:val="CommentTextChar"/>
    <w:uiPriority w:val="99"/>
    <w:semiHidden/>
    <w:unhideWhenUsed/>
    <w:rsid w:val="00A37DE4"/>
    <w:pPr>
      <w:autoSpaceDE/>
      <w:autoSpaceDN/>
      <w:adjustRightInd/>
      <w:spacing w:after="200"/>
    </w:pPr>
    <w:rPr>
      <w:rFonts w:asciiTheme="minorHAnsi" w:eastAsiaTheme="minorHAnsi" w:hAnsiTheme="minorHAnsi" w:cstheme="minorBidi"/>
      <w:bCs w:val="0"/>
      <w:i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DE4"/>
    <w:rPr>
      <w:sz w:val="20"/>
      <w:szCs w:val="20"/>
      <w:shd w:val="clear" w:color="auto" w:fill="FFFFFF" w:themeFill="background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DE4"/>
    <w:rPr>
      <w:b/>
      <w:iCs/>
      <w:sz w:val="20"/>
      <w:szCs w:val="20"/>
      <w:shd w:val="clear" w:color="auto" w:fill="FFFFFF" w:themeFill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DE4"/>
    <w:rPr>
      <w:b/>
      <w:iCs/>
    </w:rPr>
  </w:style>
  <w:style w:type="character" w:customStyle="1" w:styleId="CommentSubjectChar1">
    <w:name w:val="Comment Subject Char1"/>
    <w:basedOn w:val="CommentTextChar"/>
    <w:uiPriority w:val="99"/>
    <w:semiHidden/>
    <w:rsid w:val="00A37DE4"/>
    <w:rPr>
      <w:b/>
      <w:sz w:val="20"/>
      <w:szCs w:val="20"/>
      <w:shd w:val="clear" w:color="auto" w:fill="FFFFFF" w:themeFill="background1"/>
    </w:rPr>
  </w:style>
  <w:style w:type="numbering" w:customStyle="1" w:styleId="NoList1">
    <w:name w:val="No List1"/>
    <w:next w:val="NoList"/>
    <w:uiPriority w:val="99"/>
    <w:semiHidden/>
    <w:unhideWhenUsed/>
    <w:rsid w:val="00A37DE4"/>
  </w:style>
  <w:style w:type="character" w:customStyle="1" w:styleId="Title1">
    <w:name w:val="Title1"/>
    <w:basedOn w:val="DefaultParagraphFont"/>
    <w:rsid w:val="00A37DE4"/>
  </w:style>
  <w:style w:type="character" w:styleId="CommentReference">
    <w:name w:val="annotation reference"/>
    <w:basedOn w:val="DefaultParagraphFont"/>
    <w:unhideWhenUsed/>
    <w:rsid w:val="00A37DE4"/>
    <w:rPr>
      <w:sz w:val="16"/>
      <w:szCs w:val="16"/>
    </w:rPr>
  </w:style>
  <w:style w:type="paragraph" w:customStyle="1" w:styleId="Parasts1">
    <w:name w:val="Parasts1"/>
    <w:rsid w:val="00A37DE4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Pamattekstaatkpe3">
    <w:name w:val="Pamatteksta atkāpe 3"/>
    <w:basedOn w:val="Normal"/>
    <w:rsid w:val="00A37DE4"/>
    <w:pPr>
      <w:widowControl w:val="0"/>
      <w:suppressAutoHyphens/>
      <w:autoSpaceDE/>
      <w:autoSpaceDN/>
      <w:adjustRightInd/>
      <w:spacing w:after="120"/>
      <w:ind w:left="283"/>
    </w:pPr>
    <w:rPr>
      <w:rFonts w:eastAsia="DejaVu Sans" w:cs="Lohit Hindi"/>
      <w:bCs w:val="0"/>
      <w:iCs w:val="0"/>
      <w:kern w:val="1"/>
      <w:sz w:val="16"/>
      <w:szCs w:val="16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A37DE4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A37DE4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6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88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10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32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54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A37DE4"/>
    <w:pPr>
      <w:autoSpaceDE/>
      <w:autoSpaceDN/>
      <w:adjustRightInd/>
      <w:spacing w:after="100" w:line="276" w:lineRule="auto"/>
      <w:ind w:left="1760"/>
    </w:pPr>
    <w:rPr>
      <w:rFonts w:asciiTheme="minorHAnsi" w:eastAsiaTheme="minorEastAsia" w:hAnsiTheme="minorHAnsi" w:cstheme="minorBidi"/>
      <w:bCs w:val="0"/>
      <w:iCs w:val="0"/>
      <w:szCs w:val="22"/>
      <w:lang w:val="en-US"/>
    </w:rPr>
  </w:style>
  <w:style w:type="paragraph" w:customStyle="1" w:styleId="Style1">
    <w:name w:val="Style1"/>
    <w:basedOn w:val="Nosaukumi"/>
    <w:link w:val="Style1Char"/>
    <w:autoRedefine/>
    <w:qFormat/>
    <w:rsid w:val="00A37DE4"/>
    <w:pPr>
      <w:framePr w:wrap="around" w:hAnchor="text"/>
      <w:ind w:right="399"/>
    </w:pPr>
    <w:rPr>
      <w:sz w:val="24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A37DE4"/>
    <w:pPr>
      <w:autoSpaceDE/>
      <w:autoSpaceDN/>
      <w:adjustRightInd/>
      <w:spacing w:line="259" w:lineRule="auto"/>
      <w:outlineLvl w:val="9"/>
    </w:pPr>
    <w:rPr>
      <w:bCs w:val="0"/>
      <w:iCs w:val="0"/>
      <w:lang w:val="en-US"/>
    </w:rPr>
  </w:style>
  <w:style w:type="character" w:customStyle="1" w:styleId="NosaukumiChar">
    <w:name w:val="Nosaukumi Char"/>
    <w:basedOn w:val="DefaultParagraphFont"/>
    <w:link w:val="Nosaukumi"/>
    <w:rsid w:val="00A37DE4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37DE4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37DE4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37DE4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character" w:styleId="SubtleReference">
    <w:name w:val="Subtle Reference"/>
    <w:basedOn w:val="DefaultParagraphFont"/>
    <w:uiPriority w:val="31"/>
    <w:qFormat/>
    <w:rsid w:val="00A37DE4"/>
    <w:rPr>
      <w:smallCaps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7DE4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A37DE4"/>
    <w:pPr>
      <w:shd w:val="clear" w:color="auto" w:fill="auto"/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en-US"/>
    </w:rPr>
  </w:style>
  <w:style w:type="character" w:customStyle="1" w:styleId="FooterChar1">
    <w:name w:val="Footer Char1"/>
    <w:aliases w:val="Rakstz. Char1"/>
    <w:basedOn w:val="DefaultParagraphFont"/>
    <w:uiPriority w:val="99"/>
    <w:semiHidden/>
    <w:rsid w:val="00A37DE4"/>
    <w:rPr>
      <w:rFonts w:ascii="Times New Roman" w:eastAsia="Calibri" w:hAnsi="Times New Roman" w:cs="Times New Roman"/>
      <w:bCs/>
      <w:iCs/>
      <w:sz w:val="24"/>
      <w:szCs w:val="24"/>
      <w:shd w:val="clear" w:color="auto" w:fill="FFFFFF" w:themeFill="background1"/>
      <w:lang w:val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7DE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7DE4"/>
    <w:pPr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customStyle="1" w:styleId="a-size-extra-large">
    <w:name w:val="a-size-extra-large"/>
    <w:basedOn w:val="DefaultParagraphFont"/>
    <w:rsid w:val="00A37DE4"/>
  </w:style>
  <w:style w:type="character" w:customStyle="1" w:styleId="fn">
    <w:name w:val="fn"/>
    <w:basedOn w:val="DefaultParagraphFont"/>
    <w:rsid w:val="00A37DE4"/>
  </w:style>
  <w:style w:type="character" w:customStyle="1" w:styleId="Subtitle1">
    <w:name w:val="Subtitle1"/>
    <w:basedOn w:val="DefaultParagraphFont"/>
    <w:rsid w:val="00A37DE4"/>
  </w:style>
  <w:style w:type="character" w:styleId="PlaceholderText">
    <w:name w:val="Placeholder Text"/>
    <w:basedOn w:val="DefaultParagraphFont"/>
    <w:uiPriority w:val="99"/>
    <w:semiHidden/>
    <w:rsid w:val="00A37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arlymusic.info/Performer.php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hyperlink" Target="https://www.cambridge.org/core/journals/british&#8211;journal&#8211;of&#8211;music&#8211;educatio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rvivorlibrary.com/library/instruments_in_the_history_of_western_music_1978.pdf/" TargetMode="External"/><Relationship Id="rId11" Type="http://schemas.openxmlformats.org/officeDocument/2006/relationships/hyperlink" Target="https://journals.sagepub.com/doi/abs/10.1177/0022429415583474?journalCode=jrm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ournals.sagepub.com/doi/abs/10.1177/0022429415583474?journalCode=jrm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urnals.sagepub.com/home/ijm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49073ECA034269945F91FB33BDA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F5F6C-BEDF-45B0-A8F7-9DB3B7FB4F94}"/>
      </w:docPartPr>
      <w:docPartBody>
        <w:p w:rsidR="00BF205F" w:rsidRDefault="00A052CA" w:rsidP="00A052CA">
          <w:pPr>
            <w:pStyle w:val="C749073ECA034269945F91FB33BDA88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CA"/>
    <w:rsid w:val="00194ECB"/>
    <w:rsid w:val="009A28C9"/>
    <w:rsid w:val="00A052CA"/>
    <w:rsid w:val="00B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52CA"/>
    <w:rPr>
      <w:color w:val="808080"/>
    </w:rPr>
  </w:style>
  <w:style w:type="paragraph" w:customStyle="1" w:styleId="462DCF6C54114AA5929B191A69EE0134">
    <w:name w:val="462DCF6C54114AA5929B191A69EE0134"/>
    <w:rsid w:val="00A052CA"/>
  </w:style>
  <w:style w:type="paragraph" w:customStyle="1" w:styleId="C749073ECA034269945F91FB33BDA888">
    <w:name w:val="C749073ECA034269945F91FB33BDA888"/>
    <w:rsid w:val="00A052CA"/>
  </w:style>
  <w:style w:type="paragraph" w:customStyle="1" w:styleId="5E4B0ECBB60C4457AF0B50CFC78D5017">
    <w:name w:val="5E4B0ECBB60C4457AF0B50CFC78D5017"/>
    <w:rsid w:val="00A052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52CA"/>
    <w:rPr>
      <w:color w:val="808080"/>
    </w:rPr>
  </w:style>
  <w:style w:type="paragraph" w:customStyle="1" w:styleId="462DCF6C54114AA5929B191A69EE0134">
    <w:name w:val="462DCF6C54114AA5929B191A69EE0134"/>
    <w:rsid w:val="00A052CA"/>
  </w:style>
  <w:style w:type="paragraph" w:customStyle="1" w:styleId="C749073ECA034269945F91FB33BDA888">
    <w:name w:val="C749073ECA034269945F91FB33BDA888"/>
    <w:rsid w:val="00A052CA"/>
  </w:style>
  <w:style w:type="paragraph" w:customStyle="1" w:styleId="5E4B0ECBB60C4457AF0B50CFC78D5017">
    <w:name w:val="5E4B0ECBB60C4457AF0B50CFC78D5017"/>
    <w:rsid w:val="00A05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7595</Words>
  <Characters>4330</Characters>
  <Application>Microsoft Office Word</Application>
  <DocSecurity>0</DocSecurity>
  <Lines>36</Lines>
  <Paragraphs>23</Paragraphs>
  <ScaleCrop>false</ScaleCrop>
  <Company/>
  <LinksUpToDate>false</LinksUpToDate>
  <CharactersWithSpaces>11902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2023-07-13T08:35:00Z</dcterms:created>
  <dcterms:modified xsi:type="dcterms:W3CDTF">2023-07-13T08:39:00Z</dcterms:modified>
</cp:coreProperties>
</file>