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63C" w:rsidRPr="00ED18EB" w:rsidRDefault="00D6763C" w:rsidP="00D6763C">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D6763C" w:rsidRPr="00ED18EB" w:rsidRDefault="00D6763C" w:rsidP="00D6763C">
      <w:pPr>
        <w:jc w:val="center"/>
        <w:rPr>
          <w:b/>
          <w:sz w:val="32"/>
          <w:szCs w:val="32"/>
          <w:lang w:val="de-DE"/>
        </w:rPr>
      </w:pPr>
      <w:r w:rsidRPr="00ED18EB">
        <w:rPr>
          <w:b/>
          <w:sz w:val="32"/>
          <w:szCs w:val="32"/>
        </w:rPr>
        <w:t>STUDIJU KURSA APRAKSTS</w:t>
      </w:r>
    </w:p>
    <w:p w:rsidR="00D6763C" w:rsidRPr="00ED18EB" w:rsidRDefault="00D6763C" w:rsidP="00D6763C">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D6763C"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D6763C" w:rsidRPr="00ED18EB" w:rsidRDefault="00D6763C" w:rsidP="0078692D">
            <w:pPr>
              <w:pStyle w:val="Style1"/>
              <w:framePr w:wrap="around"/>
            </w:pPr>
            <w:bookmarkStart w:id="0" w:name="_Toc103779995"/>
            <w:bookmarkStart w:id="1" w:name="_GoBack"/>
            <w:r w:rsidRPr="00ED18EB">
              <w:t>Pūšaminstrumenta spēle (trompete) VI</w:t>
            </w:r>
            <w:bookmarkEnd w:id="0"/>
            <w:bookmarkEnd w:id="1"/>
          </w:p>
        </w:tc>
      </w:tr>
      <w:tr w:rsidR="00D6763C"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D6763C" w:rsidRPr="00ED18EB" w:rsidRDefault="00D6763C" w:rsidP="0078692D">
            <w:pPr>
              <w:shd w:val="clear" w:color="auto" w:fill="auto"/>
              <w:rPr>
                <w:lang w:eastAsia="lv-LV"/>
              </w:rPr>
            </w:pPr>
            <w:r w:rsidRPr="00ED18EB">
              <w:rPr>
                <w:lang w:eastAsia="lv-LV"/>
              </w:rPr>
              <w:t>MākZ3552</w:t>
            </w:r>
          </w:p>
        </w:tc>
      </w:tr>
      <w:tr w:rsidR="00D6763C"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t>Zinātnes nozare</w:t>
            </w:r>
          </w:p>
        </w:tc>
        <w:sdt>
          <w:sdtPr>
            <w:rPr>
              <w:b/>
              <w:vanish/>
            </w:rPr>
            <w:id w:val="-1285886121"/>
            <w:placeholder>
              <w:docPart w:val="490E73CF3A704AEBB2C9A46FE2CF52F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shd w:val="clear" w:color="auto" w:fill="auto"/>
                  <w:rPr>
                    <w:b/>
                    <w:vanish/>
                  </w:rPr>
                </w:pPr>
                <w:r w:rsidRPr="00ED18EB">
                  <w:rPr>
                    <w:b/>
                    <w:vanish/>
                  </w:rPr>
                  <w:t>Mākslas zinātne</w:t>
                </w:r>
              </w:p>
            </w:tc>
          </w:sdtContent>
        </w:sdt>
      </w:tr>
      <w:tr w:rsidR="00D6763C"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shd w:val="clear" w:color="auto" w:fill="auto"/>
              <w:rPr>
                <w:lang w:eastAsia="lv-LV"/>
              </w:rPr>
            </w:pPr>
            <w:r w:rsidRPr="00ED18EB">
              <w:t>3.</w:t>
            </w:r>
          </w:p>
        </w:tc>
      </w:tr>
      <w:tr w:rsidR="00D6763C"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D6763C" w:rsidRPr="00ED18EB" w:rsidRDefault="00D6763C" w:rsidP="0078692D">
            <w:pPr>
              <w:shd w:val="clear" w:color="auto" w:fill="auto"/>
              <w:rPr>
                <w:lang w:eastAsia="lv-LV"/>
              </w:rPr>
            </w:pPr>
            <w:r w:rsidRPr="00ED18EB">
              <w:t>3</w:t>
            </w:r>
          </w:p>
        </w:tc>
      </w:tr>
      <w:tr w:rsidR="00D6763C"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shd w:val="clear" w:color="auto" w:fill="auto"/>
            </w:pPr>
            <w:r w:rsidRPr="00ED18EB">
              <w:t>4.5</w:t>
            </w:r>
          </w:p>
        </w:tc>
      </w:tr>
      <w:tr w:rsidR="00D6763C"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D6763C" w:rsidRPr="00ED18EB" w:rsidRDefault="00D6763C"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D6763C"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shd w:val="clear" w:color="auto" w:fill="auto"/>
            </w:pPr>
            <w:r w:rsidRPr="00ED18EB">
              <w:t>–</w:t>
            </w:r>
          </w:p>
        </w:tc>
      </w:tr>
      <w:tr w:rsidR="00D6763C"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shd w:val="clear" w:color="auto" w:fill="auto"/>
            </w:pPr>
            <w:r w:rsidRPr="00ED18EB">
              <w:t>–</w:t>
            </w:r>
          </w:p>
        </w:tc>
      </w:tr>
      <w:tr w:rsidR="00D6763C"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shd w:val="clear" w:color="auto" w:fill="auto"/>
            </w:pPr>
            <w:r w:rsidRPr="00ED18EB">
              <w:t>–</w:t>
            </w:r>
          </w:p>
        </w:tc>
      </w:tr>
      <w:tr w:rsidR="00D6763C"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shd w:val="clear" w:color="auto" w:fill="auto"/>
            </w:pPr>
            <w:r w:rsidRPr="00ED18EB">
              <w:t>36 (uz katru studējošo)</w:t>
            </w:r>
          </w:p>
        </w:tc>
      </w:tr>
      <w:tr w:rsidR="00D6763C"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D6763C" w:rsidRPr="00ED18EB" w:rsidRDefault="00D6763C"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rPr>
                <w:lang w:eastAsia="lv-LV"/>
              </w:rPr>
            </w:pP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t>Kursa autors(–i)</w:t>
            </w: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pPr>
            <w:r w:rsidRPr="00ED18EB">
              <w:t>Dr.art., viesprofesors Rytis Urniežius</w:t>
            </w:r>
          </w:p>
          <w:p w:rsidR="00D6763C" w:rsidRPr="00ED18EB" w:rsidRDefault="00D6763C" w:rsidP="0078692D">
            <w:pPr>
              <w:shd w:val="clear" w:color="auto" w:fill="auto"/>
            </w:pP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t>Kursa docētājs(–i)</w:t>
            </w: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pPr>
            <w:r w:rsidRPr="00ED18EB">
              <w:t>Dr.art., viesprofesors Rišards Kšištofs Žoledzevskis</w:t>
            </w:r>
          </w:p>
          <w:p w:rsidR="00D6763C" w:rsidRPr="00ED18EB" w:rsidRDefault="00D6763C" w:rsidP="0078692D">
            <w:pPr>
              <w:shd w:val="clear" w:color="auto" w:fill="auto"/>
            </w:pPr>
            <w:r w:rsidRPr="00ED18EB">
              <w:t>Mg.art., docents Vasilijs Šušerts</w:t>
            </w:r>
          </w:p>
          <w:p w:rsidR="00D6763C" w:rsidRPr="00ED18EB" w:rsidRDefault="00D6763C" w:rsidP="0078692D">
            <w:pPr>
              <w:shd w:val="clear" w:color="auto" w:fill="auto"/>
            </w:pPr>
            <w:r w:rsidRPr="00ED18EB">
              <w:t>Mg.art., viesasistents Ruslans Margevičs</w:t>
            </w:r>
          </w:p>
          <w:p w:rsidR="00D6763C" w:rsidRPr="00ED18EB" w:rsidRDefault="00D6763C" w:rsidP="0078692D">
            <w:pPr>
              <w:shd w:val="clear" w:color="auto" w:fill="auto"/>
            </w:pPr>
            <w:r w:rsidRPr="00ED18EB">
              <w:t>Mg.art., docents Dainis Vuškāns</w:t>
            </w:r>
          </w:p>
          <w:p w:rsidR="00D6763C" w:rsidRPr="00ED18EB" w:rsidRDefault="00D6763C" w:rsidP="0078692D">
            <w:pPr>
              <w:shd w:val="clear" w:color="auto" w:fill="auto"/>
            </w:pP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t>Priekšzināšanas</w:t>
            </w: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pPr>
            <w:r w:rsidRPr="00ED18EB">
              <w:t>MākZ1593 Pūšaminstrumenta spēle (trompete) I</w:t>
            </w:r>
          </w:p>
          <w:p w:rsidR="00D6763C" w:rsidRPr="00ED18EB" w:rsidRDefault="00D6763C" w:rsidP="0078692D">
            <w:pPr>
              <w:shd w:val="clear" w:color="auto" w:fill="auto"/>
            </w:pPr>
            <w:r w:rsidRPr="00ED18EB">
              <w:t>MākZ1594 Pūšaminstrumenta spēle (trompete) II</w:t>
            </w:r>
          </w:p>
          <w:p w:rsidR="00D6763C" w:rsidRPr="00ED18EB" w:rsidRDefault="00D6763C" w:rsidP="0078692D">
            <w:pPr>
              <w:shd w:val="clear" w:color="auto" w:fill="auto"/>
            </w:pPr>
            <w:r w:rsidRPr="00ED18EB">
              <w:t>MākZ2644 Pūšaminstrumenta spēle (trompete) III</w:t>
            </w:r>
          </w:p>
          <w:p w:rsidR="00D6763C" w:rsidRPr="00ED18EB" w:rsidRDefault="00D6763C" w:rsidP="0078692D">
            <w:pPr>
              <w:shd w:val="clear" w:color="auto" w:fill="auto"/>
            </w:pPr>
            <w:r w:rsidRPr="00ED18EB">
              <w:t>MākZ2645 Pūšaminstrumenta spēle (trompete) IV</w:t>
            </w:r>
          </w:p>
          <w:p w:rsidR="00D6763C" w:rsidRPr="00ED18EB" w:rsidRDefault="00D6763C" w:rsidP="0078692D">
            <w:pPr>
              <w:shd w:val="clear" w:color="auto" w:fill="auto"/>
            </w:pPr>
            <w:r w:rsidRPr="00ED18EB">
              <w:t>MākZ3506 Pūšaminstrumenta spēle (trompete) V</w:t>
            </w:r>
          </w:p>
          <w:p w:rsidR="00D6763C" w:rsidRPr="00ED18EB" w:rsidRDefault="00D6763C" w:rsidP="0078692D">
            <w:pPr>
              <w:shd w:val="clear" w:color="auto" w:fill="auto"/>
            </w:pP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t xml:space="preserve">Studiju kursa anotācija </w:t>
            </w: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atbilstošā pūšaminstrumenta spēles</w:t>
            </w:r>
            <w:r w:rsidRPr="00ED18EB">
              <w:t xml:space="preserve"> moduļa “Pūšaminstrumenta spēle (trompete)” studējošajiem.</w:t>
            </w:r>
          </w:p>
          <w:p w:rsidR="00D6763C" w:rsidRPr="00ED18EB" w:rsidRDefault="00D6763C" w:rsidP="0078692D">
            <w:pPr>
              <w:shd w:val="clear" w:color="auto" w:fill="auto"/>
            </w:pPr>
          </w:p>
          <w:p w:rsidR="00D6763C" w:rsidRPr="00ED18EB" w:rsidRDefault="00D6763C" w:rsidP="0078692D">
            <w:pPr>
              <w:shd w:val="clear" w:color="auto" w:fill="auto"/>
            </w:pPr>
            <w:r w:rsidRPr="00ED18EB">
              <w:t>KURSA MĒRĶIS – sagatavot profesionālu trompetistu, kurš spētu atskaņot dažādas sarežģītības skaņdarbus gan kā solists, gan ansamblī un orķestrī; veidot izglītotu mūziķi, kurš spēj novērtēt atskaņojuma interpretācijas tehnisko un māksliniecisko līmeni.</w:t>
            </w:r>
          </w:p>
          <w:p w:rsidR="00D6763C" w:rsidRPr="00ED18EB" w:rsidRDefault="00D6763C" w:rsidP="0078692D">
            <w:pPr>
              <w:shd w:val="clear" w:color="auto" w:fill="auto"/>
            </w:pPr>
            <w:r w:rsidRPr="00ED18EB">
              <w:t>KURSA UZDEVUMI – instrumenta spēles un māksliniecisko prasmju pilnveide un dažādu stilu repertuāra apguve.</w:t>
            </w:r>
          </w:p>
          <w:p w:rsidR="00D6763C" w:rsidRPr="00ED18EB" w:rsidRDefault="00D6763C" w:rsidP="0078692D">
            <w:pPr>
              <w:shd w:val="clear" w:color="auto" w:fill="auto"/>
            </w:pP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t>Studiju kursa kalendārais plāns</w:t>
            </w: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pPr>
            <w:r w:rsidRPr="00ED18EB">
              <w:t>VI semestris 3KP</w:t>
            </w:r>
          </w:p>
          <w:p w:rsidR="00D6763C" w:rsidRPr="00ED18EB" w:rsidRDefault="00D6763C" w:rsidP="0078692D">
            <w:pPr>
              <w:shd w:val="clear" w:color="auto" w:fill="auto"/>
            </w:pPr>
            <w:r w:rsidRPr="00ED18EB">
              <w:t>Kursa struktūra: individuālās praktiskās nodarbības (Ip) – 36 stundas (uz katru studējošo), patstāvīgais darbs (Pd) – 84 stundas.</w:t>
            </w:r>
          </w:p>
          <w:p w:rsidR="00D6763C" w:rsidRPr="00ED18EB" w:rsidRDefault="00D6763C" w:rsidP="0078692D">
            <w:pPr>
              <w:shd w:val="clear" w:color="auto" w:fill="auto"/>
            </w:pPr>
          </w:p>
          <w:p w:rsidR="00D6763C" w:rsidRPr="00ED18EB" w:rsidRDefault="00D6763C" w:rsidP="0078692D">
            <w:pPr>
              <w:shd w:val="clear" w:color="auto" w:fill="auto"/>
            </w:pPr>
            <w:r w:rsidRPr="00ED18EB">
              <w:t>Kontrolstunda.</w:t>
            </w:r>
          </w:p>
          <w:p w:rsidR="00D6763C" w:rsidRPr="00ED18EB" w:rsidRDefault="00D6763C" w:rsidP="0078692D">
            <w:pPr>
              <w:shd w:val="clear" w:color="auto" w:fill="auto"/>
            </w:pPr>
            <w:r w:rsidRPr="00ED18EB">
              <w:t>Akadēmiskais koncerts.</w:t>
            </w:r>
          </w:p>
          <w:p w:rsidR="00D6763C" w:rsidRPr="00ED18EB" w:rsidRDefault="00D6763C" w:rsidP="0078692D">
            <w:pPr>
              <w:shd w:val="clear" w:color="auto" w:fill="auto"/>
            </w:pPr>
            <w:r w:rsidRPr="00ED18EB">
              <w:t>Kolokvijs.</w:t>
            </w:r>
          </w:p>
          <w:p w:rsidR="00D6763C" w:rsidRPr="00ED18EB" w:rsidRDefault="00D6763C" w:rsidP="0078692D">
            <w:pPr>
              <w:shd w:val="clear" w:color="auto" w:fill="auto"/>
            </w:pPr>
            <w:r w:rsidRPr="00ED18EB">
              <w:t>Eksāmens.</w:t>
            </w:r>
          </w:p>
          <w:p w:rsidR="00D6763C" w:rsidRPr="00ED18EB" w:rsidRDefault="00D6763C" w:rsidP="0078692D">
            <w:pPr>
              <w:shd w:val="clear" w:color="auto" w:fill="auto"/>
            </w:pP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lastRenderedPageBreak/>
              <w:t>Studiju rezultāti</w:t>
            </w: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pPr>
            <w:r w:rsidRPr="00ED18EB">
              <w:t>ZINĀŠANAS</w:t>
            </w:r>
            <w:r w:rsidRPr="00ED18EB">
              <w:rPr>
                <w:lang w:eastAsia="ru-RU"/>
              </w:rPr>
              <w:t xml:space="preserve"> </w:t>
            </w:r>
          </w:p>
          <w:p w:rsidR="00D6763C" w:rsidRPr="00ED18EB" w:rsidRDefault="00D6763C" w:rsidP="0078692D">
            <w:pPr>
              <w:shd w:val="clear" w:color="auto" w:fill="auto"/>
            </w:pPr>
            <w:r w:rsidRPr="00ED18EB">
              <w:t>– visaptverošas zināšanas par pūšaminstrumentu (īpaši trompetes) tehnoloģiju un atskaņojuma specifiku;</w:t>
            </w:r>
          </w:p>
          <w:p w:rsidR="00D6763C" w:rsidRPr="00ED18EB" w:rsidRDefault="00D6763C" w:rsidP="0078692D">
            <w:pPr>
              <w:shd w:val="clear" w:color="auto" w:fill="auto"/>
            </w:pPr>
            <w:r w:rsidRPr="00ED18EB">
              <w:t>– trompetes koncertrepertuāra skaņdarbu pārzināšana;</w:t>
            </w:r>
          </w:p>
          <w:p w:rsidR="00D6763C" w:rsidRPr="00ED18EB" w:rsidRDefault="00D6763C" w:rsidP="0078692D">
            <w:pPr>
              <w:shd w:val="clear" w:color="auto" w:fill="auto"/>
            </w:pPr>
            <w:r w:rsidRPr="00ED18EB">
              <w:t>– zināšanas par dažādiem pūšaminstrumentu mūzikas stiliem un žanriem;</w:t>
            </w:r>
          </w:p>
          <w:p w:rsidR="00D6763C" w:rsidRPr="00ED18EB" w:rsidRDefault="00D6763C" w:rsidP="0078692D">
            <w:pPr>
              <w:shd w:val="clear" w:color="auto" w:fill="auto"/>
            </w:pPr>
            <w:r w:rsidRPr="00ED18EB">
              <w:t>– mūzikas formveides vispārīgo principu izpratne.</w:t>
            </w:r>
          </w:p>
          <w:p w:rsidR="00D6763C" w:rsidRPr="00ED18EB" w:rsidRDefault="00D6763C" w:rsidP="0078692D">
            <w:pPr>
              <w:shd w:val="clear" w:color="auto" w:fill="auto"/>
            </w:pPr>
          </w:p>
          <w:p w:rsidR="00D6763C" w:rsidRPr="00ED18EB" w:rsidRDefault="00D6763C" w:rsidP="0078692D">
            <w:pPr>
              <w:shd w:val="clear" w:color="auto" w:fill="auto"/>
            </w:pPr>
            <w:r w:rsidRPr="00ED18EB">
              <w:t>PRASMES</w:t>
            </w:r>
            <w:r w:rsidRPr="00ED18EB">
              <w:rPr>
                <w:lang w:eastAsia="ru-RU"/>
              </w:rPr>
              <w:t xml:space="preserve"> </w:t>
            </w:r>
          </w:p>
          <w:p w:rsidR="00D6763C" w:rsidRPr="00ED18EB" w:rsidRDefault="00D6763C" w:rsidP="0078692D">
            <w:pPr>
              <w:shd w:val="clear" w:color="auto" w:fill="auto"/>
            </w:pPr>
            <w:r w:rsidRPr="00ED18EB">
              <w:t>– patstāvīgi atskaņot un interpretēt pūšaminstrumentu skaņdarbus;</w:t>
            </w:r>
          </w:p>
          <w:p w:rsidR="00D6763C" w:rsidRPr="00ED18EB" w:rsidRDefault="00D6763C" w:rsidP="0078692D">
            <w:pPr>
              <w:shd w:val="clear" w:color="auto" w:fill="auto"/>
            </w:pPr>
            <w:r w:rsidRPr="00ED18EB">
              <w:t>– izvēlēties un piemērot savā atskaņojumā piemērotus mūzikas izteiksmes līdzekļus;</w:t>
            </w:r>
          </w:p>
          <w:p w:rsidR="00D6763C" w:rsidRPr="00ED18EB" w:rsidRDefault="00D6763C" w:rsidP="0078692D">
            <w:pPr>
              <w:shd w:val="clear" w:color="auto" w:fill="auto"/>
            </w:pPr>
            <w:r w:rsidRPr="00ED18EB">
              <w:t>– izvēlēties koncertrepertuāru;</w:t>
            </w:r>
          </w:p>
          <w:p w:rsidR="00D6763C" w:rsidRPr="00ED18EB" w:rsidRDefault="00D6763C" w:rsidP="0078692D">
            <w:pPr>
              <w:shd w:val="clear" w:color="auto" w:fill="auto"/>
            </w:pPr>
            <w:r w:rsidRPr="00ED18EB">
              <w:t>– novērtēt citu mūziķu atskaņotā skaņdarba māksliniecisko interpretācijas līmeni;</w:t>
            </w:r>
          </w:p>
          <w:p w:rsidR="00D6763C" w:rsidRPr="00ED18EB" w:rsidRDefault="00D6763C" w:rsidP="0078692D">
            <w:pPr>
              <w:shd w:val="clear" w:color="auto" w:fill="auto"/>
            </w:pPr>
            <w:r w:rsidRPr="00ED18EB">
              <w:t>– atpazīt, analizēt, klasificēt, salīdzināt un pielietot atbilstošos mūzikas izteiksmes līdzekļus;</w:t>
            </w:r>
          </w:p>
          <w:p w:rsidR="00D6763C" w:rsidRPr="00ED18EB" w:rsidRDefault="00D6763C" w:rsidP="0078692D">
            <w:pPr>
              <w:shd w:val="clear" w:color="auto" w:fill="auto"/>
            </w:pPr>
            <w:r w:rsidRPr="00ED18EB">
              <w:t>– prasme lasīšanā no lapas.</w:t>
            </w:r>
          </w:p>
          <w:p w:rsidR="00D6763C" w:rsidRPr="00ED18EB" w:rsidRDefault="00D6763C" w:rsidP="0078692D">
            <w:pPr>
              <w:shd w:val="clear" w:color="auto" w:fill="auto"/>
            </w:pPr>
          </w:p>
          <w:p w:rsidR="00D6763C" w:rsidRPr="00ED18EB" w:rsidRDefault="00D6763C" w:rsidP="0078692D">
            <w:pPr>
              <w:shd w:val="clear" w:color="auto" w:fill="auto"/>
            </w:pPr>
            <w:r w:rsidRPr="00ED18EB">
              <w:t>KOMPETENCE</w:t>
            </w:r>
            <w:r w:rsidRPr="00ED18EB">
              <w:rPr>
                <w:lang w:eastAsia="ru-RU"/>
              </w:rPr>
              <w:t xml:space="preserve"> </w:t>
            </w:r>
          </w:p>
          <w:p w:rsidR="00D6763C" w:rsidRPr="00ED18EB" w:rsidRDefault="00D6763C" w:rsidP="0078692D">
            <w:pPr>
              <w:shd w:val="clear" w:color="auto" w:fill="auto"/>
            </w:pPr>
            <w:r w:rsidRPr="00ED18EB">
              <w:t>– spēja identificēt un analizēt teorētiskās un praktiskās problēmas, kas rodas spēlējot trompeti, un rast risinājumus;</w:t>
            </w:r>
          </w:p>
          <w:p w:rsidR="00D6763C" w:rsidRPr="00ED18EB" w:rsidRDefault="00D6763C" w:rsidP="0078692D">
            <w:pPr>
              <w:shd w:val="clear" w:color="auto" w:fill="auto"/>
            </w:pPr>
            <w:r w:rsidRPr="00ED18EB">
              <w:t>– spēja integrēt dažādu mūzikas priekšmetu zināšanas;</w:t>
            </w:r>
          </w:p>
          <w:p w:rsidR="00D6763C" w:rsidRPr="00ED18EB" w:rsidRDefault="00D6763C" w:rsidP="0078692D">
            <w:pPr>
              <w:shd w:val="clear" w:color="auto" w:fill="auto"/>
            </w:pPr>
            <w:r w:rsidRPr="00ED18EB">
              <w:t>– spēja izvēlēties un izmantot savā profesionālajā darbībā gan tradicionālās, gan jaunās informācijas tehnoloģijas;</w:t>
            </w:r>
          </w:p>
          <w:p w:rsidR="00D6763C" w:rsidRPr="00ED18EB" w:rsidRDefault="00D6763C" w:rsidP="0078692D">
            <w:pPr>
              <w:shd w:val="clear" w:color="auto" w:fill="auto"/>
            </w:pPr>
            <w:r w:rsidRPr="00ED18EB">
              <w:t>– spēja analizēt dažādus pūšaminstrumentu stilus un žanrus;</w:t>
            </w:r>
          </w:p>
          <w:p w:rsidR="00D6763C" w:rsidRPr="00ED18EB" w:rsidRDefault="00D6763C" w:rsidP="0078692D">
            <w:pPr>
              <w:shd w:val="clear" w:color="auto" w:fill="auto"/>
            </w:pPr>
            <w:r w:rsidRPr="00ED18EB">
              <w:t>– spēja ievērot profesionālo ētiku;</w:t>
            </w:r>
          </w:p>
          <w:p w:rsidR="00D6763C" w:rsidRPr="00ED18EB" w:rsidRDefault="00D6763C" w:rsidP="0078692D">
            <w:pPr>
              <w:shd w:val="clear" w:color="auto" w:fill="auto"/>
            </w:pPr>
            <w:r w:rsidRPr="00ED18EB">
              <w:t>– spēja komunicēt par pūšaminstrumentu atskaņotājmākslu.</w:t>
            </w:r>
          </w:p>
          <w:p w:rsidR="00D6763C" w:rsidRPr="00ED18EB" w:rsidRDefault="00D6763C" w:rsidP="0078692D">
            <w:pPr>
              <w:shd w:val="clear" w:color="auto" w:fill="auto"/>
            </w:pP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rPr>
                <w:lang w:val="lv-LV"/>
              </w:rPr>
            </w:pPr>
            <w:r w:rsidRPr="00ED18EB">
              <w:rPr>
                <w:lang w:val="lv-LV"/>
              </w:rPr>
              <w:t>Studējošo patstāvīgo darbu organizācijas un uzdevumu raksturojums</w:t>
            </w: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pPr>
            <w:r w:rsidRPr="00ED18EB">
              <w:t>Studējošo patstāvīgais darbs (Pd) 84 stundas tiek organizēts individuāli.</w:t>
            </w:r>
          </w:p>
          <w:p w:rsidR="00D6763C" w:rsidRPr="00ED18EB" w:rsidRDefault="00D6763C" w:rsidP="0078692D">
            <w:pPr>
              <w:shd w:val="clear" w:color="auto" w:fill="auto"/>
            </w:pPr>
          </w:p>
          <w:p w:rsidR="00D6763C" w:rsidRPr="00ED18EB" w:rsidRDefault="00D6763C" w:rsidP="0078692D">
            <w:pPr>
              <w:shd w:val="clear" w:color="auto" w:fill="auto"/>
            </w:pPr>
            <w:r w:rsidRPr="00ED18EB">
              <w:t>Patstāvīgie uzdevumi:</w:t>
            </w:r>
          </w:p>
          <w:p w:rsidR="00D6763C" w:rsidRPr="00ED18EB" w:rsidRDefault="00D6763C" w:rsidP="0078692D">
            <w:pPr>
              <w:shd w:val="clear" w:color="auto" w:fill="auto"/>
            </w:pPr>
            <w:r w:rsidRPr="00ED18EB">
              <w:t>– programmas skaņdarbu patstāvīga analīze un apguve;</w:t>
            </w:r>
          </w:p>
          <w:p w:rsidR="00D6763C" w:rsidRPr="00ED18EB" w:rsidRDefault="00D6763C" w:rsidP="0078692D">
            <w:pPr>
              <w:shd w:val="clear" w:color="auto" w:fill="auto"/>
            </w:pPr>
            <w:r w:rsidRPr="00ED18EB">
              <w:t>– instrumenta spēles tehniskās meistarības pilnveide;</w:t>
            </w:r>
          </w:p>
          <w:p w:rsidR="00D6763C" w:rsidRPr="00ED18EB" w:rsidRDefault="00D6763C" w:rsidP="0078692D">
            <w:pPr>
              <w:shd w:val="clear" w:color="auto" w:fill="auto"/>
            </w:pPr>
            <w:r w:rsidRPr="00ED18EB">
              <w:t xml:space="preserve">– lasīšanas no lapas prasmes pilnveide; </w:t>
            </w:r>
          </w:p>
          <w:p w:rsidR="00D6763C" w:rsidRPr="00ED18EB" w:rsidRDefault="00D6763C" w:rsidP="0078692D">
            <w:pPr>
              <w:shd w:val="clear" w:color="auto" w:fill="auto"/>
            </w:pPr>
            <w:r w:rsidRPr="00ED18EB">
              <w:t>– obligāti izmantojamo informācijas avotu studēšana;</w:t>
            </w:r>
          </w:p>
          <w:p w:rsidR="00D6763C" w:rsidRPr="00ED18EB" w:rsidRDefault="00D6763C" w:rsidP="0078692D">
            <w:pPr>
              <w:shd w:val="clear" w:color="auto" w:fill="auto"/>
            </w:pPr>
            <w:r w:rsidRPr="00ED18EB">
              <w:t>– dažādu interpretāciju video un audio materiālu salīdzināšana un izvērtēšana;</w:t>
            </w:r>
          </w:p>
          <w:p w:rsidR="00D6763C" w:rsidRPr="00ED18EB" w:rsidRDefault="00D6763C" w:rsidP="0078692D">
            <w:pPr>
              <w:shd w:val="clear" w:color="auto" w:fill="auto"/>
            </w:pPr>
            <w:r w:rsidRPr="00ED18EB">
              <w:t>– kolokvija jautājumu sagatavošana.</w:t>
            </w:r>
          </w:p>
          <w:p w:rsidR="00D6763C" w:rsidRPr="00ED18EB" w:rsidRDefault="00D6763C" w:rsidP="0078692D">
            <w:pPr>
              <w:shd w:val="clear" w:color="auto" w:fill="auto"/>
            </w:pP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t>Prasības kredītpunktu iegūšanai</w:t>
            </w: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pPr>
            <w:r w:rsidRPr="00ED18EB">
              <w:rPr>
                <w:rStyle w:val="Style2Char"/>
              </w:rPr>
              <w:t>Pārbaudes veids –</w:t>
            </w:r>
            <w:r w:rsidRPr="00ED18EB">
              <w:t xml:space="preserve"> eksāmens.</w:t>
            </w:r>
          </w:p>
          <w:p w:rsidR="00D6763C" w:rsidRPr="00ED18EB" w:rsidRDefault="00D6763C" w:rsidP="0078692D">
            <w:pPr>
              <w:shd w:val="clear" w:color="auto" w:fill="auto"/>
            </w:pPr>
          </w:p>
          <w:p w:rsidR="00D6763C" w:rsidRPr="00ED18EB" w:rsidRDefault="00D6763C" w:rsidP="0078692D">
            <w:pPr>
              <w:shd w:val="clear" w:color="auto" w:fill="auto"/>
            </w:pPr>
            <w:r w:rsidRPr="00ED18EB">
              <w:t>Izmantojamās studiju formas – individuālās praktiskās nodarbības, starppārbaudījumi – kontrolstundas, akadēmiskie koncerti, kolokviji, eksāmens.</w:t>
            </w:r>
          </w:p>
          <w:p w:rsidR="00D6763C" w:rsidRPr="00ED18EB" w:rsidRDefault="00D6763C" w:rsidP="0078692D">
            <w:pPr>
              <w:shd w:val="clear" w:color="auto" w:fill="auto"/>
            </w:pPr>
          </w:p>
          <w:p w:rsidR="00D6763C" w:rsidRPr="00ED18EB" w:rsidRDefault="00D6763C" w:rsidP="0078692D">
            <w:pPr>
              <w:shd w:val="clear" w:color="auto" w:fill="auto"/>
            </w:pPr>
            <w:r w:rsidRPr="00ED18EB">
              <w:t>Studiju kursa apguves pārbaudes formas: kontrolstunda, akadēmiskais koncerts – 25%, kolokvijs – 25%, eksāmens – 50%. Regulārs nodarbību apmeklējums.</w:t>
            </w:r>
          </w:p>
          <w:p w:rsidR="00D6763C" w:rsidRPr="00ED18EB" w:rsidRDefault="00D6763C" w:rsidP="0078692D">
            <w:pPr>
              <w:shd w:val="clear" w:color="auto" w:fill="auto"/>
            </w:pPr>
          </w:p>
          <w:p w:rsidR="00D6763C" w:rsidRPr="00ED18EB" w:rsidRDefault="00D6763C" w:rsidP="0078692D">
            <w:pPr>
              <w:shd w:val="clear" w:color="auto" w:fill="auto"/>
            </w:pPr>
            <w:r w:rsidRPr="00ED18EB">
              <w:rPr>
                <w:rStyle w:val="Style2Char"/>
              </w:rPr>
              <w:t>PĀRBAUDĪJUMU PRASĪBAS:</w:t>
            </w:r>
            <w:r w:rsidRPr="00ED18EB">
              <w:t xml:space="preserve"> </w:t>
            </w:r>
          </w:p>
          <w:p w:rsidR="00D6763C" w:rsidRPr="00ED18EB" w:rsidRDefault="00D6763C" w:rsidP="0078692D">
            <w:pPr>
              <w:shd w:val="clear" w:color="auto" w:fill="auto"/>
            </w:pPr>
            <w:r w:rsidRPr="00ED18EB">
              <w:lastRenderedPageBreak/>
              <w:t>atskaņot no galvas eksāmena programmu.</w:t>
            </w:r>
          </w:p>
          <w:p w:rsidR="00D6763C" w:rsidRPr="00ED18EB" w:rsidRDefault="00D6763C" w:rsidP="0078692D">
            <w:pPr>
              <w:shd w:val="clear" w:color="auto" w:fill="auto"/>
            </w:pPr>
          </w:p>
          <w:p w:rsidR="00D6763C" w:rsidRPr="00ED18EB" w:rsidRDefault="00D6763C" w:rsidP="0078692D">
            <w:pPr>
              <w:shd w:val="clear" w:color="auto" w:fill="auto"/>
            </w:pPr>
            <w:r w:rsidRPr="00ED18EB">
              <w:t>VI semestris</w:t>
            </w:r>
          </w:p>
          <w:p w:rsidR="00D6763C" w:rsidRPr="00ED18EB" w:rsidRDefault="00D6763C" w:rsidP="0078692D">
            <w:pPr>
              <w:shd w:val="clear" w:color="auto" w:fill="auto"/>
            </w:pPr>
            <w:r w:rsidRPr="00ED18EB">
              <w:t>Akadēmiskais koncerts:</w:t>
            </w:r>
          </w:p>
          <w:p w:rsidR="00D6763C" w:rsidRPr="00ED18EB" w:rsidRDefault="00D6763C" w:rsidP="0078692D">
            <w:pPr>
              <w:shd w:val="clear" w:color="auto" w:fill="auto"/>
            </w:pPr>
            <w:r w:rsidRPr="00ED18EB">
              <w:t>– latviešu komponista skaņdarbs;</w:t>
            </w:r>
          </w:p>
          <w:p w:rsidR="00D6763C" w:rsidRPr="00ED18EB" w:rsidRDefault="00D6763C" w:rsidP="0078692D">
            <w:pPr>
              <w:shd w:val="clear" w:color="auto" w:fill="auto"/>
            </w:pPr>
            <w:r w:rsidRPr="00ED18EB">
              <w:t>– patstāvīgi sagatavots skaņdarbs.</w:t>
            </w:r>
          </w:p>
          <w:p w:rsidR="00D6763C" w:rsidRPr="00ED18EB" w:rsidRDefault="00D6763C" w:rsidP="0078692D">
            <w:pPr>
              <w:shd w:val="clear" w:color="auto" w:fill="auto"/>
            </w:pPr>
            <w:r w:rsidRPr="00ED18EB">
              <w:t>Kolokvijs.</w:t>
            </w:r>
          </w:p>
          <w:p w:rsidR="00D6763C" w:rsidRPr="00ED18EB" w:rsidRDefault="00D6763C" w:rsidP="0078692D">
            <w:pPr>
              <w:shd w:val="clear" w:color="auto" w:fill="auto"/>
            </w:pPr>
            <w:r w:rsidRPr="00ED18EB">
              <w:t>Eksāmens:</w:t>
            </w:r>
          </w:p>
          <w:p w:rsidR="00D6763C" w:rsidRPr="00ED18EB" w:rsidRDefault="00D6763C" w:rsidP="0078692D">
            <w:pPr>
              <w:shd w:val="clear" w:color="auto" w:fill="auto"/>
            </w:pPr>
            <w:r w:rsidRPr="00ED18EB">
              <w:t>– izvērstas formas skaņdarbs;</w:t>
            </w:r>
          </w:p>
          <w:p w:rsidR="00D6763C" w:rsidRPr="00ED18EB" w:rsidRDefault="00D6763C" w:rsidP="0078692D">
            <w:pPr>
              <w:shd w:val="clear" w:color="auto" w:fill="auto"/>
            </w:pPr>
            <w:r w:rsidRPr="00ED18EB">
              <w:t>– mūsdienu mūzikas skaņdarbs.</w:t>
            </w:r>
          </w:p>
          <w:p w:rsidR="00D6763C" w:rsidRPr="00ED18EB" w:rsidRDefault="00D6763C" w:rsidP="0078692D">
            <w:pPr>
              <w:shd w:val="clear" w:color="auto" w:fill="auto"/>
            </w:pPr>
          </w:p>
          <w:p w:rsidR="00D6763C" w:rsidRPr="00ED18EB" w:rsidRDefault="00D6763C" w:rsidP="0078692D">
            <w:pPr>
              <w:shd w:val="clear" w:color="auto" w:fill="auto"/>
            </w:pPr>
            <w:r w:rsidRPr="00ED18EB">
              <w:t>Pārbaudījuma forma: praktiska (programmas skaņdarbu atskaņošana).</w:t>
            </w:r>
          </w:p>
          <w:p w:rsidR="00D6763C" w:rsidRPr="00ED18EB" w:rsidRDefault="00D6763C" w:rsidP="0078692D">
            <w:pPr>
              <w:shd w:val="clear" w:color="auto" w:fill="auto"/>
            </w:pPr>
          </w:p>
          <w:p w:rsidR="00D6763C" w:rsidRPr="00ED18EB" w:rsidRDefault="00D6763C" w:rsidP="0078692D">
            <w:pPr>
              <w:pStyle w:val="Style2"/>
              <w:shd w:val="clear" w:color="auto" w:fill="auto"/>
            </w:pPr>
            <w:r w:rsidRPr="00ED18EB">
              <w:t>STUDIJU REZULTĀTU VĒRTĒŠANAS KRITĒRIJI</w:t>
            </w:r>
          </w:p>
          <w:p w:rsidR="00D6763C" w:rsidRPr="00ED18EB" w:rsidRDefault="00D6763C"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D6763C" w:rsidRPr="00ED18EB" w:rsidRDefault="00D6763C" w:rsidP="0078692D">
            <w:pPr>
              <w:shd w:val="clear" w:color="auto" w:fill="auto"/>
            </w:pPr>
          </w:p>
          <w:p w:rsidR="00D6763C" w:rsidRPr="00ED18EB" w:rsidRDefault="00D6763C" w:rsidP="0078692D">
            <w:pPr>
              <w:shd w:val="clear" w:color="auto" w:fill="auto"/>
            </w:pPr>
            <w:r w:rsidRPr="00ED18EB">
              <w:t>Studenta kompetenci kontrolstundā, akadēmiskajā koncertā, kolokvijā, eksāmenā vērtē 10 ballu skalā.</w:t>
            </w:r>
          </w:p>
          <w:p w:rsidR="00D6763C" w:rsidRPr="00ED18EB" w:rsidRDefault="00D6763C" w:rsidP="0078692D">
            <w:pPr>
              <w:shd w:val="clear" w:color="auto" w:fill="auto"/>
            </w:pPr>
            <w:r w:rsidRPr="00ED18EB">
              <w:t>Lai vērtētu studentu individuālo uzstāšanos, piemēroti sekojoši izvērtēšanas pamatkritēriji:</w:t>
            </w:r>
          </w:p>
          <w:p w:rsidR="00D6763C" w:rsidRPr="00ED18EB" w:rsidRDefault="00D6763C" w:rsidP="0078692D">
            <w:pPr>
              <w:shd w:val="clear" w:color="auto" w:fill="auto"/>
            </w:pPr>
            <w:r w:rsidRPr="00ED18EB">
              <w:t>– repertuāra atbilstība studiju kursa programmas prasībām;</w:t>
            </w:r>
          </w:p>
          <w:p w:rsidR="00D6763C" w:rsidRPr="00ED18EB" w:rsidRDefault="00D6763C" w:rsidP="0078692D">
            <w:pPr>
              <w:shd w:val="clear" w:color="auto" w:fill="auto"/>
            </w:pPr>
            <w:r w:rsidRPr="00ED18EB">
              <w:t>– precīzs muzikālā teksta atskaņojums;</w:t>
            </w:r>
          </w:p>
          <w:p w:rsidR="00D6763C" w:rsidRPr="00ED18EB" w:rsidRDefault="00D6763C" w:rsidP="0078692D">
            <w:pPr>
              <w:shd w:val="clear" w:color="auto" w:fill="auto"/>
            </w:pPr>
            <w:r w:rsidRPr="00ED18EB">
              <w:t>– skaņas kvalitāte;</w:t>
            </w:r>
          </w:p>
          <w:p w:rsidR="00D6763C" w:rsidRPr="00ED18EB" w:rsidRDefault="00D6763C" w:rsidP="0078692D">
            <w:pPr>
              <w:shd w:val="clear" w:color="auto" w:fill="auto"/>
            </w:pPr>
            <w:r w:rsidRPr="00ED18EB">
              <w:t>– pareiza intonācija;</w:t>
            </w:r>
          </w:p>
          <w:p w:rsidR="00D6763C" w:rsidRPr="00ED18EB" w:rsidRDefault="00D6763C" w:rsidP="0078692D">
            <w:pPr>
              <w:shd w:val="clear" w:color="auto" w:fill="auto"/>
            </w:pPr>
            <w:r w:rsidRPr="00ED18EB">
              <w:t>– elastīga un droša tehnika;</w:t>
            </w:r>
          </w:p>
          <w:p w:rsidR="00D6763C" w:rsidRPr="00ED18EB" w:rsidRDefault="00D6763C" w:rsidP="0078692D">
            <w:pPr>
              <w:shd w:val="clear" w:color="auto" w:fill="auto"/>
            </w:pPr>
            <w:r w:rsidRPr="00ED18EB">
              <w:t>– pareiza dinamika un frāzes;</w:t>
            </w:r>
          </w:p>
          <w:p w:rsidR="00D6763C" w:rsidRPr="00ED18EB" w:rsidRDefault="00D6763C" w:rsidP="0078692D">
            <w:pPr>
              <w:shd w:val="clear" w:color="auto" w:fill="auto"/>
            </w:pPr>
            <w:r w:rsidRPr="00ED18EB">
              <w:t>– pareizi tempi un loģiska agoģika;</w:t>
            </w:r>
          </w:p>
          <w:p w:rsidR="00D6763C" w:rsidRPr="00ED18EB" w:rsidRDefault="00D6763C" w:rsidP="0078692D">
            <w:pPr>
              <w:shd w:val="clear" w:color="auto" w:fill="auto"/>
            </w:pPr>
            <w:r w:rsidRPr="00ED18EB">
              <w:t>– skaņdarba interpretācija atbilstoši vēsturiskā perioda stila īpatnībām;</w:t>
            </w:r>
          </w:p>
          <w:p w:rsidR="00D6763C" w:rsidRPr="00ED18EB" w:rsidRDefault="00D6763C" w:rsidP="0078692D">
            <w:pPr>
              <w:shd w:val="clear" w:color="auto" w:fill="auto"/>
            </w:pPr>
            <w:r w:rsidRPr="00ED18EB">
              <w:t xml:space="preserve">– mūzikas formas un dramaturģijas izpratne. </w:t>
            </w:r>
          </w:p>
          <w:p w:rsidR="00D6763C" w:rsidRPr="00ED18EB" w:rsidRDefault="00D6763C" w:rsidP="0078692D">
            <w:pPr>
              <w:shd w:val="clear" w:color="auto" w:fill="auto"/>
            </w:pPr>
          </w:p>
          <w:p w:rsidR="00D6763C" w:rsidRPr="00ED18EB" w:rsidRDefault="00D6763C" w:rsidP="0078692D">
            <w:pPr>
              <w:pStyle w:val="Style2"/>
              <w:shd w:val="clear" w:color="auto" w:fill="auto"/>
            </w:pPr>
            <w:r w:rsidRPr="00ED18EB">
              <w:t>STUDIJU REZULTĀTU VĒRTĒŠANA</w:t>
            </w:r>
          </w:p>
          <w:p w:rsidR="00D6763C" w:rsidRPr="00ED18EB" w:rsidRDefault="00D6763C" w:rsidP="0078692D">
            <w:pPr>
              <w:shd w:val="clear" w:color="auto" w:fill="auto"/>
            </w:pPr>
            <w:r w:rsidRPr="00ED18EB">
              <w:t>10 (izcili) – zināšanas un prasmes pārsniedz studiju programmas prasības, prot tās patstāvīgi, radoši mākslinieciski lietot dažādās situācijās;</w:t>
            </w:r>
          </w:p>
          <w:p w:rsidR="00D6763C" w:rsidRPr="00ED18EB" w:rsidRDefault="00D6763C" w:rsidP="0078692D">
            <w:pPr>
              <w:shd w:val="clear" w:color="auto" w:fill="auto"/>
            </w:pPr>
            <w:r w:rsidRPr="00ED18EB">
              <w:t>9 (teicami) – pilnā mērā apgūtas studiju programmas prasības, iegūta prasme patstāvīgi realizēt iemācīto, radoša pieeja;</w:t>
            </w:r>
          </w:p>
          <w:p w:rsidR="00D6763C" w:rsidRPr="00ED18EB" w:rsidRDefault="00D6763C" w:rsidP="0078692D">
            <w:pPr>
              <w:shd w:val="clear" w:color="auto" w:fill="auto"/>
            </w:pPr>
            <w:r w:rsidRPr="00ED18EB">
              <w:t>8 (ļoti labi) – pilnā mērā apgūtas studiju programmas prasības, taču reizēm trūkst prasmes patstāvīgi radoši tās lietot;</w:t>
            </w:r>
          </w:p>
          <w:p w:rsidR="00D6763C" w:rsidRPr="00ED18EB" w:rsidRDefault="00D6763C" w:rsidP="0078692D">
            <w:pPr>
              <w:shd w:val="clear" w:color="auto" w:fill="auto"/>
            </w:pPr>
            <w:r w:rsidRPr="00ED18EB">
              <w:t>7 (labi) – labi apgūtas studiju programmas prasības, taču vienlaikus konstatējami arī atsevišķi mazāk svarīgi trūkumi zināšanu un prasmju apguvē;</w:t>
            </w:r>
          </w:p>
          <w:p w:rsidR="00D6763C" w:rsidRPr="00ED18EB" w:rsidRDefault="00D6763C" w:rsidP="0078692D">
            <w:pPr>
              <w:shd w:val="clear" w:color="auto" w:fill="auto"/>
            </w:pPr>
            <w:r w:rsidRPr="00ED18EB">
              <w:t>6 (gandrīz labi) – apgūtas studiju programmas prasības, taču atsevišķas nozīmīgas zināšanu un prasmju jomas ir nepietiekami stabilas un pārliecinošas;</w:t>
            </w:r>
          </w:p>
          <w:p w:rsidR="00D6763C" w:rsidRPr="00ED18EB" w:rsidRDefault="00D6763C" w:rsidP="0078692D">
            <w:pPr>
              <w:shd w:val="clear" w:color="auto" w:fill="auto"/>
            </w:pPr>
            <w:r w:rsidRPr="00ED18EB">
              <w:t>5 (viduvēji) – visumā apgūtas studiju programmas prasības, kaut arī konstatējama vairāku būtisku zināšanu un iemaņu jomu nepietiekoša stabilitāte un pārvaldīšana;</w:t>
            </w:r>
          </w:p>
          <w:p w:rsidR="00D6763C" w:rsidRPr="00ED18EB" w:rsidRDefault="00D6763C"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D6763C" w:rsidRPr="00ED18EB" w:rsidRDefault="00D6763C" w:rsidP="0078692D">
            <w:pPr>
              <w:shd w:val="clear" w:color="auto" w:fill="auto"/>
            </w:pPr>
            <w:r w:rsidRPr="00ED18EB">
              <w:t>3 (vāji) – zināšanas, prasmes un iemaņas ir ļoti minimālas, nav spēju tās praktiski lietot;</w:t>
            </w:r>
          </w:p>
          <w:p w:rsidR="00D6763C" w:rsidRPr="00ED18EB" w:rsidRDefault="00D6763C" w:rsidP="0078692D">
            <w:pPr>
              <w:shd w:val="clear" w:color="auto" w:fill="auto"/>
            </w:pPr>
            <w:r w:rsidRPr="00ED18EB">
              <w:t>2 (ļoti vāji) – izrāda zināmu interesi, apgūtas atsevišķas zināšanas, prasmes un iemaņas, taču kopumā trūkst orientācijas un līmeņa;</w:t>
            </w:r>
          </w:p>
          <w:p w:rsidR="00D6763C" w:rsidRPr="00ED18EB" w:rsidRDefault="00D6763C" w:rsidP="0078692D">
            <w:pPr>
              <w:shd w:val="clear" w:color="auto" w:fill="auto"/>
            </w:pPr>
            <w:r w:rsidRPr="00ED18EB">
              <w:t>1 (ļoti, ļoti vāji) – nav izpratnes par studiju kursa būtību un iemaņām tajā.</w:t>
            </w:r>
          </w:p>
          <w:p w:rsidR="00D6763C" w:rsidRPr="00ED18EB" w:rsidRDefault="00D6763C" w:rsidP="0078692D">
            <w:pPr>
              <w:shd w:val="clear" w:color="auto" w:fill="auto"/>
            </w:pP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lastRenderedPageBreak/>
              <w:t>Kursa saturs</w:t>
            </w: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pPr>
            <w:r w:rsidRPr="00ED18EB">
              <w:t>Pūšaminstrumenta trompete spēles tehnikas apguve.</w:t>
            </w:r>
          </w:p>
          <w:p w:rsidR="00D6763C" w:rsidRPr="00ED18EB" w:rsidRDefault="00D6763C" w:rsidP="0078692D">
            <w:pPr>
              <w:shd w:val="clear" w:color="auto" w:fill="auto"/>
            </w:pPr>
            <w:r w:rsidRPr="00ED18EB">
              <w:lastRenderedPageBreak/>
              <w:t>Mūzikas izteiksmes līdzekļu padziļināta apguve.</w:t>
            </w:r>
          </w:p>
          <w:p w:rsidR="00D6763C" w:rsidRPr="00ED18EB" w:rsidRDefault="00D6763C" w:rsidP="0078692D">
            <w:pPr>
              <w:shd w:val="clear" w:color="auto" w:fill="auto"/>
            </w:pPr>
            <w:r w:rsidRPr="00ED18EB">
              <w:t>Dažādu stilu un žanru skaņdarbu trompetei apguve.</w:t>
            </w:r>
          </w:p>
          <w:p w:rsidR="00D6763C" w:rsidRPr="00ED18EB" w:rsidRDefault="00D6763C" w:rsidP="0078692D">
            <w:pPr>
              <w:shd w:val="clear" w:color="auto" w:fill="auto"/>
            </w:pPr>
            <w:r w:rsidRPr="00ED18EB">
              <w:t>Lasīšanai no lapas nepieciešamo iemaņu pilnveide.</w:t>
            </w:r>
          </w:p>
          <w:p w:rsidR="00D6763C" w:rsidRPr="00ED18EB" w:rsidRDefault="00D6763C" w:rsidP="0078692D">
            <w:pPr>
              <w:pStyle w:val="Style2"/>
              <w:shd w:val="clear" w:color="auto" w:fill="auto"/>
            </w:pPr>
          </w:p>
          <w:p w:rsidR="00D6763C" w:rsidRPr="00ED18EB" w:rsidRDefault="00D6763C" w:rsidP="0078692D">
            <w:pPr>
              <w:pStyle w:val="Style2"/>
              <w:shd w:val="clear" w:color="auto" w:fill="auto"/>
            </w:pPr>
            <w:r w:rsidRPr="00ED18EB">
              <w:t>Ieteicamais repertuārs:</w:t>
            </w:r>
          </w:p>
          <w:p w:rsidR="00D6763C" w:rsidRPr="00ED18EB" w:rsidRDefault="00D6763C" w:rsidP="0078692D">
            <w:pPr>
              <w:pStyle w:val="Style2"/>
              <w:shd w:val="clear" w:color="auto" w:fill="auto"/>
            </w:pPr>
          </w:p>
          <w:p w:rsidR="00D6763C" w:rsidRPr="00ED18EB" w:rsidRDefault="00D6763C" w:rsidP="0078692D">
            <w:pPr>
              <w:shd w:val="clear" w:color="auto" w:fill="auto"/>
            </w:pPr>
            <w:r w:rsidRPr="00ED18EB">
              <w:t>VI semestris</w:t>
            </w:r>
          </w:p>
          <w:p w:rsidR="00D6763C" w:rsidRPr="00ED18EB" w:rsidRDefault="00D6763C" w:rsidP="0078692D">
            <w:pPr>
              <w:shd w:val="clear" w:color="auto" w:fill="auto"/>
            </w:pPr>
            <w:r w:rsidRPr="00ED18EB">
              <w:t>Hindemith, P. Sonata.</w:t>
            </w:r>
          </w:p>
          <w:p w:rsidR="00D6763C" w:rsidRPr="00ED18EB" w:rsidRDefault="00D6763C" w:rsidP="0078692D">
            <w:pPr>
              <w:shd w:val="clear" w:color="auto" w:fill="auto"/>
            </w:pPr>
            <w:r w:rsidRPr="00ED18EB">
              <w:t>Arutunian, A. Koncerts trompetei.</w:t>
            </w:r>
          </w:p>
          <w:p w:rsidR="00D6763C" w:rsidRPr="00ED18EB" w:rsidRDefault="00D6763C" w:rsidP="0078692D">
            <w:pPr>
              <w:shd w:val="clear" w:color="auto" w:fill="auto"/>
            </w:pPr>
            <w:r w:rsidRPr="00ED18EB">
              <w:t>Tartini, G. Largo un Allegro.</w:t>
            </w:r>
          </w:p>
          <w:p w:rsidR="00D6763C" w:rsidRPr="00ED18EB" w:rsidRDefault="00D6763C" w:rsidP="0078692D">
            <w:pPr>
              <w:shd w:val="clear" w:color="auto" w:fill="auto"/>
            </w:pPr>
            <w:r w:rsidRPr="00ED18EB">
              <w:t>Hansens, T. Romance kornetei un klavierēm.</w:t>
            </w:r>
          </w:p>
          <w:p w:rsidR="00D6763C" w:rsidRPr="00ED18EB" w:rsidRDefault="00D6763C" w:rsidP="0078692D">
            <w:pPr>
              <w:shd w:val="clear" w:color="auto" w:fill="auto"/>
            </w:pPr>
            <w:r w:rsidRPr="00ED18EB">
              <w:t>Gedike, A. Koncerta studija.</w:t>
            </w:r>
          </w:p>
          <w:p w:rsidR="00D6763C" w:rsidRPr="00ED18EB" w:rsidRDefault="00D6763C" w:rsidP="0078692D">
            <w:pPr>
              <w:shd w:val="clear" w:color="auto" w:fill="auto"/>
            </w:pPr>
            <w:r w:rsidRPr="00ED18EB">
              <w:t>Latviešu komponista skaņdarbs</w:t>
            </w:r>
          </w:p>
          <w:p w:rsidR="00D6763C" w:rsidRPr="00ED18EB" w:rsidRDefault="00D6763C" w:rsidP="0078692D">
            <w:pPr>
              <w:shd w:val="clear" w:color="auto" w:fill="auto"/>
            </w:pP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lastRenderedPageBreak/>
              <w:t>Obligāti izmantojamie informācijas avoti</w:t>
            </w: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pPr>
            <w:r w:rsidRPr="00ED18EB">
              <w:t>Etīdes:</w:t>
            </w:r>
          </w:p>
          <w:p w:rsidR="00D6763C" w:rsidRPr="00ED18EB" w:rsidRDefault="00D6763C" w:rsidP="0078692D">
            <w:pPr>
              <w:shd w:val="clear" w:color="auto" w:fill="auto"/>
            </w:pPr>
            <w:r w:rsidRPr="00ED18EB">
              <w:t>Arban, J. B. (2017). 14 characteristic studies for trumpet in B–flat. Carl Fischer.</w:t>
            </w:r>
          </w:p>
          <w:p w:rsidR="00D6763C" w:rsidRPr="00ED18EB" w:rsidRDefault="00D6763C" w:rsidP="0078692D">
            <w:pPr>
              <w:shd w:val="clear" w:color="auto" w:fill="auto"/>
            </w:pPr>
            <w:r w:rsidRPr="00ED18EB">
              <w:t>Berdiev, V. (2001). 17 studies for trumpet. Alphonse Ledu.c.</w:t>
            </w:r>
          </w:p>
          <w:p w:rsidR="00D6763C" w:rsidRPr="00ED18EB" w:rsidRDefault="00D6763C" w:rsidP="0078692D">
            <w:pPr>
              <w:shd w:val="clear" w:color="auto" w:fill="auto"/>
            </w:pPr>
            <w:r w:rsidRPr="00ED18EB">
              <w:t>Shoemaker, J. (1973). Legato Etudes for Trumpet. Macomb, IL: R. Dean Pub. Co.</w:t>
            </w:r>
          </w:p>
          <w:p w:rsidR="00D6763C" w:rsidRPr="00ED18EB" w:rsidRDefault="00D6763C" w:rsidP="0078692D">
            <w:pPr>
              <w:shd w:val="clear" w:color="auto" w:fill="auto"/>
            </w:pPr>
            <w:r w:rsidRPr="00ED18EB">
              <w:t>Trognée, E. J. (1995). Etudes finales: Trompette. Bulle: Editions BIM.</w:t>
            </w:r>
          </w:p>
          <w:p w:rsidR="00D6763C" w:rsidRPr="00ED18EB" w:rsidRDefault="00D6763C" w:rsidP="0078692D">
            <w:pPr>
              <w:shd w:val="clear" w:color="auto" w:fill="auto"/>
            </w:pPr>
            <w:r w:rsidRPr="00ED18EB">
              <w:t>Wurm, W. (2018). Forty Studies for Trumpet. CreateSpace Independent Publishing Platform.</w:t>
            </w:r>
          </w:p>
          <w:p w:rsidR="00D6763C" w:rsidRPr="00ED18EB" w:rsidRDefault="00D6763C" w:rsidP="0078692D">
            <w:pPr>
              <w:shd w:val="clear" w:color="auto" w:fill="auto"/>
            </w:pPr>
          </w:p>
          <w:p w:rsidR="00D6763C" w:rsidRPr="00ED18EB" w:rsidRDefault="00D6763C" w:rsidP="0078692D">
            <w:pPr>
              <w:shd w:val="clear" w:color="auto" w:fill="auto"/>
            </w:pPr>
            <w:r w:rsidRPr="00ED18EB">
              <w:t>Sonātes, cikliskas kompozīcijas:</w:t>
            </w:r>
          </w:p>
          <w:p w:rsidR="00D6763C" w:rsidRPr="00ED18EB" w:rsidRDefault="00D6763C" w:rsidP="0078692D">
            <w:pPr>
              <w:shd w:val="clear" w:color="auto" w:fill="auto"/>
            </w:pPr>
            <w:r w:rsidRPr="00ED18EB">
              <w:t>Asafiev, B. (1970). Sonata for Trumpet &amp; Piano. Alphonse Ledu.c.</w:t>
            </w:r>
          </w:p>
          <w:p w:rsidR="00D6763C" w:rsidRPr="00ED18EB" w:rsidRDefault="00D6763C" w:rsidP="0078692D">
            <w:pPr>
              <w:shd w:val="clear" w:color="auto" w:fill="auto"/>
            </w:pPr>
            <w:r w:rsidRPr="00ED18EB">
              <w:t>Bradshaw, R. J. (2003). Sonata for trumpet and strings (or piano). MA : Beauport Press.</w:t>
            </w:r>
          </w:p>
          <w:p w:rsidR="00D6763C" w:rsidRPr="00ED18EB" w:rsidRDefault="00D6763C" w:rsidP="0078692D">
            <w:pPr>
              <w:shd w:val="clear" w:color="auto" w:fill="auto"/>
            </w:pPr>
            <w:r w:rsidRPr="00ED18EB">
              <w:t>Bruch, M. (1997). Kol nidrei, op. 47: für Trompete &amp; Klavier. Editions Marc Reift.</w:t>
            </w:r>
          </w:p>
          <w:p w:rsidR="00D6763C" w:rsidRPr="00ED18EB" w:rsidRDefault="00D6763C" w:rsidP="0078692D">
            <w:pPr>
              <w:shd w:val="clear" w:color="auto" w:fill="auto"/>
            </w:pPr>
            <w:r w:rsidRPr="00ED18EB">
              <w:t>Hindemith, P. (1986). Sonata for Trumpet and Piano. Schott.</w:t>
            </w:r>
          </w:p>
          <w:p w:rsidR="00D6763C" w:rsidRPr="00ED18EB" w:rsidRDefault="00D6763C" w:rsidP="0078692D">
            <w:pPr>
              <w:shd w:val="clear" w:color="auto" w:fill="auto"/>
            </w:pPr>
          </w:p>
          <w:p w:rsidR="00D6763C" w:rsidRPr="00ED18EB" w:rsidRDefault="00D6763C" w:rsidP="0078692D">
            <w:pPr>
              <w:shd w:val="clear" w:color="auto" w:fill="auto"/>
            </w:pPr>
            <w:r w:rsidRPr="00ED18EB">
              <w:t>Koncerti:</w:t>
            </w:r>
          </w:p>
          <w:p w:rsidR="00D6763C" w:rsidRPr="00ED18EB" w:rsidRDefault="00D6763C" w:rsidP="0078692D">
            <w:pPr>
              <w:shd w:val="clear" w:color="auto" w:fill="auto"/>
            </w:pPr>
            <w:r w:rsidRPr="00ED18EB">
              <w:t xml:space="preserve">Arutunian, A. (1995). Concerto for trumpet. Scottsdale, AZ. </w:t>
            </w:r>
          </w:p>
          <w:p w:rsidR="00D6763C" w:rsidRPr="00ED18EB" w:rsidRDefault="00D6763C" w:rsidP="0078692D">
            <w:pPr>
              <w:shd w:val="clear" w:color="auto" w:fill="auto"/>
            </w:pPr>
            <w:r w:rsidRPr="00ED18EB">
              <w:t>Haydn, J. (2011). Trumpet concerto. UK : Spartan Press.</w:t>
            </w:r>
          </w:p>
          <w:p w:rsidR="00D6763C" w:rsidRPr="00ED18EB" w:rsidRDefault="00D6763C" w:rsidP="0078692D">
            <w:pPr>
              <w:shd w:val="clear" w:color="auto" w:fill="auto"/>
            </w:pPr>
            <w:r w:rsidRPr="00ED18EB">
              <w:t>Hummel, J. N. (2008). Concerto in E flat major for trumpet and piano. Masters Music Publications.</w:t>
            </w:r>
          </w:p>
          <w:p w:rsidR="00D6763C" w:rsidRPr="00ED18EB" w:rsidRDefault="00D6763C" w:rsidP="0078692D">
            <w:pPr>
              <w:shd w:val="clear" w:color="auto" w:fill="auto"/>
            </w:pPr>
            <w:r w:rsidRPr="00ED18EB">
              <w:t>Husa, K. (1988). Concerto for trumpet and orchestra. NY: Associated Music Publishers.</w:t>
            </w:r>
          </w:p>
          <w:p w:rsidR="00D6763C" w:rsidRPr="00ED18EB" w:rsidRDefault="00D6763C" w:rsidP="0078692D">
            <w:pPr>
              <w:shd w:val="clear" w:color="auto" w:fill="auto"/>
            </w:pPr>
            <w:r w:rsidRPr="00ED18EB">
              <w:t>Kogan, L. (1990). Concerto for trumpet and piano. Holon, Israel: Israel Brass Woodwind Publications.</w:t>
            </w:r>
          </w:p>
          <w:p w:rsidR="00D6763C" w:rsidRPr="00ED18EB" w:rsidRDefault="00D6763C" w:rsidP="0078692D">
            <w:pPr>
              <w:shd w:val="clear" w:color="auto" w:fill="auto"/>
            </w:pPr>
          </w:p>
          <w:p w:rsidR="00D6763C" w:rsidRPr="00ED18EB" w:rsidRDefault="00D6763C" w:rsidP="0078692D">
            <w:pPr>
              <w:shd w:val="clear" w:color="auto" w:fill="auto"/>
            </w:pPr>
            <w:r w:rsidRPr="00ED18EB">
              <w:t>Solo skaņdarbi:</w:t>
            </w:r>
          </w:p>
          <w:p w:rsidR="00D6763C" w:rsidRPr="00ED18EB" w:rsidRDefault="00D6763C" w:rsidP="0078692D">
            <w:pPr>
              <w:shd w:val="clear" w:color="auto" w:fill="auto"/>
            </w:pPr>
            <w:r w:rsidRPr="00ED18EB">
              <w:t>Arnold, M. (2019). Fantasy for trumpet. Faber Music.</w:t>
            </w:r>
          </w:p>
          <w:p w:rsidR="00D6763C" w:rsidRPr="00ED18EB" w:rsidRDefault="00D6763C" w:rsidP="0078692D">
            <w:pPr>
              <w:shd w:val="clear" w:color="auto" w:fill="auto"/>
            </w:pPr>
            <w:r w:rsidRPr="00ED18EB">
              <w:t>Bach, J. S. (2003). The Very Best of Bach – Trumpet. Hal Leonard.</w:t>
            </w:r>
          </w:p>
          <w:p w:rsidR="00D6763C" w:rsidRPr="00ED18EB" w:rsidRDefault="00D6763C" w:rsidP="0078692D">
            <w:pPr>
              <w:shd w:val="clear" w:color="auto" w:fill="auto"/>
            </w:pPr>
            <w:r w:rsidRPr="00ED18EB">
              <w:t>Bach, J. S. (2017). Bach/Gounod Ave Maria for Trumpet &amp; Piano. Santorella Publications.</w:t>
            </w:r>
          </w:p>
          <w:p w:rsidR="00D6763C" w:rsidRPr="00ED18EB" w:rsidRDefault="00D6763C" w:rsidP="0078692D">
            <w:pPr>
              <w:shd w:val="clear" w:color="auto" w:fill="auto"/>
            </w:pPr>
            <w:r w:rsidRPr="00ED18EB">
              <w:t>Bernstein, L (1990). Rondo for Lifey for trumpet and piano. London Boosey &amp; Hawkes.</w:t>
            </w:r>
          </w:p>
          <w:p w:rsidR="00D6763C" w:rsidRPr="00ED18EB" w:rsidRDefault="00D6763C" w:rsidP="0078692D">
            <w:pPr>
              <w:shd w:val="clear" w:color="auto" w:fill="auto"/>
            </w:pPr>
            <w:r w:rsidRPr="00ED18EB">
              <w:t xml:space="preserve">Gedike, A. (2006). Concert étude op. 49. Eighth Note Publications </w:t>
            </w:r>
          </w:p>
          <w:p w:rsidR="00D6763C" w:rsidRPr="00ED18EB" w:rsidRDefault="00D6763C" w:rsidP="0078692D">
            <w:pPr>
              <w:shd w:val="clear" w:color="auto" w:fill="auto"/>
            </w:pPr>
            <w:r w:rsidRPr="00ED18EB">
              <w:t>Gershwin, G. (2000). Three Preludies for trumpet and piano. Crans–Montana: M. Reift.</w:t>
            </w:r>
          </w:p>
          <w:p w:rsidR="00D6763C" w:rsidRPr="00ED18EB" w:rsidRDefault="00D6763C" w:rsidP="0078692D">
            <w:pPr>
              <w:shd w:val="clear" w:color="auto" w:fill="auto"/>
            </w:pPr>
            <w:r w:rsidRPr="00ED18EB">
              <w:t>Hansen, T. (2000). Romance For Cornet And Piano. Edition Wilhelm Hansen.</w:t>
            </w:r>
          </w:p>
          <w:p w:rsidR="00D6763C" w:rsidRPr="00ED18EB" w:rsidRDefault="00D6763C" w:rsidP="0078692D">
            <w:pPr>
              <w:shd w:val="clear" w:color="auto" w:fill="auto"/>
            </w:pPr>
            <w:r w:rsidRPr="00ED18EB">
              <w:t>Pauer, J. (1981). Trompetina pro trubku a klavír. Praha: Panton.</w:t>
            </w:r>
          </w:p>
          <w:p w:rsidR="00D6763C" w:rsidRPr="00ED18EB" w:rsidRDefault="00D6763C" w:rsidP="0078692D">
            <w:pPr>
              <w:shd w:val="clear" w:color="auto" w:fill="auto"/>
            </w:pPr>
            <w:r w:rsidRPr="00ED18EB">
              <w:t>Schubert, F. (2015). Ave Maria. Delrieu.</w:t>
            </w:r>
          </w:p>
          <w:p w:rsidR="00D6763C" w:rsidRPr="00ED18EB" w:rsidRDefault="00D6763C" w:rsidP="0078692D">
            <w:pPr>
              <w:shd w:val="clear" w:color="auto" w:fill="auto"/>
            </w:pPr>
            <w:r w:rsidRPr="00ED18EB">
              <w:t>Schubert, F. (2019). Serenade (Ständchen) for Trumpet in B–flat and Piano Cherry Classics Music for Brass.</w:t>
            </w:r>
          </w:p>
          <w:p w:rsidR="00D6763C" w:rsidRPr="00ED18EB" w:rsidRDefault="00D6763C" w:rsidP="0078692D">
            <w:pPr>
              <w:shd w:val="clear" w:color="auto" w:fill="auto"/>
            </w:pPr>
            <w:r w:rsidRPr="00ED18EB">
              <w:t>Tartini, G. (1984). Largo and Allegro. International Music Company.</w:t>
            </w:r>
          </w:p>
          <w:p w:rsidR="00D6763C" w:rsidRPr="00ED18EB" w:rsidRDefault="00D6763C" w:rsidP="0078692D">
            <w:pPr>
              <w:shd w:val="clear" w:color="auto" w:fill="auto"/>
            </w:pP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t>Papildus informācijas avoti</w:t>
            </w: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pPr>
            <w:r w:rsidRPr="00ED18EB">
              <w:t xml:space="preserve">Arban's Complete Conservatory Method for Trumpet (2011). Dover Books on Music (docētāja privātais izdevumu krājums, kas skenētā veidā tiks ievietots e–studiju vidē </w:t>
            </w:r>
            <w:r w:rsidRPr="00ED18EB">
              <w:rPr>
                <w:i/>
              </w:rPr>
              <w:t>Moodle</w:t>
            </w:r>
            <w:r w:rsidRPr="00ED18EB">
              <w:t>)</w:t>
            </w:r>
          </w:p>
          <w:p w:rsidR="00D6763C" w:rsidRPr="00ED18EB" w:rsidRDefault="00D6763C" w:rsidP="0078692D">
            <w:pPr>
              <w:shd w:val="clear" w:color="auto" w:fill="auto"/>
            </w:pPr>
            <w:r w:rsidRPr="00ED18EB">
              <w:t xml:space="preserve">Hickman, D. (2006). Trumpet Pedagogy: A Compendium of Modern Teaching Techniques. Hickman </w:t>
            </w:r>
            <w:r w:rsidRPr="00ED18EB">
              <w:lastRenderedPageBreak/>
              <w:t xml:space="preserve">Music Editions (docētāja privātais izdevumu krājums, kas skenētā veidā tiks ievietots e–studiju vidē </w:t>
            </w:r>
            <w:r w:rsidRPr="00ED18EB">
              <w:rPr>
                <w:i/>
              </w:rPr>
              <w:t>Moodle</w:t>
            </w:r>
            <w:r w:rsidRPr="00ED18EB">
              <w:t>)</w:t>
            </w:r>
          </w:p>
          <w:p w:rsidR="00D6763C" w:rsidRPr="00ED18EB" w:rsidRDefault="00D6763C" w:rsidP="0078692D">
            <w:pPr>
              <w:shd w:val="clear" w:color="auto" w:fill="auto"/>
            </w:pPr>
            <w:r w:rsidRPr="00ED18EB">
              <w:t>Little, L. (1985). Embouchure builder for trumpet (cornet): For daily use with any method. Pro Art Publications (docētāja privātais izdevumu krājums)</w:t>
            </w:r>
          </w:p>
          <w:p w:rsidR="00D6763C" w:rsidRPr="00ED18EB" w:rsidRDefault="00D6763C" w:rsidP="0078692D">
            <w:pPr>
              <w:shd w:val="clear" w:color="auto" w:fill="auto"/>
            </w:pPr>
            <w:r w:rsidRPr="00ED18EB">
              <w:t>Steenstrup, K. (2007). Teaching Brass, 2nd edition. Royal Academy of Music, Aarhus.</w:t>
            </w:r>
          </w:p>
          <w:p w:rsidR="00D6763C" w:rsidRPr="00ED18EB" w:rsidRDefault="00D6763C" w:rsidP="0078692D">
            <w:pPr>
              <w:shd w:val="clear" w:color="auto" w:fill="auto"/>
            </w:pPr>
            <w:r w:rsidRPr="00ED18EB">
              <w:t>Morgan, R. (1991). Twentieth–Century Music: A History of Musical Style in Modern Europe and America. New York: W. W. Norton &amp; Company</w:t>
            </w:r>
          </w:p>
          <w:p w:rsidR="00D6763C" w:rsidRPr="00ED18EB" w:rsidRDefault="00D6763C" w:rsidP="0078692D">
            <w:pPr>
              <w:shd w:val="clear" w:color="auto" w:fill="auto"/>
            </w:pPr>
            <w:r w:rsidRPr="00ED18EB">
              <w:t>Weisberg, A (2007). The Art of Wind Playing. Meredith Music.</w:t>
            </w:r>
          </w:p>
          <w:p w:rsidR="00D6763C" w:rsidRPr="00ED18EB" w:rsidRDefault="00D6763C" w:rsidP="0078692D">
            <w:pPr>
              <w:shd w:val="clear" w:color="auto" w:fill="auto"/>
            </w:pP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lastRenderedPageBreak/>
              <w:t>Periodika un citi informācijas avoti</w:t>
            </w: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pPr>
            <w:r w:rsidRPr="00ED18EB">
              <w:t>Žurnāli:</w:t>
            </w:r>
          </w:p>
          <w:p w:rsidR="00D6763C" w:rsidRPr="00ED18EB" w:rsidRDefault="00D6763C" w:rsidP="0078692D">
            <w:pPr>
              <w:shd w:val="clear" w:color="auto" w:fill="auto"/>
            </w:pPr>
            <w:r w:rsidRPr="00ED18EB">
              <w:t>Contemporary Music Review. https://www.tandfonline.com/loi/gcmr20</w:t>
            </w:r>
          </w:p>
          <w:p w:rsidR="00D6763C" w:rsidRPr="00ED18EB" w:rsidRDefault="00D6763C" w:rsidP="0078692D">
            <w:pPr>
              <w:shd w:val="clear" w:color="auto" w:fill="auto"/>
            </w:pPr>
            <w:r w:rsidRPr="00ED18EB">
              <w:t>Early Music Performer. https://www.earlymusic.info/Performer.php</w:t>
            </w:r>
          </w:p>
          <w:p w:rsidR="00D6763C" w:rsidRPr="00ED18EB" w:rsidRDefault="00D6763C" w:rsidP="0078692D">
            <w:pPr>
              <w:shd w:val="clear" w:color="auto" w:fill="auto"/>
            </w:pPr>
            <w:r w:rsidRPr="00ED18EB">
              <w:t>Journal of Research in Music Education.</w:t>
            </w:r>
          </w:p>
          <w:p w:rsidR="00D6763C" w:rsidRPr="00ED18EB" w:rsidRDefault="00D6763C" w:rsidP="0078692D">
            <w:pPr>
              <w:shd w:val="clear" w:color="auto" w:fill="auto"/>
            </w:pPr>
            <w:r w:rsidRPr="00ED18EB">
              <w:t>https://journals.sagepub.com/doi/abs/10.1177/0022429415583474?journalCode=jrmas</w:t>
            </w:r>
          </w:p>
          <w:p w:rsidR="00D6763C" w:rsidRPr="00ED18EB" w:rsidRDefault="00D6763C" w:rsidP="0078692D">
            <w:pPr>
              <w:shd w:val="clear" w:color="auto" w:fill="auto"/>
            </w:pPr>
            <w:r w:rsidRPr="00ED18EB">
              <w:t>Performance Practice Review. https://scholarship.claremont.edu/ppr/</w:t>
            </w:r>
          </w:p>
          <w:p w:rsidR="00D6763C" w:rsidRPr="00ED18EB" w:rsidRDefault="00D6763C" w:rsidP="0078692D">
            <w:pPr>
              <w:shd w:val="clear" w:color="auto" w:fill="auto"/>
            </w:pP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6763C" w:rsidRPr="00ED18EB" w:rsidRDefault="00D6763C" w:rsidP="0078692D">
            <w:pPr>
              <w:pStyle w:val="Nosaukumi"/>
            </w:pPr>
            <w:r w:rsidRPr="00ED18EB">
              <w:t>Piezīmes</w:t>
            </w:r>
          </w:p>
        </w:tc>
      </w:tr>
      <w:tr w:rsidR="00D6763C" w:rsidRPr="00ED18EB" w:rsidTr="0078692D">
        <w:tc>
          <w:tcPr>
            <w:tcW w:w="9320" w:type="dxa"/>
            <w:tcBorders>
              <w:top w:val="single" w:sz="4" w:space="0" w:color="auto"/>
              <w:left w:val="single" w:sz="4" w:space="0" w:color="auto"/>
              <w:bottom w:val="single" w:sz="4" w:space="0" w:color="auto"/>
              <w:right w:val="single" w:sz="4" w:space="0" w:color="auto"/>
            </w:tcBorders>
          </w:tcPr>
          <w:p w:rsidR="00D6763C" w:rsidRPr="00ED18EB" w:rsidRDefault="00D6763C" w:rsidP="0078692D">
            <w:pPr>
              <w:shd w:val="clear" w:color="auto" w:fill="auto"/>
            </w:pPr>
            <w:r w:rsidRPr="00ED18EB">
              <w:t>Profesionālās bakalaura studiju programmas ”Mūzika” B1 daļa.</w:t>
            </w:r>
          </w:p>
          <w:p w:rsidR="00D6763C" w:rsidRPr="00ED18EB" w:rsidRDefault="00D6763C" w:rsidP="0078692D">
            <w:pPr>
              <w:shd w:val="clear" w:color="auto" w:fill="auto"/>
            </w:pPr>
            <w:r w:rsidRPr="00ED18EB">
              <w:t>Kursu apgūst latviešu vai angļu valodā.</w:t>
            </w:r>
          </w:p>
          <w:p w:rsidR="00D6763C" w:rsidRPr="00ED18EB" w:rsidRDefault="00D6763C" w:rsidP="0078692D">
            <w:pPr>
              <w:shd w:val="clear" w:color="auto" w:fill="auto"/>
              <w:jc w:val="both"/>
            </w:pPr>
            <w:r w:rsidRPr="00ED18EB">
              <w:t>Individuālo praktisko nodarbību kontaktstundas paredzētas katram studentam.</w:t>
            </w:r>
          </w:p>
          <w:p w:rsidR="00D6763C" w:rsidRPr="00ED18EB" w:rsidRDefault="00D6763C"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D6763C" w:rsidRPr="00ED18EB" w:rsidRDefault="00D6763C" w:rsidP="0078692D">
            <w:pPr>
              <w:shd w:val="clear" w:color="auto" w:fill="auto"/>
              <w:autoSpaceDE/>
              <w:adjustRightInd/>
              <w:rPr>
                <w:rFonts w:eastAsiaTheme="minorHAnsi"/>
                <w:bCs w:val="0"/>
                <w:iCs w:val="0"/>
              </w:rPr>
            </w:pPr>
          </w:p>
        </w:tc>
      </w:tr>
    </w:tbl>
    <w:p w:rsidR="00D6763C" w:rsidRPr="00ED18EB" w:rsidRDefault="00D6763C" w:rsidP="00D6763C">
      <w:pPr>
        <w:shd w:val="clear" w:color="auto" w:fill="auto"/>
        <w:rPr>
          <w:szCs w:val="22"/>
        </w:rPr>
      </w:pPr>
      <w:r w:rsidRPr="00ED18EB">
        <w:rPr>
          <w:szCs w:val="22"/>
        </w:rPr>
        <w:br w:type="page"/>
      </w:r>
    </w:p>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63C"/>
    <w:rsid w:val="00D6763C"/>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63C"/>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D6763C"/>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D6763C"/>
    <w:pPr>
      <w:framePr w:hSpace="180" w:wrap="around" w:vAnchor="text" w:hAnchor="margin" w:y="1"/>
      <w:shd w:val="clear" w:color="auto" w:fill="auto"/>
    </w:pPr>
    <w:rPr>
      <w:i/>
      <w:iCs w:val="0"/>
      <w:szCs w:val="22"/>
    </w:rPr>
  </w:style>
  <w:style w:type="table" w:styleId="TableGrid">
    <w:name w:val="Table Grid"/>
    <w:basedOn w:val="TableNormal"/>
    <w:uiPriority w:val="59"/>
    <w:rsid w:val="00D676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763C"/>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D6763C"/>
    <w:rPr>
      <w:shd w:val="clear" w:color="auto" w:fill="FFFFFF" w:themeFill="background1"/>
    </w:rPr>
  </w:style>
  <w:style w:type="paragraph" w:customStyle="1" w:styleId="Style1">
    <w:name w:val="Style1"/>
    <w:basedOn w:val="Nosaukumi"/>
    <w:link w:val="Style1Char"/>
    <w:autoRedefine/>
    <w:qFormat/>
    <w:rsid w:val="00D6763C"/>
    <w:pPr>
      <w:framePr w:wrap="around" w:hAnchor="text"/>
      <w:ind w:right="399"/>
    </w:pPr>
    <w:rPr>
      <w:sz w:val="24"/>
      <w:shd w:val="clear" w:color="auto" w:fill="FFFFFF"/>
    </w:rPr>
  </w:style>
  <w:style w:type="character" w:customStyle="1" w:styleId="NosaukumiChar">
    <w:name w:val="Nosaukumi Char"/>
    <w:basedOn w:val="DefaultParagraphFont"/>
    <w:link w:val="Nosaukumi"/>
    <w:rsid w:val="00D6763C"/>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D6763C"/>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D6763C"/>
    <w:rPr>
      <w:caps/>
      <w:szCs w:val="22"/>
    </w:rPr>
  </w:style>
  <w:style w:type="character" w:customStyle="1" w:styleId="Style2Char">
    <w:name w:val="Style2 Char"/>
    <w:basedOn w:val="DefaultParagraphFont"/>
    <w:link w:val="Style2"/>
    <w:rsid w:val="00D6763C"/>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D6763C"/>
    <w:rPr>
      <w:rFonts w:ascii="Tahoma" w:hAnsi="Tahoma" w:cs="Tahoma"/>
      <w:sz w:val="16"/>
      <w:szCs w:val="16"/>
    </w:rPr>
  </w:style>
  <w:style w:type="character" w:customStyle="1" w:styleId="BalloonTextChar">
    <w:name w:val="Balloon Text Char"/>
    <w:basedOn w:val="DefaultParagraphFont"/>
    <w:link w:val="BalloonText"/>
    <w:uiPriority w:val="99"/>
    <w:semiHidden/>
    <w:rsid w:val="00D6763C"/>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63C"/>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D6763C"/>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D6763C"/>
    <w:pPr>
      <w:framePr w:hSpace="180" w:wrap="around" w:vAnchor="text" w:hAnchor="margin" w:y="1"/>
      <w:shd w:val="clear" w:color="auto" w:fill="auto"/>
    </w:pPr>
    <w:rPr>
      <w:i/>
      <w:iCs w:val="0"/>
      <w:szCs w:val="22"/>
    </w:rPr>
  </w:style>
  <w:style w:type="table" w:styleId="TableGrid">
    <w:name w:val="Table Grid"/>
    <w:basedOn w:val="TableNormal"/>
    <w:uiPriority w:val="59"/>
    <w:rsid w:val="00D676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763C"/>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D6763C"/>
    <w:rPr>
      <w:shd w:val="clear" w:color="auto" w:fill="FFFFFF" w:themeFill="background1"/>
    </w:rPr>
  </w:style>
  <w:style w:type="paragraph" w:customStyle="1" w:styleId="Style1">
    <w:name w:val="Style1"/>
    <w:basedOn w:val="Nosaukumi"/>
    <w:link w:val="Style1Char"/>
    <w:autoRedefine/>
    <w:qFormat/>
    <w:rsid w:val="00D6763C"/>
    <w:pPr>
      <w:framePr w:wrap="around" w:hAnchor="text"/>
      <w:ind w:right="399"/>
    </w:pPr>
    <w:rPr>
      <w:sz w:val="24"/>
      <w:shd w:val="clear" w:color="auto" w:fill="FFFFFF"/>
    </w:rPr>
  </w:style>
  <w:style w:type="character" w:customStyle="1" w:styleId="NosaukumiChar">
    <w:name w:val="Nosaukumi Char"/>
    <w:basedOn w:val="DefaultParagraphFont"/>
    <w:link w:val="Nosaukumi"/>
    <w:rsid w:val="00D6763C"/>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D6763C"/>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D6763C"/>
    <w:rPr>
      <w:caps/>
      <w:szCs w:val="22"/>
    </w:rPr>
  </w:style>
  <w:style w:type="character" w:customStyle="1" w:styleId="Style2Char">
    <w:name w:val="Style2 Char"/>
    <w:basedOn w:val="DefaultParagraphFont"/>
    <w:link w:val="Style2"/>
    <w:rsid w:val="00D6763C"/>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D6763C"/>
    <w:rPr>
      <w:rFonts w:ascii="Tahoma" w:hAnsi="Tahoma" w:cs="Tahoma"/>
      <w:sz w:val="16"/>
      <w:szCs w:val="16"/>
    </w:rPr>
  </w:style>
  <w:style w:type="character" w:customStyle="1" w:styleId="BalloonTextChar">
    <w:name w:val="Balloon Text Char"/>
    <w:basedOn w:val="DefaultParagraphFont"/>
    <w:link w:val="BalloonText"/>
    <w:uiPriority w:val="99"/>
    <w:semiHidden/>
    <w:rsid w:val="00D6763C"/>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90E73CF3A704AEBB2C9A46FE2CF52F4"/>
        <w:category>
          <w:name w:val="General"/>
          <w:gallery w:val="placeholder"/>
        </w:category>
        <w:types>
          <w:type w:val="bbPlcHdr"/>
        </w:types>
        <w:behaviors>
          <w:behavior w:val="content"/>
        </w:behaviors>
        <w:guid w:val="{49CFE8A4-D734-4699-9B91-8285BC429F72}"/>
      </w:docPartPr>
      <w:docPartBody>
        <w:p w:rsidR="00000000" w:rsidRDefault="00277D7C" w:rsidP="00277D7C">
          <w:pPr>
            <w:pStyle w:val="490E73CF3A704AEBB2C9A46FE2CF52F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D7C"/>
    <w:rsid w:val="00277D7C"/>
    <w:rsid w:val="00A651C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7D7C"/>
    <w:rPr>
      <w:color w:val="808080"/>
    </w:rPr>
  </w:style>
  <w:style w:type="paragraph" w:customStyle="1" w:styleId="490E73CF3A704AEBB2C9A46FE2CF52F4">
    <w:name w:val="490E73CF3A704AEBB2C9A46FE2CF52F4"/>
    <w:rsid w:val="00277D7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7D7C"/>
    <w:rPr>
      <w:color w:val="808080"/>
    </w:rPr>
  </w:style>
  <w:style w:type="paragraph" w:customStyle="1" w:styleId="490E73CF3A704AEBB2C9A46FE2CF52F4">
    <w:name w:val="490E73CF3A704AEBB2C9A46FE2CF52F4"/>
    <w:rsid w:val="00277D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6583</Words>
  <Characters>3753</Characters>
  <Application>Microsoft Office Word</Application>
  <DocSecurity>0</DocSecurity>
  <Lines>31</Lines>
  <Paragraphs>20</Paragraphs>
  <ScaleCrop>false</ScaleCrop>
  <Company/>
  <LinksUpToDate>false</LinksUpToDate>
  <CharactersWithSpaces>10316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2023-07-13T11:52:00Z</dcterms:created>
  <dcterms:modified xsi:type="dcterms:W3CDTF">2023-07-13T11:52:00Z</dcterms:modified>
</cp:coreProperties>
</file>