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0B" w:rsidRPr="00ED18EB" w:rsidRDefault="00231F0B" w:rsidP="00231F0B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31F0B" w:rsidRPr="00ED18EB" w:rsidRDefault="00231F0B" w:rsidP="00231F0B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31F0B" w:rsidRPr="00ED18EB" w:rsidRDefault="00231F0B" w:rsidP="00231F0B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F0B" w:rsidRPr="00ED18EB" w:rsidRDefault="00231F0B" w:rsidP="0078692D">
            <w:pPr>
              <w:pStyle w:val="Style1"/>
              <w:framePr w:wrap="around"/>
              <w:rPr>
                <w:lang w:eastAsia="lv-LV"/>
              </w:rPr>
            </w:pPr>
            <w:bookmarkStart w:id="0" w:name="_Toc103779972"/>
            <w:bookmarkStart w:id="1" w:name="_GoBack"/>
            <w:proofErr w:type="spellStart"/>
            <w:r w:rsidRPr="00ED18EB">
              <w:t>Pūšaminstrumenta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spēle</w:t>
            </w:r>
            <w:proofErr w:type="spellEnd"/>
            <w:r w:rsidRPr="00ED18EB">
              <w:t xml:space="preserve"> (</w:t>
            </w:r>
            <w:proofErr w:type="spellStart"/>
            <w:r w:rsidRPr="00ED18EB">
              <w:t>klarnete</w:t>
            </w:r>
            <w:proofErr w:type="spellEnd"/>
            <w:r w:rsidRPr="00ED18EB">
              <w:t>) I</w:t>
            </w:r>
            <w:bookmarkEnd w:id="0"/>
            <w:bookmarkEnd w:id="1"/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F0B" w:rsidRPr="00ED18EB" w:rsidRDefault="00231F0B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-105810935"/>
            <w:placeholder>
              <w:docPart w:val="AE5281BF76C04589B063BDBE658CEC5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31F0B" w:rsidRPr="00ED18EB" w:rsidRDefault="00231F0B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shd w:val="clear" w:color="auto" w:fill="auto"/>
              <w:rPr>
                <w:lang w:eastAsia="lv-LV"/>
              </w:rPr>
            </w:pPr>
            <w:r w:rsidRPr="00ED18EB">
              <w:t>1.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F0B" w:rsidRPr="00ED18EB" w:rsidRDefault="00231F0B" w:rsidP="0078692D">
            <w:pPr>
              <w:shd w:val="clear" w:color="auto" w:fill="auto"/>
              <w:rPr>
                <w:lang w:eastAsia="lv-LV"/>
              </w:rPr>
            </w:pPr>
            <w:r w:rsidRPr="00ED18EB">
              <w:t>2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3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F0B" w:rsidRPr="00ED18EB" w:rsidRDefault="00231F0B" w:rsidP="0078692D">
            <w:pPr>
              <w:shd w:val="clear" w:color="auto" w:fill="auto"/>
              <w:rPr>
                <w:lang w:eastAsia="lv-LV"/>
              </w:rPr>
            </w:pPr>
            <w:r w:rsidRPr="00ED18EB">
              <w:t>24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24 (uz katru studējošo) </w:t>
            </w:r>
          </w:p>
        </w:tc>
      </w:tr>
      <w:tr w:rsidR="00231F0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F0B" w:rsidRPr="00ED18EB" w:rsidRDefault="00231F0B" w:rsidP="0078692D">
            <w:pPr>
              <w:shd w:val="clear" w:color="auto" w:fill="auto"/>
              <w:rPr>
                <w:lang w:eastAsia="lv-LV"/>
              </w:rPr>
            </w:pPr>
            <w:r w:rsidRPr="00ED18EB">
              <w:t>56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Dr.art., viesprofesors </w:t>
            </w:r>
            <w:proofErr w:type="spellStart"/>
            <w:r w:rsidRPr="00ED18EB">
              <w:t>Rytis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Urniežius</w:t>
            </w:r>
            <w:proofErr w:type="spellEnd"/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Dr.art., viesprofesors </w:t>
            </w:r>
            <w:proofErr w:type="spellStart"/>
            <w:r w:rsidRPr="00ED18EB">
              <w:t>Rišards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Kšištofs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Žoledzevskis</w:t>
            </w:r>
            <w:proofErr w:type="spellEnd"/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</w:t>
            </w:r>
            <w:proofErr w:type="spellStart"/>
            <w:r w:rsidRPr="00ED18EB">
              <w:t>Vasilijs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Šušerts</w:t>
            </w:r>
            <w:proofErr w:type="spellEnd"/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viesasistents</w:t>
            </w:r>
            <w:proofErr w:type="spellEnd"/>
            <w:r w:rsidRPr="00ED18EB">
              <w:t xml:space="preserve"> Ruslans </w:t>
            </w:r>
            <w:proofErr w:type="spellStart"/>
            <w:r w:rsidRPr="00ED18EB">
              <w:t>Margevičs</w:t>
            </w:r>
            <w:proofErr w:type="spellEnd"/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Dainis </w:t>
            </w:r>
            <w:proofErr w:type="spellStart"/>
            <w:r w:rsidRPr="00ED18EB">
              <w:t>Vuškāns</w:t>
            </w:r>
            <w:proofErr w:type="spellEnd"/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Pūšaminstrumenta (klarnete) spēles prasmes, kas iegūtas atbilstoši mūzikas profesionālās vidējās izglītības studiju programmas prasībām.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(klarnete)” studējošajiem.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KURSA MĒRĶIS – sagatavot profesionālu klarnetistu,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I semestris 2KP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24 stundas (uz katru studējošo),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56 stundas.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Kontrolstunda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Akadēmiskais koncerts.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lastRenderedPageBreak/>
              <w:t>Kolokvijs.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Ieskaite ar atzīmi.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visaptverošas zināšanas par pūšaminstrumentu (īpaši klarnetes) tehnoloģiju un atskaņojuma specifiku;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– izvēlēties </w:t>
            </w:r>
            <w:proofErr w:type="spellStart"/>
            <w:r w:rsidRPr="00ED18EB">
              <w:t>koncertrepertuāru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56 stundas tiek organizēts individuāli.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Patstāvīgie uzdevumi: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Izmantojamās studiju formas – individuālās praktiskās nodarbības, </w:t>
            </w:r>
            <w:proofErr w:type="spellStart"/>
            <w:r w:rsidRPr="00ED18EB">
              <w:t>starppārbaudījumi</w:t>
            </w:r>
            <w:proofErr w:type="spellEnd"/>
            <w:r w:rsidRPr="00ED18EB">
              <w:t xml:space="preserve"> – </w:t>
            </w:r>
            <w:proofErr w:type="spellStart"/>
            <w:r w:rsidRPr="00ED18EB">
              <w:t>kontrolstundas</w:t>
            </w:r>
            <w:proofErr w:type="spellEnd"/>
            <w:r w:rsidRPr="00ED18EB">
              <w:t>, akadēmiskie koncerti, kolokviji, ieskaite ar atzīmi.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Studiju kursa apguves pārbaudes formas: </w:t>
            </w:r>
            <w:proofErr w:type="spellStart"/>
            <w:r w:rsidRPr="00ED18EB">
              <w:t>kontrolstunda</w:t>
            </w:r>
            <w:proofErr w:type="spellEnd"/>
            <w:r w:rsidRPr="00ED18EB">
              <w:t>, akadēmiskais koncerts – 25%, kolokvijs – 25%, ieskaite ar atzīmi – 50%. Regulārs nodarbību apmeklējums.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atskaņot no galvas ieskaites ar atzīmi programmu.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I semestris: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Kontrolstunda</w:t>
            </w:r>
            <w:proofErr w:type="spellEnd"/>
            <w:r w:rsidRPr="00ED18EB">
              <w:t>: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gammas līdz divām zīmēm;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lasīšana no lapas tonalitātēs līdz divām alterācijas zīmēm.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Akadēmiskais koncerts: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skaņdarbs.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Kolokvijs.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Ieskaite ar atzīmi: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lastRenderedPageBreak/>
              <w:t>– divi dažāda rakstura skaņdarbi.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Pārbaudījuma forma:</w:t>
            </w:r>
            <w:r w:rsidRPr="00ED18EB">
              <w:t xml:space="preserve"> praktiska (programmas skaņdarbu atskaņošana).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231F0B" w:rsidRPr="00ED18EB" w:rsidRDefault="00231F0B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kolokvijā, ieskaitē ar atzīmi vērtē 10 ballu skalā.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skaņas kvalitāte;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– pareizi tempi un loģiska </w:t>
            </w:r>
            <w:proofErr w:type="spellStart"/>
            <w:r w:rsidRPr="00ED18EB">
              <w:t>agoģika</w:t>
            </w:r>
            <w:proofErr w:type="spellEnd"/>
            <w:r w:rsidRPr="00ED18EB">
              <w:t>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Pūšaminstrumenta klarnete spēles tehnikas apguve.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gramStart"/>
            <w:r w:rsidRPr="00ED18EB">
              <w:t>Dažādu stilu un žanru skaņdarbu klarnetei apguve</w:t>
            </w:r>
            <w:proofErr w:type="gram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Etīdes: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Jeanjean</w:t>
            </w:r>
            <w:proofErr w:type="spellEnd"/>
            <w:r w:rsidRPr="00ED18EB">
              <w:t xml:space="preserve">, P. (2005).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Progressives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Melodiques</w:t>
            </w:r>
            <w:proofErr w:type="spellEnd"/>
            <w:r w:rsidRPr="00ED18EB">
              <w:t xml:space="preserve"> Vol.3. ID: AL17490.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lastRenderedPageBreak/>
              <w:t>Klose</w:t>
            </w:r>
            <w:proofErr w:type="spellEnd"/>
            <w:r w:rsidRPr="00ED18EB">
              <w:t xml:space="preserve">, H. E. (1995). 30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Co.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Langenud</w:t>
            </w:r>
            <w:proofErr w:type="spellEnd"/>
            <w:r w:rsidRPr="00ED18EB">
              <w:t xml:space="preserve"> G. (2019). </w:t>
            </w:r>
            <w:proofErr w:type="spellStart"/>
            <w:r w:rsidRPr="00ED18EB">
              <w:t>Complete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Method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Part</w:t>
            </w:r>
            <w:proofErr w:type="spellEnd"/>
            <w:r w:rsidRPr="00ED18EB">
              <w:t xml:space="preserve"> 3. Allegro </w:t>
            </w:r>
            <w:proofErr w:type="spellStart"/>
            <w:r w:rsidRPr="00ED18EB">
              <w:t>Editions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Rae</w:t>
            </w:r>
            <w:proofErr w:type="spellEnd"/>
            <w:r w:rsidRPr="00ED18EB">
              <w:t xml:space="preserve">, J. (2010). 40 </w:t>
            </w:r>
            <w:proofErr w:type="spellStart"/>
            <w:r w:rsidRPr="00ED18EB">
              <w:t>Modern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Solo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Universal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Rose</w:t>
            </w:r>
            <w:proofErr w:type="spellEnd"/>
            <w:r w:rsidRPr="00ED18EB">
              <w:t xml:space="preserve">, C. (2005). 40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Book</w:t>
            </w:r>
            <w:proofErr w:type="spellEnd"/>
            <w:r w:rsidRPr="00ED18EB">
              <w:t xml:space="preserve"> 2. </w:t>
            </w:r>
            <w:proofErr w:type="spellStart"/>
            <w:r w:rsidRPr="00ED18EB">
              <w:t>Alfred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Publishing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Brahms</w:t>
            </w:r>
            <w:proofErr w:type="spellEnd"/>
            <w:r w:rsidRPr="00ED18EB">
              <w:t xml:space="preserve">, J. (2010).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 f–</w:t>
            </w:r>
            <w:proofErr w:type="spellStart"/>
            <w:r w:rsidRPr="00ED18EB">
              <w:t>Moll</w:t>
            </w:r>
            <w:proofErr w:type="spellEnd"/>
            <w:r w:rsidRPr="00ED18EB">
              <w:t xml:space="preserve"> Op. 120 No. 1. </w:t>
            </w:r>
            <w:proofErr w:type="spellStart"/>
            <w:r w:rsidRPr="00ED18EB">
              <w:t>Wiener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Urtext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Brahms</w:t>
            </w:r>
            <w:proofErr w:type="spellEnd"/>
            <w:r w:rsidRPr="00ED18EB">
              <w:t xml:space="preserve">, J. (2010).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 Es–Dur Op. 120 No. 2. </w:t>
            </w:r>
            <w:proofErr w:type="spellStart"/>
            <w:r w:rsidRPr="00ED18EB">
              <w:t>Wiener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Urtext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Hindemith</w:t>
            </w:r>
            <w:proofErr w:type="spellEnd"/>
            <w:r w:rsidRPr="00ED18EB">
              <w:t xml:space="preserve">, P. (1981).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B </w:t>
            </w:r>
            <w:proofErr w:type="spellStart"/>
            <w:r w:rsidRPr="00ED18EB">
              <w:t>flat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, F. A. (2001)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D–dur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Kunzelmann</w:t>
            </w:r>
            <w:proofErr w:type="spellEnd"/>
            <w:r w:rsidRPr="00ED18EB">
              <w:t xml:space="preserve">.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, F. A. (2001)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F–dur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Kunzelmann</w:t>
            </w:r>
            <w:proofErr w:type="spellEnd"/>
            <w:r w:rsidRPr="00ED18EB">
              <w:t xml:space="preserve">.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, F. A. (2001)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g–</w:t>
            </w:r>
            <w:proofErr w:type="spellStart"/>
            <w:r w:rsidRPr="00ED18EB">
              <w:t>moll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Kunzelmann</w:t>
            </w:r>
            <w:proofErr w:type="spellEnd"/>
            <w:r w:rsidRPr="00ED18EB">
              <w:t xml:space="preserve">.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Poulenc</w:t>
            </w:r>
            <w:proofErr w:type="spellEnd"/>
            <w:r w:rsidRPr="00ED18EB">
              <w:t xml:space="preserve">, F. (2006)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Chester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Saint</w:t>
            </w:r>
            <w:proofErr w:type="spellEnd"/>
            <w:r w:rsidRPr="00ED18EB">
              <w:t>–</w:t>
            </w:r>
            <w:proofErr w:type="spellStart"/>
            <w:r w:rsidRPr="00ED18EB">
              <w:t>Saëns</w:t>
            </w:r>
            <w:proofErr w:type="spellEnd"/>
            <w:r w:rsidRPr="00ED18EB">
              <w:t xml:space="preserve">, C. (2001). </w:t>
            </w:r>
            <w:proofErr w:type="spellStart"/>
            <w:r w:rsidRPr="00ED18EB">
              <w:t>Sonate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Opus</w:t>
            </w:r>
            <w:proofErr w:type="spellEnd"/>
            <w:r w:rsidRPr="00ED18EB">
              <w:t xml:space="preserve"> 167.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Peters. 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Koncerti: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Mozart</w:t>
            </w:r>
            <w:proofErr w:type="spellEnd"/>
            <w:r w:rsidRPr="00ED18EB">
              <w:t xml:space="preserve">, W. A.  (1990).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A major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reduction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Bärenreiter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Stamitz</w:t>
            </w:r>
            <w:proofErr w:type="spellEnd"/>
            <w:r w:rsidRPr="00ED18EB">
              <w:t xml:space="preserve">, C. (2001).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No. 3.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Peters.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Weber</w:t>
            </w:r>
            <w:proofErr w:type="spellEnd"/>
            <w:r w:rsidRPr="00ED18EB">
              <w:t xml:space="preserve">, C.M. (2000). </w:t>
            </w:r>
            <w:proofErr w:type="spellStart"/>
            <w:r w:rsidRPr="00ED18EB">
              <w:t>Concertino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reduction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Weber</w:t>
            </w:r>
            <w:proofErr w:type="spellEnd"/>
            <w:r w:rsidRPr="00ED18EB">
              <w:t xml:space="preserve">, C. M. (2011).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No. 1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Boosey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Hawkes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Weber</w:t>
            </w:r>
            <w:proofErr w:type="spellEnd"/>
            <w:r w:rsidRPr="00ED18EB">
              <w:t xml:space="preserve">, C. M. (2012). </w:t>
            </w:r>
            <w:proofErr w:type="spellStart"/>
            <w:r w:rsidRPr="00ED18EB">
              <w:t>Konzert</w:t>
            </w:r>
            <w:proofErr w:type="spellEnd"/>
            <w:r w:rsidRPr="00ED18EB">
              <w:t xml:space="preserve"> Nr. 2 </w:t>
            </w:r>
            <w:proofErr w:type="spellStart"/>
            <w:r w:rsidRPr="00ED18EB">
              <w:t>für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Klavierauszug</w:t>
            </w:r>
            <w:proofErr w:type="spellEnd"/>
            <w:r w:rsidRPr="00ED18EB">
              <w:t>.</w:t>
            </w:r>
            <w:proofErr w:type="gramStart"/>
            <w:r w:rsidRPr="00ED18EB">
              <w:t xml:space="preserve">  </w:t>
            </w:r>
            <w:proofErr w:type="spellStart"/>
            <w:proofErr w:type="gramEnd"/>
            <w:r w:rsidRPr="00ED18EB">
              <w:t>Schott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Solo skaņdarbi: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Auber</w:t>
            </w:r>
            <w:proofErr w:type="spellEnd"/>
            <w:r w:rsidRPr="00ED18EB">
              <w:t xml:space="preserve">, D. (2018). </w:t>
            </w:r>
            <w:proofErr w:type="spellStart"/>
            <w:r w:rsidRPr="00ED18EB">
              <w:t>Gigue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Publishing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Company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Best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Classics</w:t>
            </w:r>
            <w:proofErr w:type="spellEnd"/>
            <w:r w:rsidRPr="00ED18EB">
              <w:t xml:space="preserve"> (2015). 20 </w:t>
            </w:r>
            <w:proofErr w:type="spellStart"/>
            <w:r w:rsidRPr="00ED18EB">
              <w:t>Famous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Concert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Exam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(2013). ABRSM </w:t>
            </w:r>
            <w:proofErr w:type="spellStart"/>
            <w:r w:rsidRPr="00ED18EB">
              <w:t>Grade</w:t>
            </w:r>
            <w:proofErr w:type="spellEnd"/>
            <w:r w:rsidRPr="00ED18EB">
              <w:t xml:space="preserve"> 6. ABRSM </w:t>
            </w:r>
            <w:proofErr w:type="spellStart"/>
            <w:r w:rsidRPr="00ED18EB">
              <w:t>Publishing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Dip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100 </w:t>
            </w:r>
            <w:proofErr w:type="spellStart"/>
            <w:r w:rsidRPr="00ED18EB">
              <w:t>Classical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(2008). </w:t>
            </w:r>
            <w:proofErr w:type="spellStart"/>
            <w:r w:rsidRPr="00ED18EB">
              <w:t>Omnibus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Wise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Harris</w:t>
            </w:r>
            <w:proofErr w:type="spellEnd"/>
            <w:r w:rsidRPr="00ED18EB">
              <w:t xml:space="preserve">, P. (2014). No 4: </w:t>
            </w:r>
            <w:proofErr w:type="spellStart"/>
            <w:r w:rsidRPr="00ED18EB">
              <w:t>Reflections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Summer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Sketches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Boosey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Hawkes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Schumann</w:t>
            </w:r>
            <w:proofErr w:type="spellEnd"/>
            <w:r w:rsidRPr="00ED18EB">
              <w:t xml:space="preserve">, R. (2015). </w:t>
            </w:r>
            <w:proofErr w:type="spellStart"/>
            <w:r w:rsidRPr="00ED18EB">
              <w:t>Fantasiestücke</w:t>
            </w:r>
            <w:proofErr w:type="spellEnd"/>
            <w:r w:rsidRPr="00ED18EB">
              <w:t xml:space="preserve"> op. 73 </w:t>
            </w:r>
            <w:proofErr w:type="spellStart"/>
            <w:r w:rsidRPr="00ED18EB">
              <w:t>fur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Klarinette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Wiener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Urtext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Stravinsky</w:t>
            </w:r>
            <w:proofErr w:type="spellEnd"/>
            <w:r w:rsidRPr="00ED18EB">
              <w:t xml:space="preserve">, I. (2000). </w:t>
            </w:r>
            <w:proofErr w:type="spellStart"/>
            <w:r w:rsidRPr="00ED18EB">
              <w:t>Three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Pieces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 Solo. </w:t>
            </w:r>
            <w:proofErr w:type="spellStart"/>
            <w:r w:rsidRPr="00ED18EB">
              <w:t>Chester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pStyle w:val="Style2"/>
              <w:shd w:val="clear" w:color="auto" w:fill="auto"/>
            </w:pPr>
            <w:r w:rsidRPr="00ED18EB">
              <w:lastRenderedPageBreak/>
              <w:t>Ieteicamais repertuārs:</w:t>
            </w:r>
          </w:p>
          <w:p w:rsidR="00231F0B" w:rsidRPr="00ED18EB" w:rsidRDefault="00231F0B" w:rsidP="0078692D">
            <w:pPr>
              <w:shd w:val="clear" w:color="auto" w:fill="auto"/>
            </w:pP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I semestris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Lancelots</w:t>
            </w:r>
            <w:proofErr w:type="spellEnd"/>
            <w:r w:rsidRPr="00ED18EB">
              <w:t>, J. 25 klarnetes skaņdarbi.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Jeanjean</w:t>
            </w:r>
            <w:proofErr w:type="spellEnd"/>
            <w:r w:rsidRPr="00ED18EB">
              <w:t xml:space="preserve">, P.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Progressives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Melodiques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Mocarts, W. A. </w:t>
            </w:r>
            <w:proofErr w:type="spellStart"/>
            <w:r w:rsidRPr="00ED18EB">
              <w:t>Larghetto</w:t>
            </w:r>
            <w:proofErr w:type="spellEnd"/>
            <w:r w:rsidRPr="00ED18EB">
              <w:t xml:space="preserve"> no klarnetes kvinteta.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Hoffmeister</w:t>
            </w:r>
            <w:proofErr w:type="spellEnd"/>
            <w:r w:rsidRPr="00ED18EB">
              <w:t xml:space="preserve"> F. A. Sonātes klarnetei D–duras, G–mol, F–duras.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Stamitz</w:t>
            </w:r>
            <w:proofErr w:type="spellEnd"/>
            <w:r w:rsidRPr="00ED18EB">
              <w:t>, C. P. Koncerts E–dur.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Stamitz</w:t>
            </w:r>
            <w:proofErr w:type="spellEnd"/>
            <w:r w:rsidRPr="00ED18EB">
              <w:t>, C. P. Koncerts F–dur.</w:t>
            </w:r>
            <w:r w:rsidRPr="00ED18EB">
              <w:rPr>
                <w:lang w:eastAsia="lv-LV"/>
              </w:rPr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Brymer</w:t>
            </w:r>
            <w:proofErr w:type="spellEnd"/>
            <w:r w:rsidRPr="00ED18EB">
              <w:t xml:space="preserve">, J. (1990). </w:t>
            </w:r>
            <w:proofErr w:type="spellStart"/>
            <w:r w:rsidRPr="00ED18EB">
              <w:t>Clarinet</w:t>
            </w:r>
            <w:proofErr w:type="spellEnd"/>
            <w:r w:rsidRPr="00ED18EB">
              <w:t xml:space="preserve">. London: </w:t>
            </w:r>
            <w:proofErr w:type="spellStart"/>
            <w:r w:rsidRPr="00ED18EB">
              <w:t>Kahn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Averill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 xml:space="preserve">Morgan, R. (1991). </w:t>
            </w:r>
            <w:proofErr w:type="spellStart"/>
            <w:r w:rsidRPr="00ED18EB">
              <w:t>Twentieth</w:t>
            </w:r>
            <w:proofErr w:type="spellEnd"/>
            <w:r w:rsidRPr="00ED18EB">
              <w:t>–</w:t>
            </w:r>
            <w:proofErr w:type="spellStart"/>
            <w:r w:rsidRPr="00ED18EB">
              <w:t>Century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: A </w:t>
            </w:r>
            <w:proofErr w:type="spellStart"/>
            <w:r w:rsidRPr="00ED18EB">
              <w:t>History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Style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Modern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Europe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America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New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York</w:t>
            </w:r>
            <w:proofErr w:type="spellEnd"/>
            <w:r w:rsidRPr="00ED18EB">
              <w:t xml:space="preserve">: W. W. </w:t>
            </w:r>
            <w:proofErr w:type="spellStart"/>
            <w:r w:rsidRPr="00ED18EB">
              <w:t>Norton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Company</w:t>
            </w:r>
            <w:proofErr w:type="spellEnd"/>
            <w:r w:rsidRPr="00ED18EB"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Clarinet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Saxophone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Society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Great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Britain</w:t>
            </w:r>
            <w:proofErr w:type="spellEnd"/>
            <w:r w:rsidRPr="00ED18EB">
              <w:t xml:space="preserve">. https://www.cassgb.org 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Contemporary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Review</w:t>
            </w:r>
            <w:proofErr w:type="spellEnd"/>
            <w:r w:rsidRPr="00ED18EB">
              <w:t>. https://www.tandfonline.com/loi/gcmr20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Early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Performer</w:t>
            </w:r>
            <w:proofErr w:type="spellEnd"/>
            <w:r w:rsidRPr="00ED18EB">
              <w:t>. https://www.earlymusic.info/Performer.php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Journal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  <w:r w:rsidRPr="00ED18EB">
              <w:t>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lastRenderedPageBreak/>
              <w:t>https://journals.sagepub.com/doi/abs/10.1177/0022429415583474?journalCode=jrmas</w:t>
            </w:r>
          </w:p>
          <w:p w:rsidR="00231F0B" w:rsidRPr="00ED18EB" w:rsidRDefault="00231F0B" w:rsidP="0078692D">
            <w:pPr>
              <w:shd w:val="clear" w:color="auto" w:fill="auto"/>
            </w:pPr>
            <w:proofErr w:type="spellStart"/>
            <w:r w:rsidRPr="00ED18EB">
              <w:t>Performance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Practice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Review</w:t>
            </w:r>
            <w:proofErr w:type="spellEnd"/>
            <w:r w:rsidRPr="00ED18EB">
              <w:t>. https://scholarship.claremont.edu/ppr/</w:t>
            </w:r>
          </w:p>
          <w:p w:rsidR="00231F0B" w:rsidRPr="00ED18EB" w:rsidRDefault="00231F0B" w:rsidP="0078692D">
            <w:pPr>
              <w:shd w:val="clear" w:color="auto" w:fill="auto"/>
            </w:pPr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F0B" w:rsidRPr="00ED18EB" w:rsidRDefault="00231F0B" w:rsidP="0078692D">
            <w:pPr>
              <w:pStyle w:val="Nosaukumi"/>
            </w:pPr>
            <w:proofErr w:type="spellStart"/>
            <w:r w:rsidRPr="00ED18EB">
              <w:lastRenderedPageBreak/>
              <w:t>Piezīmes</w:t>
            </w:r>
            <w:proofErr w:type="spellEnd"/>
          </w:p>
        </w:tc>
      </w:tr>
      <w:tr w:rsidR="00231F0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0B" w:rsidRPr="00ED18EB" w:rsidRDefault="00231F0B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231F0B" w:rsidRPr="00ED18EB" w:rsidRDefault="00231F0B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231F0B" w:rsidRPr="00ED18EB" w:rsidRDefault="00231F0B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231F0B" w:rsidRPr="00ED18EB" w:rsidRDefault="00231F0B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231F0B" w:rsidRPr="00ED18EB" w:rsidRDefault="00231F0B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231F0B" w:rsidRPr="00ED18EB" w:rsidRDefault="00231F0B" w:rsidP="00231F0B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 w:rsidSect="00231F0B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0B"/>
    <w:rsid w:val="00231F0B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0B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231F0B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31F0B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31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1F0B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31F0B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31F0B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31F0B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31F0B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31F0B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31F0B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F0B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0B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231F0B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31F0B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31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1F0B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31F0B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31F0B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31F0B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31F0B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31F0B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31F0B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F0B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5281BF76C04589B063BDBE658CE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3671F-C2BE-432A-89E0-49F68F82651B}"/>
      </w:docPartPr>
      <w:docPartBody>
        <w:p w:rsidR="00000000" w:rsidRDefault="00FF63A5" w:rsidP="00FF63A5">
          <w:pPr>
            <w:pStyle w:val="AE5281BF76C04589B063BDBE658CEC5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A5"/>
    <w:rsid w:val="00855577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63A5"/>
    <w:rPr>
      <w:color w:val="808080"/>
    </w:rPr>
  </w:style>
  <w:style w:type="paragraph" w:customStyle="1" w:styleId="AE5281BF76C04589B063BDBE658CEC5D">
    <w:name w:val="AE5281BF76C04589B063BDBE658CEC5D"/>
    <w:rsid w:val="00FF63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63A5"/>
    <w:rPr>
      <w:color w:val="808080"/>
    </w:rPr>
  </w:style>
  <w:style w:type="paragraph" w:customStyle="1" w:styleId="AE5281BF76C04589B063BDBE658CEC5D">
    <w:name w:val="AE5281BF76C04589B063BDBE658CEC5D"/>
    <w:rsid w:val="00FF63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6085</Words>
  <Characters>3470</Characters>
  <Application>Microsoft Office Word</Application>
  <DocSecurity>0</DocSecurity>
  <Lines>28</Lines>
  <Paragraphs>19</Paragraphs>
  <ScaleCrop>false</ScaleCrop>
  <Company/>
  <LinksUpToDate>false</LinksUpToDate>
  <CharactersWithSpaces>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2023-07-13T11:33:00Z</dcterms:created>
  <dcterms:modified xsi:type="dcterms:W3CDTF">2023-07-13T11:33:00Z</dcterms:modified>
</cp:coreProperties>
</file>