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D4" w:rsidRPr="000E4B28" w:rsidRDefault="008804D4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>Ansamblis [ģitāras spēle]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D4" w:rsidRPr="000E4B28" w:rsidRDefault="008804D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MākZE004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305902382"/>
            <w:placeholder>
              <w:docPart w:val="D7205838CC534E99A219D719D4FCF70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D4" w:rsidRPr="000E4B28" w:rsidRDefault="008804D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1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1.5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D4" w:rsidRPr="000E4B28" w:rsidRDefault="008804D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8804D4" w:rsidRPr="000E4B28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4D4" w:rsidRPr="000E4B28" w:rsidRDefault="008804D4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 40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D4" w:rsidRPr="000E4B28" w:rsidRDefault="008804D4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8804D4" w:rsidRPr="000E4B28" w:rsidTr="00C910BF">
        <w:sdt>
          <w:sdtPr>
            <w:rPr>
              <w:rFonts w:eastAsiaTheme="minorHAnsi"/>
            </w:rPr>
            <w:id w:val="1097134933"/>
            <w:placeholder>
              <w:docPart w:val="6F5C12B8E41942DD880CF27F6175EC1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pPr>
                  <w:rPr>
                    <w:rFonts w:eastAsiaTheme="minorHAnsi"/>
                  </w:rPr>
                </w:pPr>
                <w:r w:rsidRPr="000E4B28">
                  <w:t xml:space="preserve"> </w:t>
                </w:r>
                <w:proofErr w:type="spellStart"/>
                <w:r w:rsidRPr="000E4B28">
                  <w:t>Mag</w:t>
                </w:r>
                <w:proofErr w:type="spellEnd"/>
                <w:r w:rsidRPr="000E4B28">
                  <w:t xml:space="preserve">. art., </w:t>
                </w:r>
                <w:proofErr w:type="spellStart"/>
                <w:r w:rsidRPr="000E4B28">
                  <w:t>viesasist</w:t>
                </w:r>
                <w:proofErr w:type="spellEnd"/>
                <w:r w:rsidRPr="000E4B28">
                  <w:t xml:space="preserve">. Maksims </w:t>
                </w:r>
                <w:proofErr w:type="spellStart"/>
                <w:r w:rsidRPr="000E4B28">
                  <w:t>Bendelstons</w:t>
                </w:r>
                <w:proofErr w:type="spellEnd"/>
                <w:r w:rsidRPr="000E4B28">
                  <w:t>, Mūzikas katedra, DU</w:t>
                </w:r>
              </w:p>
            </w:tc>
          </w:sdtContent>
        </w:sdt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D4" w:rsidRPr="000E4B28" w:rsidRDefault="008804D4" w:rsidP="00C910BF">
            <w:r w:rsidRPr="000E4B28">
              <w:t xml:space="preserve"> </w:t>
            </w:r>
            <w:proofErr w:type="spellStart"/>
            <w:r w:rsidRPr="000E4B28">
              <w:t>Mag</w:t>
            </w:r>
            <w:proofErr w:type="spellEnd"/>
            <w:r w:rsidRPr="000E4B28">
              <w:t xml:space="preserve">. art., </w:t>
            </w:r>
            <w:proofErr w:type="spellStart"/>
            <w:r w:rsidRPr="000E4B28">
              <w:t>viesasist</w:t>
            </w:r>
            <w:proofErr w:type="spellEnd"/>
            <w:r w:rsidRPr="000E4B28">
              <w:t xml:space="preserve">. Maksims </w:t>
            </w:r>
            <w:proofErr w:type="spellStart"/>
            <w:r w:rsidRPr="000E4B28">
              <w:t>Bendelstons</w:t>
            </w:r>
            <w:proofErr w:type="spellEnd"/>
            <w:r w:rsidRPr="000E4B28">
              <w:t>, Mūzikas katedra, DU</w:t>
            </w:r>
          </w:p>
          <w:p w:rsidR="008804D4" w:rsidRPr="000E4B28" w:rsidRDefault="008804D4" w:rsidP="00C910BF">
            <w:proofErr w:type="spellStart"/>
            <w:r w:rsidRPr="000E4B28">
              <w:t>Mg.art</w:t>
            </w:r>
            <w:proofErr w:type="spellEnd"/>
            <w:r w:rsidRPr="000E4B28">
              <w:t xml:space="preserve">., </w:t>
            </w:r>
            <w:proofErr w:type="spellStart"/>
            <w:r w:rsidRPr="000E4B28">
              <w:t>vieslekt</w:t>
            </w:r>
            <w:proofErr w:type="spellEnd"/>
            <w:r w:rsidRPr="000E4B28">
              <w:t>. Romāns Ivanovs</w:t>
            </w:r>
          </w:p>
          <w:p w:rsidR="008804D4" w:rsidRPr="000E4B28" w:rsidRDefault="008804D4" w:rsidP="00C910BF">
            <w:pPr>
              <w:rPr>
                <w:rFonts w:eastAsiaTheme="minorHAnsi"/>
              </w:rPr>
            </w:pPr>
            <w:r w:rsidRPr="000E4B28">
              <w:t xml:space="preserve">Dr.paed., </w:t>
            </w:r>
            <w:proofErr w:type="spellStart"/>
            <w:r w:rsidRPr="000E4B28">
              <w:t>viesdoc</w:t>
            </w:r>
            <w:proofErr w:type="spellEnd"/>
            <w:r w:rsidRPr="000E4B28">
              <w:t>. Tālis Gžibovskis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</w:rPr>
            </w:pPr>
            <w:r w:rsidRPr="000E4B28">
              <w:t>Apgūtas ģitārspēles prasmes profesionālās augstākās izglītības programmas noslēguma prasību līmenī.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8804D4" w:rsidRPr="000E4B28" w:rsidTr="00C910BF">
        <w:sdt>
          <w:sdtPr>
            <w:rPr>
              <w:rFonts w:eastAsiaTheme="minorHAnsi"/>
            </w:rPr>
            <w:id w:val="-2090303094"/>
            <w:placeholder>
              <w:docPart w:val="5BE6579C1B054888BAFF59D40A86D95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481954962"/>
                    <w:placeholder>
                      <w:docPart w:val="6CFBA46B815340D6BA398865BAFF40DE"/>
                    </w:placeholder>
                  </w:sdtPr>
                  <w:sdtContent>
                    <w:r w:rsidRPr="000E4B2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270361680"/>
                        <w:placeholder>
                          <w:docPart w:val="D6B8528820834C878E5E73F1A390EC6B"/>
                        </w:placeholder>
                      </w:sdtPr>
                      <w:sdtContent>
                        <w:r w:rsidRPr="000E4B2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-1306774105"/>
                            <w:placeholder>
                              <w:docPart w:val="5E7E8AF0B80D4D5095C007F465E59C94"/>
                            </w:placeholder>
                          </w:sdtPr>
                          <w:sdtContent>
                            <w:r w:rsidRPr="000E4B2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-1675565045"/>
                                <w:placeholder>
                                  <w:docPart w:val="13F1B57FC13841B498FB0185442E3828"/>
                                </w:placeholder>
                              </w:sdtPr>
                              <w:sdtContent>
                                <w:r w:rsidRPr="000E4B28">
                                  <w:t xml:space="preserve">Valsts pārbaudījums profesionālā bakalaura studiju programmas </w:t>
                                </w:r>
                                <w:r w:rsidRPr="000E4B28">
                                  <w:rPr>
                                    <w:i/>
                                  </w:rPr>
                                  <w:t>Mūzika</w:t>
                                </w:r>
                                <w:r w:rsidRPr="000E4B28">
                                  <w:t xml:space="preserve"> specializācijas moduļa </w:t>
                                </w:r>
                                <w:r w:rsidRPr="000E4B28">
                                  <w:rPr>
                                    <w:i/>
                                  </w:rPr>
                                  <w:t>Ģitārspēle</w:t>
                                </w:r>
                                <w:r w:rsidRPr="000E4B28">
                                  <w:t xml:space="preserve"> studiju kursā “</w:t>
                                </w:r>
                                <w:r w:rsidRPr="000E4B28">
                                  <w:rPr>
                                    <w:i/>
                                  </w:rPr>
                                  <w:t>Ansamblis</w:t>
                                </w:r>
                                <w:r w:rsidRPr="000E4B28">
                                  <w:t>”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8804D4" w:rsidRPr="000E4B28" w:rsidTr="00C910BF">
        <w:sdt>
          <w:sdtPr>
            <w:rPr>
              <w:rFonts w:eastAsiaTheme="minorHAnsi"/>
            </w:rPr>
            <w:id w:val="-369302794"/>
            <w:placeholder>
              <w:docPart w:val="810018106377463CBD0493F1D1B62D60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8804D4" w:rsidRPr="000E4B28" w:rsidTr="00C910BF">
        <w:sdt>
          <w:sdtPr>
            <w:rPr>
              <w:rFonts w:eastAsiaTheme="minorHAnsi"/>
            </w:rPr>
            <w:id w:val="1933474969"/>
            <w:placeholder>
              <w:docPart w:val="AA9CA9E7068B4D6B9F3AF4D6046D52AC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 xml:space="preserve">ZINĀŠANAS </w:t>
                </w:r>
              </w:p>
              <w:p w:rsidR="008804D4" w:rsidRPr="000E4B28" w:rsidRDefault="008804D4" w:rsidP="00C910BF">
                <w:r w:rsidRPr="000E4B28">
                  <w:t>- zināšanas par dažādu ansambļu īpatnībām;</w:t>
                </w:r>
              </w:p>
              <w:p w:rsidR="008804D4" w:rsidRPr="000E4B28" w:rsidRDefault="008804D4" w:rsidP="00C910BF">
                <w:r w:rsidRPr="000E4B28">
                  <w:t>- zināšanas par konkrēta ansambļa instrumenta atskaņojuma specifiku ansamblī;</w:t>
                </w:r>
              </w:p>
              <w:p w:rsidR="008804D4" w:rsidRPr="000E4B28" w:rsidRDefault="008804D4" w:rsidP="00C910BF">
                <w:r w:rsidRPr="000E4B28">
                  <w:t>- zināšanas par radniecīgā instrumenta īpatnībām;</w:t>
                </w:r>
              </w:p>
              <w:p w:rsidR="008804D4" w:rsidRPr="000E4B28" w:rsidRDefault="008804D4" w:rsidP="00C910BF">
                <w:r w:rsidRPr="000E4B28">
                  <w:t>- ansambļa grupas repertuāra svarīgāko skaņdarbu pārzināšana.</w:t>
                </w:r>
              </w:p>
              <w:p w:rsidR="008804D4" w:rsidRPr="000E4B28" w:rsidRDefault="008804D4" w:rsidP="00C910BF">
                <w:r w:rsidRPr="000E4B28">
                  <w:t xml:space="preserve">PRASMES </w:t>
                </w:r>
              </w:p>
              <w:p w:rsidR="008804D4" w:rsidRPr="000E4B28" w:rsidRDefault="008804D4" w:rsidP="00C910BF">
                <w:r w:rsidRPr="000E4B28">
                  <w:t>- harmoniskas ansambļa spēles prasme;</w:t>
                </w:r>
              </w:p>
              <w:p w:rsidR="008804D4" w:rsidRPr="000E4B28" w:rsidRDefault="008804D4" w:rsidP="00C910BF">
                <w:r w:rsidRPr="000E4B28">
                  <w:t>- redzes lasīšanas prasme;</w:t>
                </w:r>
              </w:p>
              <w:p w:rsidR="008804D4" w:rsidRPr="000E4B28" w:rsidRDefault="008804D4" w:rsidP="00C910BF">
                <w:r w:rsidRPr="000E4B28">
                  <w:t>- dažādu mūzikas stilu un žanru pārzināšanas, zināšanu lietošanas prasme spēlējot ansamblī.</w:t>
                </w:r>
              </w:p>
              <w:p w:rsidR="008804D4" w:rsidRPr="000E4B28" w:rsidRDefault="008804D4" w:rsidP="00C910BF">
                <w:r w:rsidRPr="000E4B28">
                  <w:t xml:space="preserve">KOMPETENCE </w:t>
                </w:r>
              </w:p>
              <w:p w:rsidR="008804D4" w:rsidRPr="000E4B28" w:rsidRDefault="008804D4" w:rsidP="00C910BF">
                <w:r w:rsidRPr="000E4B28">
                  <w:t>- spēja identificēt un analizēt ansambļa partiju atskaņošanas grūtības un atrast veidus, kā tās pārvarēt;</w:t>
                </w:r>
              </w:p>
              <w:p w:rsidR="008804D4" w:rsidRPr="000E4B28" w:rsidRDefault="008804D4" w:rsidP="00C910BF">
                <w:r w:rsidRPr="000E4B28">
                  <w:t>- ievērot</w:t>
                </w:r>
                <w:proofErr w:type="gramStart"/>
                <w:r w:rsidRPr="000E4B28">
                  <w:t xml:space="preserve">  </w:t>
                </w:r>
                <w:proofErr w:type="gramEnd"/>
                <w:r w:rsidRPr="000E4B28">
                  <w:t>ansambļa dalībnieka profesionālo ētiku;</w:t>
                </w:r>
              </w:p>
              <w:p w:rsidR="008804D4" w:rsidRPr="000E4B28" w:rsidRDefault="008804D4" w:rsidP="00C910BF">
                <w:r w:rsidRPr="000E4B28">
                  <w:t>- spēja komunicēt;</w:t>
                </w:r>
              </w:p>
              <w:p w:rsidR="008804D4" w:rsidRPr="000E4B28" w:rsidRDefault="008804D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t>- spēja kvalitatīvi atskaņot ģitāras partiju ansamblī.</w:t>
                </w:r>
              </w:p>
            </w:tc>
          </w:sdtContent>
        </w:sdt>
      </w:tr>
      <w:tr w:rsidR="008804D4" w:rsidRPr="000E4B28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bCs w:val="0"/>
                <w:iCs w:val="0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t>Patstāvīgie individuālie uzdevumi:</w:t>
            </w:r>
          </w:p>
          <w:p w:rsidR="008804D4" w:rsidRPr="000E4B28" w:rsidRDefault="008804D4" w:rsidP="008804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8804D4" w:rsidRPr="000E4B28" w:rsidRDefault="008804D4" w:rsidP="008804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8804D4" w:rsidRPr="000E4B28" w:rsidRDefault="008804D4" w:rsidP="008804D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iepazīšanas ar dažādām interpretācijām, izmantojot video un audio materiālus, to salīdzināšana un izvērtēšana.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lastRenderedPageBreak/>
              <w:t>Prasības kredītpunktu iegūšanai</w:t>
            </w:r>
          </w:p>
        </w:tc>
      </w:tr>
      <w:tr w:rsidR="008804D4" w:rsidRPr="000E4B28" w:rsidTr="00C910BF">
        <w:sdt>
          <w:sdtPr>
            <w:rPr>
              <w:rFonts w:eastAsiaTheme="minorHAnsi"/>
            </w:rPr>
            <w:id w:val="1195580521"/>
            <w:placeholder>
              <w:docPart w:val="1A94EEE43FEB4A838C9ED32C83351836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A</w:t>
                </w:r>
                <w:r w:rsidRPr="000E4B28">
                  <w:t>tskaņot no galvas valsts pārbaudījuma programmu</w:t>
                </w:r>
              </w:p>
            </w:tc>
          </w:sdtContent>
        </w:sdt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D4" w:rsidRPr="000E4B28" w:rsidRDefault="008804D4" w:rsidP="00C910BF">
            <w:r w:rsidRPr="000E4B28">
              <w:t xml:space="preserve">Ansambļa partiju kvalitatīva apguve: </w:t>
            </w:r>
          </w:p>
          <w:p w:rsidR="008804D4" w:rsidRPr="000E4B28" w:rsidRDefault="008804D4" w:rsidP="008804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atbilstošu brīvi izvēlētu divu dažādas stilistikas ansambļa skaņdarbu apguve;</w:t>
            </w:r>
          </w:p>
          <w:p w:rsidR="008804D4" w:rsidRPr="000E4B28" w:rsidRDefault="008804D4" w:rsidP="008804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to dažādu interpretāciju klausīšanās un izvērtējums.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8804D4" w:rsidRPr="000E4B28" w:rsidTr="00C910BF">
        <w:sdt>
          <w:sdtPr>
            <w:rPr>
              <w:rFonts w:eastAsiaTheme="minorHAnsi"/>
            </w:rPr>
            <w:id w:val="1218313214"/>
            <w:placeholder>
              <w:docPart w:val="C87C6C2E2CD044C6BAB4727F6C0F88B8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804D4" w:rsidRPr="000E4B28" w:rsidRDefault="008804D4" w:rsidP="00C910BF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 xml:space="preserve">. S. Bahs, G. F. Hendelis, J. Haidns, L. </w:t>
                </w:r>
                <w:proofErr w:type="spellStart"/>
                <w:r w:rsidRPr="000E4B28">
                  <w:t>Brauers</w:t>
                </w:r>
                <w:proofErr w:type="spellEnd"/>
                <w:r w:rsidRPr="000E4B28">
                  <w:t xml:space="preserve">, S. </w:t>
                </w:r>
                <w:proofErr w:type="spellStart"/>
                <w:r w:rsidRPr="000E4B28">
                  <w:t>Veis</w:t>
                </w:r>
                <w:proofErr w:type="spellEnd"/>
                <w:r w:rsidRPr="000E4B28">
                  <w:t xml:space="preserve">, A. Vivaldi </w:t>
                </w:r>
              </w:p>
              <w:p w:rsidR="008804D4" w:rsidRPr="000E4B28" w:rsidRDefault="008804D4" w:rsidP="00C910BF">
                <w:r w:rsidRPr="000E4B28">
                  <w:t xml:space="preserve">M. H. Rejs, M. </w:t>
                </w:r>
                <w:proofErr w:type="spellStart"/>
                <w:r w:rsidRPr="000E4B28">
                  <w:t>Džulijani</w:t>
                </w:r>
                <w:proofErr w:type="spellEnd"/>
                <w:r w:rsidRPr="000E4B28">
                  <w:t xml:space="preserve">, A. </w:t>
                </w:r>
                <w:proofErr w:type="spellStart"/>
                <w:r w:rsidRPr="000E4B28">
                  <w:t>Pjacolla</w:t>
                </w:r>
                <w:proofErr w:type="spellEnd"/>
                <w:r w:rsidRPr="000E4B28">
                  <w:t xml:space="preserve">, H. Rodrigo, F. </w:t>
                </w:r>
                <w:proofErr w:type="spellStart"/>
                <w:r w:rsidRPr="000E4B28">
                  <w:t>Tarrega</w:t>
                </w:r>
                <w:proofErr w:type="spellEnd"/>
                <w:r w:rsidRPr="000E4B28">
                  <w:t xml:space="preserve"> u. c.</w:t>
                </w:r>
              </w:p>
            </w:tc>
          </w:sdtContent>
        </w:sdt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r w:rsidRPr="000E4B28">
              <w:rPr>
                <w:rFonts w:eastAsiaTheme="minorHAnsi"/>
              </w:rPr>
              <w:t xml:space="preserve"> </w:t>
            </w:r>
            <w:proofErr w:type="spellStart"/>
            <w:r w:rsidRPr="000E4B28">
              <w:t>The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History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the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Wind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Band</w:t>
            </w:r>
            <w:proofErr w:type="spellEnd"/>
            <w:r w:rsidRPr="000E4B28">
              <w:t xml:space="preserve">. </w:t>
            </w:r>
            <w:proofErr w:type="spellStart"/>
            <w:r w:rsidRPr="000E4B28">
              <w:t>Historical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Information</w:t>
            </w:r>
            <w:proofErr w:type="spellEnd"/>
            <w:r w:rsidRPr="000E4B28">
              <w:t xml:space="preserve">. </w:t>
            </w:r>
          </w:p>
          <w:p w:rsidR="008804D4" w:rsidRPr="000E4B28" w:rsidRDefault="008804D4" w:rsidP="00C910BF">
            <w:pPr>
              <w:autoSpaceDE/>
              <w:adjustRightInd/>
              <w:rPr>
                <w:rFonts w:eastAsiaTheme="minorHAnsi"/>
              </w:rPr>
            </w:pPr>
            <w:hyperlink r:id="rId6" w:history="1">
              <w:r w:rsidRPr="000E4B28">
                <w:t>https://www.academia.edu/23432897/History_of_the_Wind_Band</w:t>
              </w:r>
            </w:hyperlink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r w:rsidRPr="000E4B28">
              <w:rPr>
                <w:rFonts w:eastAsiaTheme="minorHAnsi"/>
              </w:rPr>
              <w:t xml:space="preserve"> </w:t>
            </w:r>
            <w:r w:rsidRPr="000E4B28">
              <w:t>Žurnāli:</w:t>
            </w:r>
          </w:p>
          <w:p w:rsidR="008804D4" w:rsidRPr="000E4B28" w:rsidRDefault="008804D4" w:rsidP="00C910BF">
            <w:proofErr w:type="spellStart"/>
            <w:r w:rsidRPr="000E4B28">
              <w:t>Contemporary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https://www.tandfonline.com/loi/gcmr20</w:t>
            </w:r>
          </w:p>
          <w:p w:rsidR="008804D4" w:rsidRPr="000E4B28" w:rsidRDefault="008804D4" w:rsidP="00C910BF">
            <w:proofErr w:type="spellStart"/>
            <w:r w:rsidRPr="000E4B28">
              <w:t>Early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Performer</w:t>
            </w:r>
            <w:proofErr w:type="spellEnd"/>
            <w:r w:rsidRPr="000E4B28">
              <w:t>. https://www.earlymusic.info/Performer.php</w:t>
            </w:r>
          </w:p>
          <w:p w:rsidR="008804D4" w:rsidRPr="000E4B28" w:rsidRDefault="008804D4" w:rsidP="00C910BF">
            <w:proofErr w:type="spellStart"/>
            <w:r w:rsidRPr="000E4B28">
              <w:t>Journal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of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Research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in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Music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Education</w:t>
            </w:r>
            <w:proofErr w:type="spellEnd"/>
            <w:r w:rsidRPr="000E4B28">
              <w:t>.</w:t>
            </w:r>
          </w:p>
          <w:p w:rsidR="008804D4" w:rsidRPr="000E4B28" w:rsidRDefault="008804D4" w:rsidP="00C910BF">
            <w:r w:rsidRPr="000E4B28">
              <w:t>https://journals.sagepub.com/doi/abs/10.1177/0022429415583474?journalCode=jrmas</w:t>
            </w:r>
          </w:p>
          <w:p w:rsidR="008804D4" w:rsidRPr="000E4B28" w:rsidRDefault="008804D4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t>Performance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Practice</w:t>
            </w:r>
            <w:proofErr w:type="spellEnd"/>
            <w:r w:rsidRPr="000E4B28">
              <w:t xml:space="preserve"> </w:t>
            </w:r>
            <w:proofErr w:type="spellStart"/>
            <w:r w:rsidRPr="000E4B28">
              <w:t>Review</w:t>
            </w:r>
            <w:proofErr w:type="spellEnd"/>
            <w:r w:rsidRPr="000E4B28">
              <w:t>. https://scholarship.claremont.edu/ppr/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8804D4" w:rsidRPr="000E4B28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D4" w:rsidRPr="000E4B28" w:rsidRDefault="008804D4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8804D4" w:rsidRDefault="008804D4"/>
    <w:sectPr w:rsidR="008804D4" w:rsidSect="008804D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D4"/>
    <w:rsid w:val="008804D4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4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8804D4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8804D4"/>
  </w:style>
  <w:style w:type="paragraph" w:styleId="BalloonText">
    <w:name w:val="Balloon Text"/>
    <w:basedOn w:val="Normal"/>
    <w:link w:val="BalloonTextChar"/>
    <w:uiPriority w:val="99"/>
    <w:semiHidden/>
    <w:unhideWhenUsed/>
    <w:rsid w:val="00880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4D4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4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8804D4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8804D4"/>
  </w:style>
  <w:style w:type="paragraph" w:styleId="BalloonText">
    <w:name w:val="Balloon Text"/>
    <w:basedOn w:val="Normal"/>
    <w:link w:val="BalloonTextChar"/>
    <w:uiPriority w:val="99"/>
    <w:semiHidden/>
    <w:unhideWhenUsed/>
    <w:rsid w:val="00880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4D4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ademia.edu/23432897/History_of_the_Wind_Ban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7205838CC534E99A219D719D4FCF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A84E7-11CE-40AE-B8A8-B1B9327B79C1}"/>
      </w:docPartPr>
      <w:docPartBody>
        <w:p w:rsidR="00000000" w:rsidRDefault="00FE1845" w:rsidP="00FE1845">
          <w:pPr>
            <w:pStyle w:val="D7205838CC534E99A219D719D4FCF70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F5C12B8E41942DD880CF27F6175E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D2D29-208A-4502-8944-EE821C36F4F8}"/>
      </w:docPartPr>
      <w:docPartBody>
        <w:p w:rsidR="00000000" w:rsidRDefault="00FE1845" w:rsidP="00FE1845">
          <w:pPr>
            <w:pStyle w:val="6F5C12B8E41942DD880CF27F6175EC1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E6579C1B054888BAFF59D40A86D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42040-333B-414F-833B-C7546FB42B64}"/>
      </w:docPartPr>
      <w:docPartBody>
        <w:p w:rsidR="00000000" w:rsidRDefault="00FE1845" w:rsidP="00FE1845">
          <w:pPr>
            <w:pStyle w:val="5BE6579C1B054888BAFF59D40A86D95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FBA46B815340D6BA398865BAFF4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5423D-34D6-4C37-8ECF-003769A325EE}"/>
      </w:docPartPr>
      <w:docPartBody>
        <w:p w:rsidR="00000000" w:rsidRDefault="00FE1845" w:rsidP="00FE1845">
          <w:pPr>
            <w:pStyle w:val="6CFBA46B815340D6BA398865BAFF40D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B8528820834C878E5E73F1A390E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2A65E-CF48-4EBA-B887-A98A03D4C6F4}"/>
      </w:docPartPr>
      <w:docPartBody>
        <w:p w:rsidR="00000000" w:rsidRDefault="00FE1845" w:rsidP="00FE1845">
          <w:pPr>
            <w:pStyle w:val="D6B8528820834C878E5E73F1A390EC6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7E8AF0B80D4D5095C007F465E59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AD773-2B98-41AB-ADB9-A07DAF614F57}"/>
      </w:docPartPr>
      <w:docPartBody>
        <w:p w:rsidR="00000000" w:rsidRDefault="00FE1845" w:rsidP="00FE1845">
          <w:pPr>
            <w:pStyle w:val="5E7E8AF0B80D4D5095C007F465E59C9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F1B57FC13841B498FB0185442E3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AAC88-6A57-4AA5-898C-249938132F31}"/>
      </w:docPartPr>
      <w:docPartBody>
        <w:p w:rsidR="00000000" w:rsidRDefault="00FE1845" w:rsidP="00FE1845">
          <w:pPr>
            <w:pStyle w:val="13F1B57FC13841B498FB0185442E382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0018106377463CBD0493F1D1B62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4C7D7-B393-4283-B115-80E11EECF244}"/>
      </w:docPartPr>
      <w:docPartBody>
        <w:p w:rsidR="00000000" w:rsidRDefault="00FE1845" w:rsidP="00FE1845">
          <w:pPr>
            <w:pStyle w:val="810018106377463CBD0493F1D1B62D6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9CA9E7068B4D6B9F3AF4D6046D5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52BC4-58C3-4B12-877F-39183BBE8638}"/>
      </w:docPartPr>
      <w:docPartBody>
        <w:p w:rsidR="00000000" w:rsidRDefault="00FE1845" w:rsidP="00FE1845">
          <w:pPr>
            <w:pStyle w:val="AA9CA9E7068B4D6B9F3AF4D6046D52A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94EEE43FEB4A838C9ED32C83351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210EA-9F79-46A3-95FA-F0262015CD2A}"/>
      </w:docPartPr>
      <w:docPartBody>
        <w:p w:rsidR="00000000" w:rsidRDefault="00FE1845" w:rsidP="00FE1845">
          <w:pPr>
            <w:pStyle w:val="1A94EEE43FEB4A838C9ED32C83351836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C87C6C2E2CD044C6BAB4727F6C0F8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4E779-C21D-452B-9020-14A20AFBD294}"/>
      </w:docPartPr>
      <w:docPartBody>
        <w:p w:rsidR="00000000" w:rsidRDefault="00FE1845" w:rsidP="00FE1845">
          <w:pPr>
            <w:pStyle w:val="C87C6C2E2CD044C6BAB4727F6C0F88B8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45"/>
    <w:rsid w:val="007B28ED"/>
    <w:rsid w:val="00FE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1845"/>
  </w:style>
  <w:style w:type="paragraph" w:customStyle="1" w:styleId="D7205838CC534E99A219D719D4FCF709">
    <w:name w:val="D7205838CC534E99A219D719D4FCF709"/>
    <w:rsid w:val="00FE1845"/>
  </w:style>
  <w:style w:type="paragraph" w:customStyle="1" w:styleId="6F5C12B8E41942DD880CF27F6175EC15">
    <w:name w:val="6F5C12B8E41942DD880CF27F6175EC15"/>
    <w:rsid w:val="00FE1845"/>
  </w:style>
  <w:style w:type="paragraph" w:customStyle="1" w:styleId="5BE6579C1B054888BAFF59D40A86D95D">
    <w:name w:val="5BE6579C1B054888BAFF59D40A86D95D"/>
    <w:rsid w:val="00FE1845"/>
  </w:style>
  <w:style w:type="paragraph" w:customStyle="1" w:styleId="6CFBA46B815340D6BA398865BAFF40DE">
    <w:name w:val="6CFBA46B815340D6BA398865BAFF40DE"/>
    <w:rsid w:val="00FE1845"/>
  </w:style>
  <w:style w:type="paragraph" w:customStyle="1" w:styleId="D6B8528820834C878E5E73F1A390EC6B">
    <w:name w:val="D6B8528820834C878E5E73F1A390EC6B"/>
    <w:rsid w:val="00FE1845"/>
  </w:style>
  <w:style w:type="paragraph" w:customStyle="1" w:styleId="5E7E8AF0B80D4D5095C007F465E59C94">
    <w:name w:val="5E7E8AF0B80D4D5095C007F465E59C94"/>
    <w:rsid w:val="00FE1845"/>
  </w:style>
  <w:style w:type="paragraph" w:customStyle="1" w:styleId="13F1B57FC13841B498FB0185442E3828">
    <w:name w:val="13F1B57FC13841B498FB0185442E3828"/>
    <w:rsid w:val="00FE1845"/>
  </w:style>
  <w:style w:type="paragraph" w:customStyle="1" w:styleId="810018106377463CBD0493F1D1B62D60">
    <w:name w:val="810018106377463CBD0493F1D1B62D60"/>
    <w:rsid w:val="00FE1845"/>
  </w:style>
  <w:style w:type="paragraph" w:customStyle="1" w:styleId="AA9CA9E7068B4D6B9F3AF4D6046D52AC">
    <w:name w:val="AA9CA9E7068B4D6B9F3AF4D6046D52AC"/>
    <w:rsid w:val="00FE1845"/>
  </w:style>
  <w:style w:type="paragraph" w:customStyle="1" w:styleId="1A94EEE43FEB4A838C9ED32C83351836">
    <w:name w:val="1A94EEE43FEB4A838C9ED32C83351836"/>
    <w:rsid w:val="00FE1845"/>
  </w:style>
  <w:style w:type="paragraph" w:customStyle="1" w:styleId="C87C6C2E2CD044C6BAB4727F6C0F88B8">
    <w:name w:val="C87C6C2E2CD044C6BAB4727F6C0F88B8"/>
    <w:rsid w:val="00FE18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1845"/>
  </w:style>
  <w:style w:type="paragraph" w:customStyle="1" w:styleId="D7205838CC534E99A219D719D4FCF709">
    <w:name w:val="D7205838CC534E99A219D719D4FCF709"/>
    <w:rsid w:val="00FE1845"/>
  </w:style>
  <w:style w:type="paragraph" w:customStyle="1" w:styleId="6F5C12B8E41942DD880CF27F6175EC15">
    <w:name w:val="6F5C12B8E41942DD880CF27F6175EC15"/>
    <w:rsid w:val="00FE1845"/>
  </w:style>
  <w:style w:type="paragraph" w:customStyle="1" w:styleId="5BE6579C1B054888BAFF59D40A86D95D">
    <w:name w:val="5BE6579C1B054888BAFF59D40A86D95D"/>
    <w:rsid w:val="00FE1845"/>
  </w:style>
  <w:style w:type="paragraph" w:customStyle="1" w:styleId="6CFBA46B815340D6BA398865BAFF40DE">
    <w:name w:val="6CFBA46B815340D6BA398865BAFF40DE"/>
    <w:rsid w:val="00FE1845"/>
  </w:style>
  <w:style w:type="paragraph" w:customStyle="1" w:styleId="D6B8528820834C878E5E73F1A390EC6B">
    <w:name w:val="D6B8528820834C878E5E73F1A390EC6B"/>
    <w:rsid w:val="00FE1845"/>
  </w:style>
  <w:style w:type="paragraph" w:customStyle="1" w:styleId="5E7E8AF0B80D4D5095C007F465E59C94">
    <w:name w:val="5E7E8AF0B80D4D5095C007F465E59C94"/>
    <w:rsid w:val="00FE1845"/>
  </w:style>
  <w:style w:type="paragraph" w:customStyle="1" w:styleId="13F1B57FC13841B498FB0185442E3828">
    <w:name w:val="13F1B57FC13841B498FB0185442E3828"/>
    <w:rsid w:val="00FE1845"/>
  </w:style>
  <w:style w:type="paragraph" w:customStyle="1" w:styleId="810018106377463CBD0493F1D1B62D60">
    <w:name w:val="810018106377463CBD0493F1D1B62D60"/>
    <w:rsid w:val="00FE1845"/>
  </w:style>
  <w:style w:type="paragraph" w:customStyle="1" w:styleId="AA9CA9E7068B4D6B9F3AF4D6046D52AC">
    <w:name w:val="AA9CA9E7068B4D6B9F3AF4D6046D52AC"/>
    <w:rsid w:val="00FE1845"/>
  </w:style>
  <w:style w:type="paragraph" w:customStyle="1" w:styleId="1A94EEE43FEB4A838C9ED32C83351836">
    <w:name w:val="1A94EEE43FEB4A838C9ED32C83351836"/>
    <w:rsid w:val="00FE1845"/>
  </w:style>
  <w:style w:type="paragraph" w:customStyle="1" w:styleId="C87C6C2E2CD044C6BAB4727F6C0F88B8">
    <w:name w:val="C87C6C2E2CD044C6BAB4727F6C0F88B8"/>
    <w:rsid w:val="00FE18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1996</Words>
  <Characters>1139</Characters>
  <Application>Microsoft Office Word</Application>
  <DocSecurity>0</DocSecurity>
  <Lines>9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2023-07-13T07:10:00Z</dcterms:created>
  <dcterms:modified xsi:type="dcterms:W3CDTF">2023-07-13T07:11:00Z</dcterms:modified>
</cp:coreProperties>
</file>