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77" w:rsidRPr="00ED18EB" w:rsidRDefault="00F17C77" w:rsidP="00F17C77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18EB">
        <w:rPr>
          <w:rFonts w:ascii="Times New Roman" w:hAnsi="Times New Roman" w:cs="Times New Roman"/>
          <w:b/>
          <w:sz w:val="32"/>
          <w:szCs w:val="32"/>
        </w:rPr>
        <w:t>DAUGAVPILS UNIVERSITĀTES</w:t>
      </w:r>
    </w:p>
    <w:p w:rsidR="00F17C77" w:rsidRPr="00ED18EB" w:rsidRDefault="00F17C77" w:rsidP="00F17C77">
      <w:pPr>
        <w:jc w:val="center"/>
        <w:rPr>
          <w:b/>
          <w:sz w:val="32"/>
          <w:szCs w:val="32"/>
          <w:lang w:val="de-DE"/>
        </w:rPr>
      </w:pPr>
      <w:r w:rsidRPr="00ED18EB">
        <w:rPr>
          <w:b/>
          <w:sz w:val="32"/>
          <w:szCs w:val="32"/>
        </w:rPr>
        <w:t>STUDIJU KURSA APRAKSTS</w:t>
      </w:r>
    </w:p>
    <w:p w:rsidR="00F17C77" w:rsidRPr="00ED18EB" w:rsidRDefault="00F17C77" w:rsidP="00F17C77">
      <w:pPr>
        <w:shd w:val="clear" w:color="auto" w:fill="auto"/>
        <w:rPr>
          <w:szCs w:val="22"/>
        </w:rPr>
      </w:pPr>
    </w:p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br w:type="page"/>
            </w:r>
            <w:r w:rsidRPr="00ED18EB">
              <w:br w:type="page"/>
            </w:r>
            <w:r w:rsidRPr="00ED18EB">
              <w:br w:type="page"/>
            </w:r>
            <w:r w:rsidRPr="00ED18EB">
              <w:br w:type="page"/>
              <w:t>Studiju kursa nosaukums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77" w:rsidRPr="00ED18EB" w:rsidRDefault="00F17C77" w:rsidP="0078692D">
            <w:pPr>
              <w:pStyle w:val="Style1"/>
              <w:framePr w:wrap="around"/>
            </w:pPr>
            <w:bookmarkStart w:id="0" w:name="_Toc103779980"/>
            <w:bookmarkStart w:id="1" w:name="_GoBack"/>
            <w:r w:rsidRPr="00ED18EB">
              <w:t>Pūšaminstrumenta spēle (saksofons)</w:t>
            </w:r>
            <w:bookmarkEnd w:id="0"/>
            <w:r>
              <w:t xml:space="preserve"> DP</w:t>
            </w:r>
            <w:bookmarkEnd w:id="1"/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Studiju kursa kods (DUIS)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  <w:r w:rsidRPr="00ED18EB">
              <w:rPr>
                <w:lang w:eastAsia="lv-LV"/>
              </w:rPr>
              <w:t>MākZ4492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Zinātnes nozare</w:t>
            </w:r>
          </w:p>
        </w:tc>
        <w:sdt>
          <w:sdtPr>
            <w:rPr>
              <w:b/>
              <w:vanish/>
            </w:rPr>
            <w:id w:val="136005593"/>
            <w:placeholder>
              <w:docPart w:val="5840BC2264EB426D9FDCA0A36CD8094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5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17C77" w:rsidRPr="00ED18EB" w:rsidRDefault="00F17C77" w:rsidP="0078692D">
                <w:pPr>
                  <w:shd w:val="clear" w:color="auto" w:fill="auto"/>
                  <w:rPr>
                    <w:b/>
                    <w:vanish/>
                  </w:rPr>
                </w:pPr>
                <w:r w:rsidRPr="00ED18EB">
                  <w:rPr>
                    <w:b/>
                    <w:vanish/>
                  </w:rPr>
                  <w:t>Mākslas zinātne</w:t>
                </w:r>
              </w:p>
            </w:tc>
          </w:sdtContent>
        </w:sdt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Kursa līmenis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  <w:r w:rsidRPr="00ED18EB">
              <w:t>1., 2., 3., 4.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  <w:rPr>
                <w:u w:val="single"/>
              </w:rPr>
            </w:pPr>
            <w:r w:rsidRPr="00ED18EB">
              <w:t>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  <w:r w:rsidRPr="00ED18EB">
              <w:t>23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  <w:rPr>
                <w:u w:val="single"/>
              </w:rPr>
            </w:pPr>
            <w:r w:rsidRPr="00ED18EB">
              <w:t>ECTS kredītpunkti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34.5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Kopējais kontaktstundu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  <w:r w:rsidRPr="00ED18EB">
              <w:t>276</w:t>
            </w:r>
          </w:p>
        </w:tc>
      </w:tr>
    </w:tbl>
    <w:tbl>
      <w:tblPr>
        <w:tblStyle w:val="TableGrid"/>
        <w:tblW w:w="9321" w:type="dxa"/>
        <w:tblLook w:val="04A0" w:firstRow="1" w:lastRow="0" w:firstColumn="1" w:lastColumn="0" w:noHBand="0" w:noVBand="1"/>
      </w:tblPr>
      <w:tblGrid>
        <w:gridCol w:w="4219"/>
        <w:gridCol w:w="5102"/>
      </w:tblGrid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2"/>
              <w:framePr w:wrap="around"/>
            </w:pPr>
            <w:r w:rsidRPr="00ED18EB">
              <w:t>Lekciju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2"/>
              <w:framePr w:wrap="around"/>
            </w:pPr>
            <w:r w:rsidRPr="00ED18EB">
              <w:t>Semināru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2"/>
              <w:framePr w:wrap="around"/>
            </w:pPr>
            <w:r w:rsidRPr="00ED18EB">
              <w:t>Praktisko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–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2"/>
              <w:framePr w:wrap="around"/>
            </w:pPr>
            <w:r w:rsidRPr="00ED18EB">
              <w:t>Individuālo darbu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276 (uz katru studējošo)</w:t>
            </w:r>
          </w:p>
        </w:tc>
      </w:tr>
      <w:tr w:rsidR="00F17C77" w:rsidRPr="00ED18EB" w:rsidTr="0078692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2"/>
              <w:framePr w:wrap="around"/>
              <w:rPr>
                <w:lang w:eastAsia="lv-LV"/>
              </w:rPr>
            </w:pPr>
            <w:r w:rsidRPr="00ED18EB">
              <w:rPr>
                <w:lang w:eastAsia="lv-LV"/>
              </w:rPr>
              <w:t>Studējošā patstāvīgā darba stundu skaits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  <w:r w:rsidRPr="00ED18EB">
              <w:t>644</w:t>
            </w:r>
          </w:p>
        </w:tc>
      </w:tr>
    </w:tbl>
    <w:tbl>
      <w:tblPr>
        <w:tblStyle w:val="TableGrid"/>
        <w:tblW w:w="9320" w:type="dxa"/>
        <w:tblLook w:val="04A0" w:firstRow="1" w:lastRow="0" w:firstColumn="1" w:lastColumn="0" w:noHBand="0" w:noVBand="1"/>
      </w:tblPr>
      <w:tblGrid>
        <w:gridCol w:w="9320"/>
      </w:tblGrid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  <w:rPr>
                <w:lang w:eastAsia="lv-LV"/>
              </w:rPr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Kursa autors(–i)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Dr. art., viesprofesors Rytis Urniežius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Kursa docētājs(–i)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Dr.art., viesprofesors Rišards Kšištofs Žoledzevskis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Mg.art., docents Vasilijs Šušerts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Mg.art., viesasistents Ruslans Margevičs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 Mg.art., docents Dainis Vuškāns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Priekšzināšanas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Pūšaminstrumenta (saksofona) spēles prasmes, kas iegūtas atbilstoši mūzikas profesionālās vidējās izglītības studiju programmas prasībām.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 xml:space="preserve">Studiju kursa anotācija 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proofErr w:type="gramStart"/>
            <w:r w:rsidRPr="00ED18EB">
              <w:t>Kurss</w:t>
            </w:r>
            <w:proofErr w:type="gramEnd"/>
            <w:r w:rsidRPr="00ED18EB">
              <w:t xml:space="preserve"> paredzēts profesionālās bakalaura studiju programmas “Mūzika” specializācijas moduļa “Pūšaminstrumenta spēle” atbilstošā pūšaminstrumenta spēles moduļa “Pūšaminstrumenta spēle (saksofons)” studējošajiem.</w:t>
            </w:r>
          </w:p>
          <w:p w:rsidR="00F17C77" w:rsidRPr="00ED18EB" w:rsidRDefault="00F17C77" w:rsidP="0078692D">
            <w:pPr>
              <w:shd w:val="clear" w:color="auto" w:fill="auto"/>
              <w:rPr>
                <w:rStyle w:val="Style2Char"/>
              </w:rPr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MĒRĶIS</w:t>
            </w:r>
            <w:r w:rsidRPr="00ED18EB">
              <w:t xml:space="preserve"> – sagatavot profesionālu saksofonistu, kurš spētu atskaņot dažādas sarežģītības skaņdarbus gan kā solists, gan ansamblī un orķestrī; veidot izglītotu mūziķi, kurš spēj novērtēt atskaņojuma interpretācijas tehnisko un māksliniecisko līmeni.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rPr>
                <w:rStyle w:val="Style2Char"/>
              </w:rPr>
              <w:t>KURSA UZDEVUMI</w:t>
            </w:r>
            <w:r w:rsidRPr="00ED18EB">
              <w:t xml:space="preserve"> – instrumenta spēles un māksliniecisko prasmju pilnveide un dažādu stilu repertuāra apguve.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Studiju kursa kalendārais plāns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276 stundas uz katru studējošo; starppārbaudījumi – kontrolstundas (KS), akadēmiskie koncerti (AK), kolokviji (K), patstāvīgais darbs (Pd) – 644 stundas.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 semestris 2KP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Kursa struktūra: individuālās praktiskās nodarbības (Ip) – 24 stundas (uz katru studējošo),; patstāvīgais </w:t>
            </w:r>
            <w:r w:rsidRPr="00ED18EB">
              <w:lastRenderedPageBreak/>
              <w:t>darbs (Pd) – 56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III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IV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VIII semestris 3KP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lastRenderedPageBreak/>
              <w:t>Kursa struktūra: individuālās praktiskās nodarbības (Ip) – 36 stundas (uz katru studējošo), patstāvīgais darbs (Pd) – 84 stundas.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Eksāmens: noslēguma eksāmena programma no galvas.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lastRenderedPageBreak/>
              <w:t>Studiju rezultāti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ZINĀŠANAS</w:t>
            </w:r>
            <w:r w:rsidRPr="00ED18EB">
              <w:rPr>
                <w:lang w:eastAsia="ru-RU"/>
              </w:rPr>
              <w:t xml:space="preserve">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visaptverošas zināšanas par pūšaminstrumentu (īpaši saksofona) tehnoloģiju un atskaņojuma specifiku;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saksofona koncertrepertuāra skaņdarbu pārzināšana;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zināšanas par dažādiem pūšaminstrumentu mūzikas stiliem un žanriem;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mūzikas formveides vispārīgo principu izpratne.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PRASMES</w:t>
            </w:r>
            <w:r w:rsidRPr="00ED18EB">
              <w:rPr>
                <w:lang w:eastAsia="ru-RU"/>
              </w:rPr>
              <w:t xml:space="preserve">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patstāvīgi atskaņot un interpretēt pūšaminstrumentu skaņdarbus;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izvēlēties un piemērot savā atskaņojumā piemērotus mūzikas izteiksmes līdzekļus;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izvēlēties koncertrepertuāru;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novērtēt citu mūziķu atskaņotā skaņdarba māksliniecisko interpretācijas līmeni;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atpazīt, analizēt, klasificēt, salīdzināt un pielietot atbilstošos mūzikas izteiksmes līdzekļus;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prasme lasīšanā no lapas.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KOMPETENCE</w:t>
            </w:r>
            <w:r w:rsidRPr="00ED18EB">
              <w:rPr>
                <w:lang w:eastAsia="ru-RU"/>
              </w:rPr>
              <w:t xml:space="preserve">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identificēt un analizēt teorētiskās un praktiskās problēmas, kas rodas, spēlējot saksofonu, un rast risinājumus;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integrēt dažādu mūzikas priekšmetu zināšanas;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izvēlēties un izmantot savā profesionālajā darbībā gan tradicionālās, gan jaunās informācijas tehnoloģijas;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analizēt dažādus pūšaminstrumentu stilus un žanrus;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ievērot profesionālo ētiku;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spēja komunicēt par pūšaminstrumentu atskaņotājmākslu.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  <w:rPr>
                <w:lang w:val="lv-LV"/>
              </w:rPr>
            </w:pPr>
            <w:r w:rsidRPr="00ED18EB">
              <w:rPr>
                <w:lang w:val="lv-LV"/>
              </w:rPr>
              <w:t>Studējošo patstāvīgo darbu organizācijas un uzdevumu raksturojums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Studējošo patstāvīgais darbs (Pd) 644 stundas tiek organizēts individuāli.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Patstāvīgie uzdevumi: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programmas skaņdarbu patstāvīga analīze un apguve;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instrumenta spēles tehniskās meistarības pilnveide;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lasīšanas no lapas prasmes pilnveide;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obligāti izmantojamo informācijas avotu studēšana;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dažādu interpretāciju video un audio materiālu salīdzināšana un izvērtēšana;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kolokvija jautājumu sagatavošana.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Prasības kredītpunktu iegūšanai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rPr>
                <w:rStyle w:val="Style2Char"/>
              </w:rPr>
              <w:t xml:space="preserve">Pārbaudes veids </w:t>
            </w:r>
            <w:r w:rsidRPr="00ED18EB">
              <w:t>– eksāmens.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Izmantojamās studiju formas – individuālās praktiskās nodarbības, starppārbaudījumi – kontrolstundas, akadēmiskie koncerti, kolokviji, ieskaites ar atzīmi un eksāmeni.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 1., 3., 5., 7. semestrī.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 2., 4., 6., 8. semestrī.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Studiju kursa apguves pārbaudes formas: kontrolstundas, akadēmiskie koncerti – 25%, kolokviji – 25%, ieskaites ar atzīmi un eksāmeni – 50%. Regulārs nodarbību apmeklējums.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rPr>
                <w:rStyle w:val="Style2Char"/>
              </w:rPr>
              <w:t>PĀRBAUDĪJUMU PRASĪBAS:</w:t>
            </w:r>
            <w:r w:rsidRPr="00ED18EB">
              <w:t xml:space="preserve">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lastRenderedPageBreak/>
              <w:t>atskaņot no galvas ieskaišu ar atzīmi un eksāmenu programmas.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 semestris: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gammas līdz divām zīmēm;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 no lapas tonalitātēs līdz divām alterācijas zīmēm.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skaņdarbs.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gammas līdz četrām zīmēm;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 no lapas tonalitātēs līdz trīs alterācijas zīmēm.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izvērstas formas skaņdarbs.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gammas līdz sešām zīmēm;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 no lapas tonalitātēs līdz četrām alterācijas zīmēm.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viens skaņdarbs (var pēc notīm).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trīs dažāda rakstura skaņdarbi (viens – patstāvīgi sagatavots skaņdarbs pēc izvēles).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IV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gammas līdz septiņām zīmēm;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divi dažāda rakstura skaņdarbi.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latviešu komponista skaņdarbs.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Kontrolstunda: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lasīšana no lapas tonalitātēs līdz piecām alterācijas zīmēm.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viens skaņdarbs.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lastRenderedPageBreak/>
              <w:t>– viens skaņdarbs.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latviešu komponista skaņdarbs;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patstāvīgi sagatavots skaņdarbs.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mūsdienu mūzikas skaņdarbs.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Kontrolstunda: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etīde pēc izvēles.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Akadēmiskais koncerts: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viens skaņdarbs no noslēguma programmas (pēc notīm).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Kolokvijs.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Ieskaite ar atzīmi: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sym w:font="Symbol" w:char="F02D"/>
            </w:r>
            <w:r w:rsidRPr="00ED18EB">
              <w:t xml:space="preserve"> viens skaņdarbs no noslēguma programmas (no galvas).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Eksāmena programma no galvas.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Valsts pārbaudījumu programma: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izvērstas formas skaņdarbs;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virtuozs skaņdarbs;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liriska rakstura skaņdarbs.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Pārbaudījuma forma: praktiska (programmas skaņdarbu atskaņošana).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STUDIJU REZULTĀTU VĒRTĒŠANAS KRITĒRIJI</w:t>
            </w:r>
          </w:p>
          <w:p w:rsidR="00F17C77" w:rsidRPr="00ED18EB" w:rsidRDefault="00F17C77" w:rsidP="0078692D">
            <w:pPr>
              <w:shd w:val="clear" w:color="auto" w:fill="auto"/>
              <w:jc w:val="both"/>
            </w:pPr>
            <w:r w:rsidRPr="00ED18EB">
              <w:t xml:space="preserve">Studiju kursa apguve tiek vērtēta 10 ballu skalā saskaņā ar Latvijas Republikas normatīvajiem aktiem un atbilstoši "Nolikumam par studijām Daugavpils Universitātē" </w:t>
            </w:r>
            <w:proofErr w:type="gramStart"/>
            <w:r w:rsidRPr="00ED18EB">
              <w:t>(</w:t>
            </w:r>
            <w:proofErr w:type="gramEnd"/>
            <w:r w:rsidRPr="00ED18EB">
              <w:t xml:space="preserve">apstiprināts DU Senāta sēdē 17.12.2018., protokols Nr. 15), vadoties pēc šādiem kritērijiem: iegūto zināšanu apjoms un kvalitāte, iegūtās prasmes un kompetence atbilstoši plānotajiem studiju rezultātiem. 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Studenta kompetenci kontrolstundā, akadēmiskajā koncertā, kolokvijā, ieskaitē ar atzīmi un eksāmenā vērtē 10 ballu skalā.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Lai vērtētu studentu individuālo uzstāšanos, piemēroti sekojoši izvērtēšanas pamatkritēriji: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repertuāra atbilstība studiju kursa programmas prasībām;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precīzs muzikālā teksta atskaņojums;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skaņas kvalitāte;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pareiza intonācija;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elastīga un droša tehnika;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pareiza dinamika un frāzes;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pareizi tempi un loģiska agoģika;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– skaņdarba interpretācija atbilstoši vēsturiskā perioda stila īpatnībām;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– mūzikas formas un dramaturģijas izpratne. 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STUDIJU REZULTĀTU VĒRTĒŠANA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10 (izcili) – zināšanas un prasmes pārsniedz studiju programmas prasības, prot tās patstāvīgi, radoši mākslinieciski lietot dažādās situācijās;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9 (teicami) – pilnā mērā apgūtas studiju programmas prasības, iegūta prasme patstāvīgi realizēt iemācīto, radoša pieeja;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8 (ļoti labi) – pilnā mērā apgūtas studiju programmas prasības, taču reizēm trūkst prasmes patstāvīgi </w:t>
            </w:r>
            <w:r w:rsidRPr="00ED18EB">
              <w:lastRenderedPageBreak/>
              <w:t>radoši tās lietot;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7 (labi) – labi apgūtas studiju programmas prasības, taču vienlaikus konstatējami arī atsevišķi mazāk svarīgi trūkumi zināšanu un prasmju apguvē;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6 (gandrīz labi) – apgūtas studiju programmas prasības, taču atsevišķas nozīmīgas zināšanu un prasmju jomas ir nepietiekami stabilas un pārliecinošas;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5 (viduvēji) – visumā apgūtas studiju programmas prasības, kaut arī konstatējama vairāku būtisku zināšanu un iemaņu jomu nepietiekoša stabilitāte un pārvaldīšana;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4 (gandrīz viduvēji) – visumā apgūtas studiju programmas prasības, bet konstatējama vairāku svarīgu zināšanu un iemaņu jomu nepietiekama pārvaldīšana un ir grūtības ar iegūto prasmju praktisko izmantošanu;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3 (vāji) – zināšanas, prasmes un iemaņas ir ļoti minimālas, nav spēju tās praktiski lietot;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2 (ļoti vāji) – izrāda zināmu interesi, apgūtas atsevišķas zināšanas, prasmes un iemaņas, taču kopumā trūkst orientācijas un līmeņa;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1 (ļoti, ļoti vāji) – nav izpratnes par studiju kursa būtību un iemaņām tajā.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lastRenderedPageBreak/>
              <w:t>Kursa saturs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Pūšaminstrumenta saksofons spēles tehnikas apguve.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Mūzikas izteiksmes līdzekļu padziļināta apguve.</w:t>
            </w:r>
          </w:p>
          <w:p w:rsidR="00F17C77" w:rsidRPr="00ED18EB" w:rsidRDefault="00F17C77" w:rsidP="0078692D">
            <w:pPr>
              <w:shd w:val="clear" w:color="auto" w:fill="auto"/>
            </w:pPr>
            <w:proofErr w:type="gramStart"/>
            <w:r w:rsidRPr="00ED18EB">
              <w:t>Dažādu stilu un žanru skaņdarbu saksofonam apguve</w:t>
            </w:r>
            <w:proofErr w:type="gramEnd"/>
            <w:r w:rsidRPr="00ED18EB">
              <w:t>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Lasīšanai no lapas nepieciešamo iemaņu pilnveide.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Obligāti izmantojamie informācijas avoti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Etīdes: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Bozza, E. (2005). 12 Etudes–Caprices For Saxophone. ID: AL20313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Ferling, F. W. (2019). 48 études, op. 31, vol. 1: pour saxophone alto et piano. Billaudot.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Harris, P. (2016). More Graded Studies for Saxophone Book 1. Faber Music.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Harris, P. (2016). More Graded Studies for Saxophone Book 2. Faber Music.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Sonātes, cikliskas kompozīcijas: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Bach, J. S. (2010). Sonata in G minor BWV1020. Edition for saxophone and piano. Universal edition.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Creston, P. (2019). Sonata for E–flat alto saxophone and piano. AST Publications.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Handel. G. F. (2005). Five famous Handel violin sonatas: for alto saxophone and keyboard. Carl Fischer Music.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Maurine, P. (1990). Tableux de Provanse. Editions Henry Lemoine.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Rueff, J. (2005). Sonate pour Alto Saxophone seul.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Tcherepnine, A. (2005). Sonatine sportive. Alphonse Ledu.c.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Koncerti: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Arnold M. (2005). Concerto for Alto Saxophone and String Orchestra. Tewkesbury: Goodmusic.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Debussy, C. (2004). Rapsodie Pour Orchestre et Saxophone. Reduction for Alto Saxophone and Piano. Durand Editions Musicales.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Glazunov, A. (2010). Concerto in E–flat major for Alto Saxophone and String Orchestra. Piano Reduction. Bärenreiter.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Husa, K. (1972). Concerto for Alto Saxophone and Concert Band. New York: Associated Music Publishers.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Maslanka, D. (1999). Concerto for Alto Saxophone and Wind Ensemble. Piano Reduction. Carl Fischer Music.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Solo skaņdarbi: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Bonneau, P. (1990). Suite pour saxophone alto et piano.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Bozza, E. (2002). Fantaisie Italienne pour saxophone alto et piano.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Classical Saxophone solos (1986). Ed. Both, Heinz. Schott.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Corelli, A. (2005). Adagio (Classiques No.49). Saxophone–Alto &amp; Piano.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lastRenderedPageBreak/>
              <w:t>Denisov, E. (1978). Deux pièces pour saxophone alto et piano.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Dukas, P. (1999). Alla Gitana for alto saxophone. Masters Music.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Friedmann, M. (2000). Classical solos: 12 pieces based on famous themes / Alto saxophone. De Haske.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Mendelssohn Bartholdy, F. (2005). Chanson de Printemps Op. 62 No. 6 in A major. Alphonse Ledu.c.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Quate, A. (1987). Light of Sothis for Alto Saxophone and Piano.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Ritter George, T. (1978). Introduction and Dance. San Antonio, Tex.: Southern Music. 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Rueff, J. (2005). Chanson &amp; Passepied. Alphonse Ledu.c.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pStyle w:val="Style2"/>
              <w:shd w:val="clear" w:color="auto" w:fill="auto"/>
            </w:pPr>
            <w:r w:rsidRPr="00ED18EB">
              <w:lastRenderedPageBreak/>
              <w:t>Ieteicamais repertuārs:</w:t>
            </w:r>
          </w:p>
          <w:p w:rsidR="00F17C77" w:rsidRPr="00ED18EB" w:rsidRDefault="00F17C77" w:rsidP="0078692D">
            <w:pPr>
              <w:pStyle w:val="Style2"/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Ferlings, F. W. 48 etīdes.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 xml:space="preserve"> 1.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Mendelssohn Bartholdy, F. Chanson de Printemps Op.62 Nr.6 A dur.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Ritter George, T. Ievads un deja.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Čerepnīns, A. Sonatīne.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Ferlings, F. W. 48 etīdes.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 xml:space="preserve"> 1.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Ritter George, T. (1978). Ievads un deja.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Corelli, A. Adagio.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Hendelis G. F. Sonāte F dur.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Bahs, J. S. Sonāte g moll.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Ferlings, F. W. 48 etīdes.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Bozza, E. 12 saksofona etīdes–kaprīzes.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>. 2. pakāpe.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Bozza, E. Fantaisie Italienne.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Dukas, P. Alla Gitana.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Krestons, P. Sonāte.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Glazunovs, A. (2010) Koncerts E dur.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IV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Hariss, P. Saksofona spēles </w:t>
            </w:r>
            <w:proofErr w:type="gramStart"/>
            <w:r w:rsidRPr="00ED18EB">
              <w:t>vairākas pakāpes pētījumi</w:t>
            </w:r>
            <w:proofErr w:type="gramEnd"/>
            <w:r w:rsidRPr="00ED18EB">
              <w:t>. 2. pakāpe.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Bozza, E. 12 saksofona etīdes–kaprīzes.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Bahs, J. S. Sonāte e moll.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Krestons, P. Sonāte.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Glazunovs, A. (2010) Koncerts E dur.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Latviešu komponista skaņdarbi: Altmanis, A. Expromtus, Impulsus.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Bahs, J. S. Siciliāna, Allegro.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Bonneau, P. Siuite.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Denisovs, E. Divi skaņdarbi altsaksofonam un klavierēm.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Krestons, P. Sonāte.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Glazunovs, A. Koncerts E dur.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Altmanis, A. Expromtus.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Altmanis, A. Impulsus.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Rueff, J. Chanson &amp; Passepied.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Rufs, J. Sonāte altsaksofonam.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Kvate, A. Sothis gaisma altsaksofonam un klavierēm.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Husa, K. Koncerts altsaksofonam un koncertgrupai.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Rufs, J. Sonāte altsaksofonam.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Arnolda M. Koncerts altsaksofonam un stīgu orķestrim.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Maslanka, D. Koncerts altsaksofonam un pūšamo ansamblim.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Debisī, C. Rapsodija saksofonam un orķestrim.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Maurīne, P. Tableux de Provanse.</w:t>
            </w:r>
          </w:p>
          <w:p w:rsidR="00F17C77" w:rsidRPr="00ED18EB" w:rsidRDefault="00F17C77" w:rsidP="0078692D">
            <w:pPr>
              <w:shd w:val="clear" w:color="auto" w:fill="auto"/>
            </w:pP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VIII semestris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Noslēguma pārbaudījuma programma.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lastRenderedPageBreak/>
              <w:t>Papildus informācijas avoti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Harvey, P. (2001). Saxophone. Yehudi Menuhin Music Guides.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Heavner, T. L. (2013). Saxophone Secrets: 60 Performance Strategies for the Advanced Saxophonist. Scarecrow Press.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Morgan, R. (1991). Twentieth–Century Music: A History of Musical Style in Modern Europe and America. New York: W. W. Norton &amp; Company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Skinner D. (2013). The Saxophone Handbook: Complete Guide to Tone, Technique, and Performance. Berklee Press. (docētāja privātais izdevumu krājums, kas skenētā veidā tiks ievietots e–studiju vidē </w:t>
            </w:r>
            <w:r w:rsidRPr="00ED18EB">
              <w:rPr>
                <w:i/>
              </w:rPr>
              <w:t>Moodle</w:t>
            </w:r>
            <w:r w:rsidRPr="00ED18EB">
              <w:t>)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The Woodwind Player's Cookbook (2008). Edited by Charles West. Meredith Music (docētāja privātais izdevumu krājums)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Weisberg, A (2007). The Art of Wind Playing. Meredith Music.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Periodika un citi informācijas avoti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Žurnāli:</w:t>
            </w:r>
            <w:r w:rsidRPr="00ED18EB">
              <w:rPr>
                <w:lang w:val="en-GB" w:eastAsia="lv-LV"/>
              </w:rPr>
              <w:t xml:space="preserve">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 xml:space="preserve">Clarinet &amp; Saxophone Society of Great Britain. https://www.cassgb.org 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Contemporary Music Review. https://www.tandfonline.com/loi/gcmr20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Journal of Research in Music Education.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https://journals.sagepub.com/doi/abs/10.1177/0022429415583474?journalCode=jrmas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Performance Practice Review. https://scholarship.claremont.edu/ppr/</w:t>
            </w:r>
          </w:p>
          <w:p w:rsidR="00F17C77" w:rsidRPr="00ED18EB" w:rsidRDefault="00F17C77" w:rsidP="0078692D">
            <w:pPr>
              <w:shd w:val="clear" w:color="auto" w:fill="auto"/>
            </w:pP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77" w:rsidRPr="00ED18EB" w:rsidRDefault="00F17C77" w:rsidP="0078692D">
            <w:pPr>
              <w:pStyle w:val="Nosaukumi"/>
            </w:pPr>
            <w:r w:rsidRPr="00ED18EB">
              <w:t>Piezīmes</w:t>
            </w:r>
          </w:p>
        </w:tc>
      </w:tr>
      <w:tr w:rsidR="00F17C77" w:rsidRPr="00ED18EB" w:rsidTr="0078692D"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77" w:rsidRPr="00ED18EB" w:rsidRDefault="00F17C77" w:rsidP="0078692D">
            <w:pPr>
              <w:shd w:val="clear" w:color="auto" w:fill="auto"/>
            </w:pPr>
            <w:r w:rsidRPr="00ED18EB">
              <w:t>Profesionālās bakalaura studiju programmas ”Mūzika” B1 daļa.</w:t>
            </w:r>
          </w:p>
          <w:p w:rsidR="00F17C77" w:rsidRPr="00ED18EB" w:rsidRDefault="00F17C77" w:rsidP="0078692D">
            <w:pPr>
              <w:shd w:val="clear" w:color="auto" w:fill="auto"/>
            </w:pPr>
            <w:r w:rsidRPr="00ED18EB">
              <w:t>Kursu apgūst latviešu vai angļu valodā.</w:t>
            </w:r>
          </w:p>
          <w:p w:rsidR="00F17C77" w:rsidRPr="00ED18EB" w:rsidRDefault="00F17C77" w:rsidP="0078692D">
            <w:pPr>
              <w:shd w:val="clear" w:color="auto" w:fill="auto"/>
              <w:jc w:val="both"/>
            </w:pPr>
            <w:r w:rsidRPr="00ED18EB">
              <w:t>Individuālo praktisko nodarbību kontaktstundas paredzētas katram studentam.</w:t>
            </w:r>
          </w:p>
          <w:p w:rsidR="00F17C77" w:rsidRPr="00ED18EB" w:rsidRDefault="00F17C77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  <w:r w:rsidRPr="00ED18EB">
              <w:rPr>
                <w:rFonts w:eastAsiaTheme="minorHAnsi"/>
                <w:bCs w:val="0"/>
                <w:iCs w:val="0"/>
              </w:rPr>
              <w:t>Koncertmeistara dalība individuālās nodarbībās 50%.</w:t>
            </w:r>
          </w:p>
          <w:p w:rsidR="00F17C77" w:rsidRPr="00ED18EB" w:rsidRDefault="00F17C77" w:rsidP="0078692D">
            <w:pPr>
              <w:shd w:val="clear" w:color="auto" w:fill="auto"/>
              <w:autoSpaceDE/>
              <w:adjustRightInd/>
              <w:rPr>
                <w:rFonts w:eastAsiaTheme="minorHAnsi"/>
                <w:bCs w:val="0"/>
                <w:iCs w:val="0"/>
              </w:rPr>
            </w:pPr>
          </w:p>
        </w:tc>
      </w:tr>
    </w:tbl>
    <w:p w:rsidR="00F17C77" w:rsidRPr="00ED18EB" w:rsidRDefault="00F17C77" w:rsidP="00F17C77">
      <w:pPr>
        <w:shd w:val="clear" w:color="auto" w:fill="auto"/>
        <w:rPr>
          <w:szCs w:val="22"/>
        </w:rPr>
      </w:pPr>
      <w:r w:rsidRPr="00ED18EB">
        <w:rPr>
          <w:szCs w:val="22"/>
        </w:rPr>
        <w:br w:type="page"/>
      </w:r>
    </w:p>
    <w:p w:rsidR="00ED36EA" w:rsidRDefault="00ED36EA"/>
    <w:sectPr w:rsidR="00ED3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77"/>
    <w:rsid w:val="00ED36EA"/>
    <w:rsid w:val="00F1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7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F17C7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F17C7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F17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C7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17C7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F17C7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F17C7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F17C7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F17C7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F17C7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C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7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C77"/>
    <w:pPr>
      <w:shd w:val="clear" w:color="auto" w:fill="FFFFFF" w:themeFill="background1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aukumi">
    <w:name w:val="Nosaukumi"/>
    <w:basedOn w:val="Normal"/>
    <w:link w:val="NosaukumiChar"/>
    <w:autoRedefine/>
    <w:qFormat/>
    <w:rsid w:val="00F17C77"/>
    <w:pPr>
      <w:shd w:val="clear" w:color="auto" w:fill="auto"/>
      <w:spacing w:after="120"/>
      <w:ind w:right="-102"/>
    </w:pPr>
    <w:rPr>
      <w:rFonts w:eastAsiaTheme="minorHAnsi"/>
      <w:b/>
      <w:i/>
      <w:spacing w:val="6"/>
      <w:szCs w:val="22"/>
      <w:lang w:val="en-GB" w:eastAsia="ru-RU"/>
    </w:rPr>
  </w:style>
  <w:style w:type="paragraph" w:customStyle="1" w:styleId="Nosaukumi2">
    <w:name w:val="Nosaukumi2"/>
    <w:basedOn w:val="Normal"/>
    <w:autoRedefine/>
    <w:qFormat/>
    <w:rsid w:val="00F17C77"/>
    <w:pPr>
      <w:framePr w:hSpace="180" w:wrap="around" w:vAnchor="text" w:hAnchor="margin" w:y="1"/>
      <w:shd w:val="clear" w:color="auto" w:fill="auto"/>
    </w:pPr>
    <w:rPr>
      <w:i/>
      <w:iCs w:val="0"/>
      <w:szCs w:val="22"/>
    </w:rPr>
  </w:style>
  <w:style w:type="table" w:styleId="TableGrid">
    <w:name w:val="Table Grid"/>
    <w:basedOn w:val="TableNormal"/>
    <w:uiPriority w:val="59"/>
    <w:rsid w:val="00F17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C77"/>
    <w:pPr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bCs w:val="0"/>
      <w:iCs w:val="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17C77"/>
    <w:rPr>
      <w:shd w:val="clear" w:color="auto" w:fill="FFFFFF" w:themeFill="background1"/>
    </w:rPr>
  </w:style>
  <w:style w:type="paragraph" w:customStyle="1" w:styleId="Style1">
    <w:name w:val="Style1"/>
    <w:basedOn w:val="Nosaukumi"/>
    <w:link w:val="Style1Char"/>
    <w:autoRedefine/>
    <w:qFormat/>
    <w:rsid w:val="00F17C77"/>
    <w:pPr>
      <w:framePr w:wrap="around" w:hAnchor="text"/>
      <w:ind w:right="399"/>
    </w:pPr>
    <w:rPr>
      <w:sz w:val="24"/>
      <w:shd w:val="clear" w:color="auto" w:fill="FFFFFF"/>
    </w:rPr>
  </w:style>
  <w:style w:type="character" w:customStyle="1" w:styleId="NosaukumiChar">
    <w:name w:val="Nosaukumi Char"/>
    <w:basedOn w:val="DefaultParagraphFont"/>
    <w:link w:val="Nosaukumi"/>
    <w:rsid w:val="00F17C77"/>
    <w:rPr>
      <w:rFonts w:ascii="Times New Roman" w:hAnsi="Times New Roman" w:cs="Times New Roman"/>
      <w:b/>
      <w:bCs/>
      <w:i/>
      <w:iCs/>
      <w:spacing w:val="6"/>
      <w:lang w:val="en-GB" w:eastAsia="ru-RU"/>
    </w:rPr>
  </w:style>
  <w:style w:type="character" w:customStyle="1" w:styleId="Style1Char">
    <w:name w:val="Style1 Char"/>
    <w:basedOn w:val="NosaukumiChar"/>
    <w:link w:val="Style1"/>
    <w:rsid w:val="00F17C77"/>
    <w:rPr>
      <w:rFonts w:ascii="Times New Roman" w:hAnsi="Times New Roman" w:cs="Times New Roman"/>
      <w:b/>
      <w:bCs/>
      <w:i/>
      <w:iCs/>
      <w:spacing w:val="6"/>
      <w:sz w:val="24"/>
      <w:lang w:val="en-GB" w:eastAsia="ru-RU"/>
    </w:rPr>
  </w:style>
  <w:style w:type="paragraph" w:customStyle="1" w:styleId="Style2">
    <w:name w:val="Style2"/>
    <w:basedOn w:val="Normal"/>
    <w:link w:val="Style2Char"/>
    <w:autoRedefine/>
    <w:qFormat/>
    <w:rsid w:val="00F17C77"/>
    <w:rPr>
      <w:caps/>
      <w:szCs w:val="22"/>
    </w:rPr>
  </w:style>
  <w:style w:type="character" w:customStyle="1" w:styleId="Style2Char">
    <w:name w:val="Style2 Char"/>
    <w:basedOn w:val="DefaultParagraphFont"/>
    <w:link w:val="Style2"/>
    <w:rsid w:val="00F17C77"/>
    <w:rPr>
      <w:rFonts w:ascii="Times New Roman" w:eastAsia="Calibri" w:hAnsi="Times New Roman" w:cs="Times New Roman"/>
      <w:bCs/>
      <w:iCs/>
      <w:caps/>
      <w:shd w:val="clear" w:color="auto" w:fill="FFFFFF" w:themeFill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C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77"/>
    <w:rPr>
      <w:rFonts w:ascii="Tahoma" w:eastAsia="Calibri" w:hAnsi="Tahoma" w:cs="Tahoma"/>
      <w:bCs/>
      <w:iCs/>
      <w:sz w:val="16"/>
      <w:szCs w:val="16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40BC2264EB426D9FDCA0A36CD80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AE894-A5A7-4BC5-AF53-A29F1BF4EB29}"/>
      </w:docPartPr>
      <w:docPartBody>
        <w:p w:rsidR="00000000" w:rsidRDefault="007A2C46" w:rsidP="007A2C46">
          <w:pPr>
            <w:pStyle w:val="5840BC2264EB426D9FDCA0A36CD80944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46"/>
    <w:rsid w:val="007A2C46"/>
    <w:rsid w:val="00D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2C46"/>
    <w:rPr>
      <w:color w:val="808080"/>
    </w:rPr>
  </w:style>
  <w:style w:type="paragraph" w:customStyle="1" w:styleId="5840BC2264EB426D9FDCA0A36CD80944">
    <w:name w:val="5840BC2264EB426D9FDCA0A36CD80944"/>
    <w:rsid w:val="007A2C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2C46"/>
    <w:rPr>
      <w:color w:val="808080"/>
    </w:rPr>
  </w:style>
  <w:style w:type="paragraph" w:customStyle="1" w:styleId="5840BC2264EB426D9FDCA0A36CD80944">
    <w:name w:val="5840BC2264EB426D9FDCA0A36CD80944"/>
    <w:rsid w:val="007A2C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9904</Words>
  <Characters>5646</Characters>
  <Application>Microsoft Office Word</Application>
  <DocSecurity>0</DocSecurity>
  <Lines>47</Lines>
  <Paragraphs>31</Paragraphs>
  <ScaleCrop>false</ScaleCrop>
  <Company/>
  <LinksUpToDate>false</LinksUpToDate>
  <CharactersWithSpaces>15519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2023-07-13T11:39:00Z</dcterms:created>
  <dcterms:modified xsi:type="dcterms:W3CDTF">2023-07-13T11:39:00Z</dcterms:modified>
</cp:coreProperties>
</file>