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38" w:rsidRPr="00ED18EB" w:rsidRDefault="00422738" w:rsidP="00422738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422738" w:rsidRPr="00ED18EB" w:rsidRDefault="00422738" w:rsidP="00422738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422738" w:rsidRPr="00ED18EB" w:rsidRDefault="00422738" w:rsidP="00422738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38" w:rsidRPr="00ED18EB" w:rsidRDefault="00422738" w:rsidP="0078692D">
            <w:pPr>
              <w:pStyle w:val="Style1"/>
              <w:framePr w:wrap="around"/>
            </w:pPr>
            <w:bookmarkStart w:id="0" w:name="_Toc103779984"/>
            <w:bookmarkStart w:id="1" w:name="_GoBack"/>
            <w:r w:rsidRPr="00ED18EB">
              <w:t>Pūšaminstrumenta spēle (saksofons) IV</w:t>
            </w:r>
            <w:bookmarkEnd w:id="0"/>
            <w:bookmarkEnd w:id="1"/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MākZ2643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91788288"/>
            <w:placeholder>
              <w:docPart w:val="99B8C46344B84027A7C949BE1A2058E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22738" w:rsidRPr="00ED18EB" w:rsidRDefault="00422738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  <w:r w:rsidRPr="00ED18EB">
              <w:t>2.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422738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Kursa autors(–i)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Dr. art., viesprofesors Rytis Urniežius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 xml:space="preserve"> Mg.art., docents Dainis Vuškāns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Priekšzināšanas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MākZ1591 Pūšaminstrumenta spēle (saksofons) I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MākZ1592 Pūšaminstrumenta spēle (saksofons) II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MākZ2642 Pūšaminstrumenta spēle (saksofons) III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(saksofons)” studējošajiem.</w:t>
            </w:r>
          </w:p>
          <w:p w:rsidR="00422738" w:rsidRPr="00ED18EB" w:rsidRDefault="00422738" w:rsidP="0078692D">
            <w:pPr>
              <w:shd w:val="clear" w:color="auto" w:fill="auto"/>
              <w:rPr>
                <w:rStyle w:val="Style2Char"/>
              </w:rPr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saksofonistu,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IV semestris 3KP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Kontrolstunda.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lastRenderedPageBreak/>
              <w:t>Akadēmiskais koncerts.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Kolokvijs.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Eksāmens.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visaptverošas zināšanas par pūšaminstrumentu (īpaši saksofona) tehnoloģiju un atskaņojuma specifiku;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saksofona koncertrepertuāra skaņdarbu pārzināšana;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saksofonu, un rast risinājumus;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Patstāvīgie uzdevumi: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eksāmens.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eksāmens – 50%. Regulārs nodarbību apmeklējums.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atskaņot no galvas eksāmena programmu.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IV semestris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Kontrolstunda: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lastRenderedPageBreak/>
              <w:t>– etīde pēc izvēles;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Akadēmiskais koncerts: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Kolokvijs.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Eksāmens: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422738" w:rsidRPr="00ED18EB" w:rsidRDefault="00422738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Studenta kompetenci kontrolstundā, akadēmiskajā koncertā, kolokvijā, eksāmenā vērtē 10 ballu skalā.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skaņas kvalitāte;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Pūšaminstrumenta saksofons spēles tehnikas apguve.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422738" w:rsidRPr="00ED18EB" w:rsidRDefault="00422738" w:rsidP="0078692D">
            <w:pPr>
              <w:shd w:val="clear" w:color="auto" w:fill="auto"/>
            </w:pPr>
            <w:proofErr w:type="gramStart"/>
            <w:r w:rsidRPr="00ED18EB">
              <w:t>Dažādu stilu un žanru skaņdarbu saksofonam apguve</w:t>
            </w:r>
            <w:proofErr w:type="gramEnd"/>
            <w:r w:rsidRPr="00ED18EB">
              <w:t>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lastRenderedPageBreak/>
              <w:t>Lasīšanai no lapas nepieciešamo iemaņu pilnveide.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lastRenderedPageBreak/>
              <w:t>Obligāti izmantojamie informācijas avoti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Etīdes: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Bozza, E. (2005). 12 Etudes–Caprices For Saxophone. ID: AL20313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Ferling, F. W. (2019). 48 études, op. 31, vol. 1: pour saxophone alto et piano. Billaudot.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Harris, P. (2016). More Graded Studies for Saxophone Book 1. Faber Music.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Harris, P. (2016). More Graded Studies for Saxophone Book 2. Faber Music.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Bach, J. S. (2010). Sonata in G minor BWV1020. Edition for saxophone and piano. Universal edition.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Creston, P. (2019). Sonata for E–flat alto saxophone and piano. AST Publications.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Handel. G. F. (2005). Five famous Handel violin sonatas: for alto saxophone and keyboard. Carl Fischer Music.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Maurine, P. (1990). Tableux de Provanse. Editions Henry Lemoine.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Rueff, J. (2005). Sonate pour Alto Saxophone seul.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Tcherepnine, A. (2005). Sonatine sportive. Alphonse Ledu.c.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Koncerti: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Arnold M. (2005). Concerto for Alto Saxophone and String Orchestra. Tewkesbury: Goodmusic.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Debussy, C. (2004). Rapsodie Pour Orchestre et Saxophone. Reduction for Alto Saxophone and Piano. Durand Editions Musicales.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Glazunov, A. (2010). Concerto in E–flat major for Alto Saxophone and String Orchestra. Piano Reduction. Bärenreiter.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Husa, K. (1972). Concerto for Alto Saxophone and Concert Band. New York: Associated Music Publishers.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Maslanka, D. (1999). Concerto for Alto Saxophone and Wind Ensemble. Piano Reduction. Carl Fischer Music.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Solo skaņdarbi: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Bonneau, P. (1990). Suite pour saxophone alto et piano.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Bozza, E. (2002). Fantaisie Italienne pour saxophone alto et piano.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Classical Saxophone solos (1986). Ed. Both, Heinz. Schott.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Corelli, A. (2005). Adagio (Classiques No.49). Saxophone–Alto &amp; Piano.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Denisov, E. (1978). Deux pièces pour saxophone alto et piano.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Dukas, P. (1999). Alla Gitana for alto saxophone. Masters Music.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Friedmann, M. (2000). Classical solos: 12 pieces based on famous themes / Alto saxophone. De Haske.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Mendelssohn Bartholdy, F. (2005). Chanson de Printemps Op. 62 No. 6 in A major. Alphonse Ledu.c.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Quate, A. (1987). Light of Sothis for Alto Saxophone and Piano.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Ritter George, T. (1978). Introduction and Dance. San Antonio, Tex.: Southern Music. 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Rueff, J. (2005). Chanson &amp; Passepied. Alphonse Ledu.c.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pStyle w:val="Style2"/>
              <w:shd w:val="clear" w:color="auto" w:fill="auto"/>
            </w:pPr>
            <w:r w:rsidRPr="00ED18EB">
              <w:t>Ieteicamais repertuārs:</w:t>
            </w:r>
          </w:p>
          <w:p w:rsidR="00422738" w:rsidRPr="00ED18EB" w:rsidRDefault="00422738" w:rsidP="0078692D">
            <w:pPr>
              <w:shd w:val="clear" w:color="auto" w:fill="auto"/>
            </w:pP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IV semestris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>. 2. pakāpe.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Bozza, E. 12 saksofona etīdes–kaprīzes.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Bahs, J. S. Sonāte e moll.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Krestons, P. Sonāte.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Glazunovs, A. (2010) Koncerts E dur.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Latviešu komponista skaņdarbi: Altmanis, A. Expromtus, Impulsus.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lastRenderedPageBreak/>
              <w:t xml:space="preserve">Harvey, P. (2001). Saxophone. Yehudi Menuhin Music Guides.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 xml:space="preserve">Skinner D. (2013). The Saxophone Handbook: Complete Guide to Tone, Technique, and Performance. Berklee Press.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The Woodwind Player's Cookbook (2008). Edited by Charles West. Meredith Music (docētāja privātais izdevumu krājums)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422738" w:rsidRPr="00ED18EB" w:rsidRDefault="00422738" w:rsidP="0078692D">
            <w:pPr>
              <w:shd w:val="clear" w:color="auto" w:fill="auto"/>
            </w:pP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38" w:rsidRPr="00ED18EB" w:rsidRDefault="00422738" w:rsidP="0078692D">
            <w:pPr>
              <w:pStyle w:val="Nosaukumi"/>
            </w:pPr>
            <w:r w:rsidRPr="00ED18EB">
              <w:t>Piezīmes</w:t>
            </w:r>
          </w:p>
        </w:tc>
      </w:tr>
      <w:tr w:rsidR="00422738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38" w:rsidRPr="00ED18EB" w:rsidRDefault="00422738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422738" w:rsidRPr="00ED18EB" w:rsidRDefault="00422738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422738" w:rsidRPr="00ED18EB" w:rsidRDefault="00422738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422738" w:rsidRPr="00ED18EB" w:rsidRDefault="00422738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422738" w:rsidRPr="00ED18EB" w:rsidRDefault="00422738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38"/>
    <w:rsid w:val="00422738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38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422738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422738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42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738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2738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422738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422738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422738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422738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422738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738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38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422738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422738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422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738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2738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422738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422738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422738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422738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422738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738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9B8C46344B84027A7C949BE1A205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B5177-612C-471F-BF7F-900769DF6028}"/>
      </w:docPartPr>
      <w:docPartBody>
        <w:p w:rsidR="00000000" w:rsidRDefault="00AE67F6" w:rsidP="00AE67F6">
          <w:pPr>
            <w:pStyle w:val="99B8C46344B84027A7C949BE1A2058EF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7F6"/>
    <w:rsid w:val="006B0812"/>
    <w:rsid w:val="00A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7F6"/>
    <w:rPr>
      <w:color w:val="808080"/>
    </w:rPr>
  </w:style>
  <w:style w:type="paragraph" w:customStyle="1" w:styleId="99B8C46344B84027A7C949BE1A2058EF">
    <w:name w:val="99B8C46344B84027A7C949BE1A2058EF"/>
    <w:rsid w:val="00AE67F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7F6"/>
    <w:rPr>
      <w:color w:val="808080"/>
    </w:rPr>
  </w:style>
  <w:style w:type="paragraph" w:customStyle="1" w:styleId="99B8C46344B84027A7C949BE1A2058EF">
    <w:name w:val="99B8C46344B84027A7C949BE1A2058EF"/>
    <w:rsid w:val="00AE67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6577</Words>
  <Characters>3749</Characters>
  <Application>Microsoft Office Word</Application>
  <DocSecurity>0</DocSecurity>
  <Lines>31</Lines>
  <Paragraphs>20</Paragraphs>
  <ScaleCrop>false</ScaleCrop>
  <Company/>
  <LinksUpToDate>false</LinksUpToDate>
  <CharactersWithSpaces>10306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2023-07-13T11:41:00Z</dcterms:created>
  <dcterms:modified xsi:type="dcterms:W3CDTF">2023-07-13T11:42:00Z</dcterms:modified>
</cp:coreProperties>
</file>