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DF5" w:rsidRPr="00883DF5" w:rsidRDefault="00883DF5" w:rsidP="00DB4B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83DF5" w:rsidRPr="00883DF5" w:rsidRDefault="00883DF5" w:rsidP="00883DF5">
      <w:pPr>
        <w:tabs>
          <w:tab w:val="left" w:pos="18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883DF5">
        <w:rPr>
          <w:rFonts w:ascii="Times New Roman" w:hAnsi="Times New Roman" w:cs="Times New Roman"/>
          <w:sz w:val="24"/>
          <w:szCs w:val="24"/>
          <w:lang w:eastAsia="zh-CN"/>
        </w:rPr>
        <w:t>NOLIKUMS PAR PRAKSI</w:t>
      </w:r>
    </w:p>
    <w:p w:rsidR="00883DF5" w:rsidRPr="00883DF5" w:rsidRDefault="00883DF5" w:rsidP="00883DF5">
      <w:pPr>
        <w:tabs>
          <w:tab w:val="left" w:pos="18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83DF5" w:rsidRPr="00883DF5" w:rsidRDefault="00883DF5" w:rsidP="006F775D">
      <w:pPr>
        <w:tabs>
          <w:tab w:val="left" w:pos="1834"/>
        </w:tabs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bookmarkStart w:id="0" w:name="_Hlk3274699"/>
      <w:bookmarkEnd w:id="0"/>
      <w:r w:rsidRPr="00883DF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OTRĀ LĪMEŅA PROFESIONĀLĀS AUGSTĀKĀS IZGLĪTĪBAS STUDIJU PROGRAMMA </w:t>
      </w:r>
      <w:r w:rsidRPr="00883DF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”MŪZIKA” </w:t>
      </w:r>
      <w:r w:rsidRPr="00883DF5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(Programmas kods 42 212)</w:t>
      </w:r>
    </w:p>
    <w:p w:rsidR="00883DF5" w:rsidRPr="00883DF5" w:rsidRDefault="00883DF5" w:rsidP="00883DF5">
      <w:pPr>
        <w:tabs>
          <w:tab w:val="left" w:pos="183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zh-CN"/>
        </w:rPr>
      </w:pPr>
    </w:p>
    <w:p w:rsidR="00883DF5" w:rsidRPr="00883DF5" w:rsidRDefault="00883DF5" w:rsidP="00883DF5">
      <w:pPr>
        <w:tabs>
          <w:tab w:val="left" w:pos="183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zh-CN"/>
        </w:rPr>
      </w:pPr>
    </w:p>
    <w:p w:rsidR="00883DF5" w:rsidRPr="00883DF5" w:rsidRDefault="00883DF5" w:rsidP="00883DF5">
      <w:pPr>
        <w:numPr>
          <w:ilvl w:val="0"/>
          <w:numId w:val="6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  <w:r w:rsidRPr="00883DF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>VISPĀRĪGIE NOTEIKUMI</w:t>
      </w:r>
    </w:p>
    <w:p w:rsidR="00883DF5" w:rsidRPr="00883DF5" w:rsidRDefault="00883DF5" w:rsidP="00883DF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</w:p>
    <w:p w:rsidR="00883DF5" w:rsidRPr="00883DF5" w:rsidRDefault="00883DF5" w:rsidP="00883DF5">
      <w:pPr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883DF5">
        <w:rPr>
          <w:rFonts w:ascii="Times New Roman" w:hAnsi="Times New Roman" w:cs="Times New Roman"/>
          <w:sz w:val="24"/>
          <w:szCs w:val="24"/>
          <w:lang w:eastAsia="zh-CN"/>
        </w:rPr>
        <w:t xml:space="preserve">Praksi Daugavpils Universitātē (DU) organizē saskaņā </w:t>
      </w:r>
      <w:r w:rsidRPr="00883DF5">
        <w:rPr>
          <w:rFonts w:ascii="Times New Roman" w:hAnsi="Times New Roman" w:cs="Times New Roman"/>
          <w:sz w:val="24"/>
          <w:szCs w:val="24"/>
        </w:rPr>
        <w:t xml:space="preserve">ar </w:t>
      </w:r>
      <w:r w:rsidRPr="00883DF5">
        <w:rPr>
          <w:rFonts w:ascii="Times New Roman" w:hAnsi="Times New Roman" w:cs="Times New Roman"/>
          <w:iCs/>
          <w:sz w:val="24"/>
          <w:szCs w:val="24"/>
        </w:rPr>
        <w:t xml:space="preserve">Ministru kabineta 2014. gada 26. augusta noteikumiem Nr.512 </w:t>
      </w:r>
      <w:r w:rsidRPr="00883DF5">
        <w:rPr>
          <w:rFonts w:ascii="Times New Roman" w:hAnsi="Times New Roman" w:cs="Times New Roman"/>
          <w:i/>
          <w:sz w:val="24"/>
          <w:szCs w:val="24"/>
        </w:rPr>
        <w:t>Noteikumi par otrā līmeņa profesionālās augstākās izglītības valsts standartu</w:t>
      </w:r>
      <w:r w:rsidRPr="00883DF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883DF5">
        <w:rPr>
          <w:rFonts w:ascii="Times New Roman" w:hAnsi="Times New Roman" w:cs="Times New Roman"/>
          <w:sz w:val="24"/>
          <w:szCs w:val="24"/>
          <w:lang w:eastAsia="zh-CN"/>
        </w:rPr>
        <w:t xml:space="preserve">saskaņā </w:t>
      </w:r>
      <w:r w:rsidRPr="00883DF5">
        <w:rPr>
          <w:rFonts w:ascii="Times New Roman" w:hAnsi="Times New Roman" w:cs="Times New Roman"/>
          <w:sz w:val="24"/>
          <w:szCs w:val="24"/>
        </w:rPr>
        <w:t xml:space="preserve">ar </w:t>
      </w:r>
      <w:r w:rsidRPr="00883DF5">
        <w:rPr>
          <w:rFonts w:ascii="Times New Roman" w:hAnsi="Times New Roman" w:cs="Times New Roman"/>
          <w:sz w:val="24"/>
          <w:szCs w:val="24"/>
          <w:lang w:eastAsia="zh-CN"/>
        </w:rPr>
        <w:t xml:space="preserve">Nolikumu par studijām DU (apstiprināts DU Senāta sēdē 17.12.2018., protokols Nr.15), citiem normatīvajiem dokumentiem un </w:t>
      </w:r>
      <w:r w:rsidRPr="00883DF5">
        <w:rPr>
          <w:rFonts w:ascii="Times New Roman" w:hAnsi="Times New Roman" w:cs="Times New Roman"/>
          <w:iCs/>
          <w:sz w:val="24"/>
          <w:szCs w:val="24"/>
          <w:lang w:eastAsia="zh-CN"/>
        </w:rPr>
        <w:t>noslēgtajiem līgumiem par studējošo prakses vietu nodrošināšanu.</w:t>
      </w:r>
    </w:p>
    <w:p w:rsidR="00883DF5" w:rsidRPr="00883DF5" w:rsidRDefault="00883DF5" w:rsidP="00883DF5">
      <w:pPr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883DF5">
        <w:rPr>
          <w:rFonts w:ascii="Times New Roman" w:hAnsi="Times New Roman" w:cs="Times New Roman"/>
          <w:iCs/>
          <w:sz w:val="24"/>
          <w:szCs w:val="24"/>
          <w:lang w:eastAsia="zh-CN"/>
        </w:rPr>
        <w:t>Prakse ir otrā līmeņa profesionālās augstākās izglītības studiju programmu obligāta sastāvdaļa.</w:t>
      </w:r>
    </w:p>
    <w:p w:rsidR="00883DF5" w:rsidRPr="00883DF5" w:rsidRDefault="00883DF5" w:rsidP="00883DF5">
      <w:pPr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883DF5">
        <w:rPr>
          <w:rFonts w:ascii="Times New Roman" w:hAnsi="Times New Roman" w:cs="Times New Roman"/>
          <w:sz w:val="24"/>
          <w:szCs w:val="24"/>
          <w:lang w:eastAsia="zh-CN"/>
        </w:rPr>
        <w:t>Prakses ilgums un laiks ir noteikts studiju programmas studiju plānā.</w:t>
      </w:r>
    </w:p>
    <w:p w:rsidR="00883DF5" w:rsidRPr="00883DF5" w:rsidRDefault="00883DF5" w:rsidP="00883DF5">
      <w:pPr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883DF5">
        <w:rPr>
          <w:rFonts w:ascii="Times New Roman" w:hAnsi="Times New Roman" w:cs="Times New Roman"/>
          <w:sz w:val="24"/>
          <w:szCs w:val="24"/>
          <w:lang w:eastAsia="zh-CN"/>
        </w:rPr>
        <w:t xml:space="preserve">Prakses uzdevumus veic visi DU pilna laika profesionālās studiju programmas MŪZIKA </w:t>
      </w:r>
      <w:r w:rsidRPr="00883DF5">
        <w:rPr>
          <w:rFonts w:ascii="Times New Roman" w:hAnsi="Times New Roman" w:cs="Times New Roman"/>
          <w:spacing w:val="8"/>
          <w:sz w:val="24"/>
          <w:szCs w:val="24"/>
          <w:lang w:eastAsia="zh-CN"/>
        </w:rPr>
        <w:t>studējošie studiju plānā paredzētajā laikā.</w:t>
      </w:r>
    </w:p>
    <w:p w:rsidR="00883DF5" w:rsidRPr="00883DF5" w:rsidRDefault="00883DF5" w:rsidP="00883DF5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883DF5" w:rsidRPr="00883DF5" w:rsidRDefault="00883DF5" w:rsidP="00883DF5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883DF5" w:rsidRPr="00883DF5" w:rsidRDefault="00883DF5" w:rsidP="00883DF5">
      <w:pPr>
        <w:numPr>
          <w:ilvl w:val="0"/>
          <w:numId w:val="6"/>
        </w:numPr>
        <w:tabs>
          <w:tab w:val="left" w:pos="567"/>
          <w:tab w:val="left" w:pos="18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883DF5">
        <w:rPr>
          <w:rFonts w:ascii="Times New Roman" w:hAnsi="Times New Roman" w:cs="Times New Roman"/>
          <w:sz w:val="24"/>
          <w:szCs w:val="24"/>
          <w:lang w:eastAsia="zh-CN"/>
        </w:rPr>
        <w:t>PRAKSES MĒRĶIS UN UZDEVUMI</w:t>
      </w:r>
    </w:p>
    <w:p w:rsidR="00883DF5" w:rsidRPr="00883DF5" w:rsidRDefault="00883DF5" w:rsidP="00883DF5">
      <w:pPr>
        <w:tabs>
          <w:tab w:val="left" w:pos="567"/>
          <w:tab w:val="left" w:pos="183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83DF5" w:rsidRPr="00883DF5" w:rsidRDefault="00883DF5" w:rsidP="00883DF5">
      <w:pPr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Prakses (turpmāk </w:t>
      </w:r>
      <w:proofErr w:type="spellStart"/>
      <w:r w:rsidRPr="00883DF5">
        <w:rPr>
          <w:rFonts w:ascii="Times New Roman" w:hAnsi="Times New Roman" w:cs="Times New Roman"/>
          <w:spacing w:val="1"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spacing w:val="1"/>
          <w:sz w:val="24"/>
          <w:szCs w:val="24"/>
        </w:rPr>
        <w:t>) mērķis ir sagatavot kvalificētu un radošu mūziķi-atskaņotājmākslinieku</w:t>
      </w:r>
      <w:r w:rsidRPr="00883DF5">
        <w:rPr>
          <w:rFonts w:ascii="Times New Roman" w:hAnsi="Times New Roman" w:cs="Times New Roman"/>
          <w:i/>
          <w:spacing w:val="1"/>
          <w:sz w:val="24"/>
          <w:szCs w:val="24"/>
        </w:rPr>
        <w:t>,</w:t>
      </w:r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 aprobēt praktiski studiju laikā iegūtās teorētiskās un praktiskās zināšanas, prasmes un kompetences.</w:t>
      </w:r>
    </w:p>
    <w:p w:rsidR="00883DF5" w:rsidRPr="00883DF5" w:rsidRDefault="00883DF5" w:rsidP="00883DF5">
      <w:pPr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DF5">
        <w:rPr>
          <w:rFonts w:ascii="Times New Roman" w:hAnsi="Times New Roman" w:cs="Times New Roman"/>
          <w:sz w:val="24"/>
          <w:szCs w:val="24"/>
          <w:lang w:eastAsia="zh-CN"/>
        </w:rPr>
        <w:t>Koncertprakses</w:t>
      </w:r>
      <w:proofErr w:type="spellEnd"/>
      <w:r w:rsidRPr="00883DF5">
        <w:rPr>
          <w:rFonts w:ascii="Times New Roman" w:hAnsi="Times New Roman" w:cs="Times New Roman"/>
          <w:sz w:val="24"/>
          <w:szCs w:val="24"/>
          <w:lang w:eastAsia="zh-CN"/>
        </w:rPr>
        <w:t xml:space="preserve"> uzdevumus nosaka prakses studiju kursa apraksti</w:t>
      </w:r>
      <w:r w:rsidRPr="00883DF5">
        <w:rPr>
          <w:rFonts w:ascii="Times New Roman" w:hAnsi="Times New Roman" w:cs="Times New Roman"/>
          <w:spacing w:val="-1"/>
          <w:sz w:val="24"/>
          <w:szCs w:val="24"/>
        </w:rPr>
        <w:t xml:space="preserve">: </w:t>
      </w:r>
    </w:p>
    <w:p w:rsidR="00883DF5" w:rsidRPr="00883DF5" w:rsidRDefault="00883DF5" w:rsidP="00883DF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pacing w:val="-1"/>
          <w:sz w:val="24"/>
          <w:szCs w:val="24"/>
        </w:rPr>
        <w:t>2.2.1.</w:t>
      </w:r>
      <w:r w:rsidRPr="00883DF5">
        <w:rPr>
          <w:rFonts w:ascii="Times New Roman" w:hAnsi="Times New Roman" w:cs="Times New Roman"/>
          <w:sz w:val="24"/>
          <w:szCs w:val="24"/>
        </w:rPr>
        <w:t>organizēt mākslinieciskās jaunrades darbu saskaņā ar izvirzītajiem mērķiem un uzdevumiem;</w:t>
      </w:r>
    </w:p>
    <w:p w:rsidR="00883DF5" w:rsidRPr="00883DF5" w:rsidRDefault="00883DF5" w:rsidP="00883DF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2.2.2. atlasīt spilgtāko māksliniecisko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koncertrepertuāru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>;</w:t>
      </w:r>
    </w:p>
    <w:p w:rsidR="00883DF5" w:rsidRPr="00883DF5" w:rsidRDefault="00883DF5" w:rsidP="00883DF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>2.2.3. patstāvīgi iestudēt un kvalitatīvi publiski atskaņot dažādas sarežģītības pakāpes instrumentālos vai vokālos skaņdarbus;</w:t>
      </w:r>
    </w:p>
    <w:p w:rsidR="00883DF5" w:rsidRPr="00883DF5" w:rsidRDefault="00883DF5" w:rsidP="00883DF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2.2.4. </w:t>
      </w:r>
      <w:r w:rsidRPr="00883DF5">
        <w:rPr>
          <w:rFonts w:ascii="Times New Roman" w:hAnsi="Times New Roman" w:cs="Times New Roman"/>
          <w:spacing w:val="9"/>
          <w:sz w:val="24"/>
          <w:szCs w:val="24"/>
        </w:rPr>
        <w:t>analizēt</w:t>
      </w:r>
      <w:r w:rsidRPr="00883DF5">
        <w:rPr>
          <w:rFonts w:ascii="Times New Roman" w:hAnsi="Times New Roman" w:cs="Times New Roman"/>
          <w:sz w:val="24"/>
          <w:szCs w:val="24"/>
        </w:rPr>
        <w:t xml:space="preserve"> un novērtēt skaņdarba interpretācijas māksliniecisko līmeni;</w:t>
      </w:r>
    </w:p>
    <w:p w:rsidR="00883DF5" w:rsidRPr="00883DF5" w:rsidRDefault="00883DF5" w:rsidP="00883DF5">
      <w:pPr>
        <w:spacing w:after="0" w:line="240" w:lineRule="auto"/>
        <w:ind w:left="426"/>
        <w:rPr>
          <w:rFonts w:ascii="Times New Roman" w:hAnsi="Times New Roman" w:cs="Times New Roman"/>
          <w:spacing w:val="-1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2.2.5. </w:t>
      </w:r>
      <w:r w:rsidRPr="00883DF5">
        <w:rPr>
          <w:rFonts w:ascii="Times New Roman" w:hAnsi="Times New Roman" w:cs="Times New Roman"/>
          <w:spacing w:val="9"/>
          <w:sz w:val="24"/>
          <w:szCs w:val="24"/>
        </w:rPr>
        <w:t xml:space="preserve">vērot un analizēt </w:t>
      </w:r>
      <w:r w:rsidRPr="00883DF5">
        <w:rPr>
          <w:rFonts w:ascii="Times New Roman" w:hAnsi="Times New Roman" w:cs="Times New Roman"/>
          <w:spacing w:val="1"/>
          <w:sz w:val="24"/>
          <w:szCs w:val="24"/>
        </w:rPr>
        <w:t>atskaņotājmākslinieku</w:t>
      </w:r>
      <w:r w:rsidRPr="00883DF5">
        <w:rPr>
          <w:rFonts w:ascii="Times New Roman" w:hAnsi="Times New Roman" w:cs="Times New Roman"/>
          <w:spacing w:val="9"/>
          <w:sz w:val="24"/>
          <w:szCs w:val="24"/>
        </w:rPr>
        <w:t xml:space="preserve"> darba </w:t>
      </w:r>
      <w:r w:rsidRPr="00883DF5">
        <w:rPr>
          <w:rFonts w:ascii="Times New Roman" w:hAnsi="Times New Roman" w:cs="Times New Roman"/>
          <w:spacing w:val="-1"/>
          <w:sz w:val="24"/>
          <w:szCs w:val="24"/>
        </w:rPr>
        <w:t>procesu.</w:t>
      </w:r>
    </w:p>
    <w:p w:rsidR="00883DF5" w:rsidRPr="00883DF5" w:rsidRDefault="00883DF5" w:rsidP="00883DF5">
      <w:pPr>
        <w:spacing w:after="0" w:line="240" w:lineRule="auto"/>
        <w:ind w:left="426"/>
        <w:rPr>
          <w:rFonts w:ascii="Times New Roman" w:hAnsi="Times New Roman" w:cs="Times New Roman"/>
          <w:spacing w:val="-1"/>
          <w:sz w:val="24"/>
          <w:szCs w:val="24"/>
        </w:rPr>
      </w:pPr>
    </w:p>
    <w:p w:rsidR="00883DF5" w:rsidRPr="00883DF5" w:rsidRDefault="00883DF5" w:rsidP="00883DF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883DF5" w:rsidRPr="00256587" w:rsidRDefault="00883DF5" w:rsidP="00256587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9"/>
          <w:sz w:val="24"/>
          <w:szCs w:val="24"/>
        </w:rPr>
      </w:pPr>
      <w:r w:rsidRPr="00256587">
        <w:rPr>
          <w:rFonts w:ascii="Times New Roman" w:hAnsi="Times New Roman" w:cs="Times New Roman"/>
          <w:spacing w:val="-9"/>
          <w:sz w:val="24"/>
          <w:szCs w:val="24"/>
        </w:rPr>
        <w:t>PRAKSES NORISE</w:t>
      </w:r>
    </w:p>
    <w:p w:rsidR="00883DF5" w:rsidRPr="00883DF5" w:rsidRDefault="00883DF5" w:rsidP="00883DF5">
      <w:pPr>
        <w:shd w:val="clear" w:color="auto" w:fill="FFFFFF"/>
        <w:tabs>
          <w:tab w:val="left" w:pos="0"/>
        </w:tabs>
        <w:spacing w:after="0" w:line="240" w:lineRule="auto"/>
        <w:ind w:left="426"/>
        <w:rPr>
          <w:rFonts w:ascii="Times New Roman" w:hAnsi="Times New Roman" w:cs="Times New Roman"/>
          <w:spacing w:val="-9"/>
          <w:sz w:val="24"/>
          <w:szCs w:val="24"/>
        </w:rPr>
      </w:pPr>
    </w:p>
    <w:p w:rsidR="00883DF5" w:rsidRPr="00883DF5" w:rsidRDefault="00883DF5" w:rsidP="00883DF5">
      <w:pPr>
        <w:numPr>
          <w:ilvl w:val="1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883DF5">
        <w:rPr>
          <w:rFonts w:ascii="Times New Roman" w:hAnsi="Times New Roman" w:cs="Times New Roman"/>
          <w:spacing w:val="-11"/>
          <w:sz w:val="24"/>
          <w:szCs w:val="24"/>
        </w:rPr>
        <w:t xml:space="preserve">Profesionālo </w:t>
      </w:r>
      <w:proofErr w:type="spellStart"/>
      <w:r w:rsidRPr="00883DF5">
        <w:rPr>
          <w:rFonts w:ascii="Times New Roman" w:hAnsi="Times New Roman" w:cs="Times New Roman"/>
          <w:spacing w:val="-11"/>
          <w:sz w:val="24"/>
          <w:szCs w:val="24"/>
        </w:rPr>
        <w:t>koncertpraksi</w:t>
      </w:r>
      <w:proofErr w:type="spellEnd"/>
      <w:r w:rsidRPr="00883DF5">
        <w:rPr>
          <w:rFonts w:ascii="Times New Roman" w:hAnsi="Times New Roman" w:cs="Times New Roman"/>
          <w:spacing w:val="-11"/>
          <w:sz w:val="24"/>
          <w:szCs w:val="24"/>
        </w:rPr>
        <w:t xml:space="preserve"> veido četras daļas: </w:t>
      </w:r>
    </w:p>
    <w:p w:rsidR="00883DF5" w:rsidRPr="00883DF5" w:rsidRDefault="00883DF5" w:rsidP="00883DF5">
      <w:pPr>
        <w:numPr>
          <w:ilvl w:val="2"/>
          <w:numId w:val="8"/>
        </w:numPr>
        <w:tabs>
          <w:tab w:val="left" w:pos="655"/>
          <w:tab w:val="left" w:pos="851"/>
          <w:tab w:val="left" w:pos="1134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Analītiskā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2 KP apjomā; </w:t>
      </w:r>
    </w:p>
    <w:p w:rsidR="00883DF5" w:rsidRPr="00883DF5" w:rsidRDefault="00883DF5" w:rsidP="00883DF5">
      <w:pPr>
        <w:numPr>
          <w:ilvl w:val="2"/>
          <w:numId w:val="8"/>
        </w:numPr>
        <w:tabs>
          <w:tab w:val="left" w:pos="655"/>
          <w:tab w:val="left" w:pos="851"/>
          <w:tab w:val="left" w:pos="1134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Ansambļa/kameransambļa spēles prakse 4 KP apjomā; </w:t>
      </w:r>
    </w:p>
    <w:p w:rsidR="00883DF5" w:rsidRPr="00883DF5" w:rsidRDefault="00883DF5" w:rsidP="00883DF5">
      <w:pPr>
        <w:numPr>
          <w:ilvl w:val="2"/>
          <w:numId w:val="8"/>
        </w:numPr>
        <w:tabs>
          <w:tab w:val="left" w:pos="655"/>
          <w:tab w:val="left" w:pos="851"/>
          <w:tab w:val="left" w:pos="1134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>Koncerti specialitātes instrumenta spēlē</w:t>
      </w:r>
      <w:r w:rsidRPr="00883D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sz w:val="24"/>
          <w:szCs w:val="24"/>
        </w:rPr>
        <w:t xml:space="preserve">10 KP apjomā; </w:t>
      </w:r>
    </w:p>
    <w:p w:rsidR="00883DF5" w:rsidRPr="00883DF5" w:rsidRDefault="00883DF5" w:rsidP="00883DF5">
      <w:pPr>
        <w:numPr>
          <w:ilvl w:val="2"/>
          <w:numId w:val="8"/>
        </w:numPr>
        <w:tabs>
          <w:tab w:val="left" w:pos="655"/>
          <w:tab w:val="left" w:pos="851"/>
          <w:tab w:val="left" w:pos="1134"/>
        </w:tabs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>Orķestra/kora prakse 4 KP apjomā.</w:t>
      </w:r>
    </w:p>
    <w:p w:rsidR="00883DF5" w:rsidRPr="00883DF5" w:rsidRDefault="00883DF5" w:rsidP="00883DF5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3.2. Analītiskās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sz w:val="24"/>
          <w:szCs w:val="24"/>
        </w:rPr>
        <w:t>uzdevums ir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sz w:val="24"/>
          <w:szCs w:val="24"/>
        </w:rPr>
        <w:t xml:space="preserve">attīstīt studentu prasmi profesionāli analizēt un izvērtēt savu un citu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koncertizpildītāju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atskaņojumu, paplašināt muzikālo pieredzi un veidot sapratni par dažādu mūzikas stilu un žanru skaņdarbu interpretācijām. Līdz ar to koncertu, konkursu, koncertlekciju, meistarklašu, zinātnisko konferenču apmeklējums un rakstiska analīze.</w:t>
      </w:r>
    </w:p>
    <w:p w:rsidR="00883DF5" w:rsidRPr="00883DF5" w:rsidRDefault="00883DF5" w:rsidP="00883DF5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3.3. Koncertu specialitātes instrumenta spēlē, kā arī ansambļa/kameransambļa spēles prakses un orķestra/kora prakses uzdevums ir dot studentam iespēju iegūt sava koncertatskaņojuma pieredzi, tehniski un mākslinieciski precīzi iestudējot un atskaņojot dažādu laikmetu, stilu, žanru un komponistu skaņdarbus, vienlaikus veidot prasmi </w:t>
      </w:r>
      <w:r w:rsidRPr="00883DF5">
        <w:rPr>
          <w:rFonts w:ascii="Times New Roman" w:hAnsi="Times New Roman" w:cs="Times New Roman"/>
          <w:sz w:val="24"/>
          <w:szCs w:val="24"/>
        </w:rPr>
        <w:lastRenderedPageBreak/>
        <w:t xml:space="preserve">koncertu organizēšanā un novadīšanā.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nostiprina un papildina topošā atskaņotājmākslinieka praktiskās zināšanas un prasmes, pilnveido kopumā viņa profesionālo kompetenci solo/ansambļa/orķestra spēlē atbilstoši mūziķa profesijas prasībām.</w:t>
      </w:r>
    </w:p>
    <w:p w:rsidR="00883DF5" w:rsidRPr="00883DF5" w:rsidRDefault="00883DF5" w:rsidP="00883DF5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tiek organizēta un īstenota saskaņā ar prakses nolikumu un līgumiem, kuros ietverti prakses mērķi un uzdevumi, prakses sasniegumu vērtēšanas kārtība, noteikti pušu pienākumi un atbildība saskaņā ar Ministru kabineta noteikumiem</w:t>
      </w:r>
      <w:r w:rsidRPr="00883DF5">
        <w:rPr>
          <w:rStyle w:val="FootnoteReference"/>
          <w:sz w:val="24"/>
          <w:szCs w:val="24"/>
        </w:rPr>
        <w:footnoteReference w:id="1"/>
      </w:r>
      <w:r w:rsidRPr="00883DF5">
        <w:rPr>
          <w:rFonts w:ascii="Times New Roman" w:hAnsi="Times New Roman" w:cs="Times New Roman"/>
          <w:sz w:val="24"/>
          <w:szCs w:val="24"/>
        </w:rPr>
        <w:t xml:space="preserve">. Prakses uzskaitei iekārtota </w:t>
      </w:r>
      <w:proofErr w:type="spellStart"/>
      <w:r w:rsidRPr="00883DF5">
        <w:rPr>
          <w:rFonts w:ascii="Times New Roman" w:hAnsi="Times New Roman" w:cs="Times New Roman"/>
          <w:i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i/>
          <w:sz w:val="24"/>
          <w:szCs w:val="24"/>
        </w:rPr>
        <w:t xml:space="preserve"> dienasgrāmata</w:t>
      </w:r>
      <w:r w:rsidRPr="00883DF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83DF5" w:rsidRPr="00A949F9" w:rsidRDefault="00883DF5" w:rsidP="00A949F9">
      <w:pPr>
        <w:pStyle w:val="ListParagraph"/>
        <w:numPr>
          <w:ilvl w:val="1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A949F9">
        <w:rPr>
          <w:rFonts w:ascii="Times New Roman" w:hAnsi="Times New Roman" w:cs="Times New Roman"/>
          <w:sz w:val="24"/>
          <w:szCs w:val="24"/>
        </w:rPr>
        <w:t>Īpaša prakses forma ir atklātie akadēmiskie koncerti un meistarklases. Darbojoties šādā veidā studenti bagātina viens otra mākslinieciski radošo pieredzi, apmainās domām, dzird viedokļu daudzveidību par konkrēta mūzikas stila skaņdarba interpretācijām.</w:t>
      </w:r>
    </w:p>
    <w:p w:rsidR="00883DF5" w:rsidRPr="00883DF5" w:rsidRDefault="00883DF5" w:rsidP="00A949F9">
      <w:pPr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Studiju kursa </w:t>
      </w:r>
      <w:proofErr w:type="spellStart"/>
      <w:r w:rsidRPr="00883DF5">
        <w:rPr>
          <w:rFonts w:ascii="Times New Roman" w:hAnsi="Times New Roman" w:cs="Times New Roman"/>
          <w:i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sz w:val="24"/>
          <w:szCs w:val="24"/>
        </w:rPr>
        <w:t xml:space="preserve">apguves pamatā ir studējošo patstāvīgais darbs. </w:t>
      </w:r>
      <w:r w:rsidRPr="00883DF5">
        <w:rPr>
          <w:rFonts w:ascii="Times New Roman" w:hAnsi="Times New Roman" w:cs="Times New Roman"/>
          <w:sz w:val="24"/>
          <w:szCs w:val="24"/>
          <w:lang w:eastAsia="ru-RU"/>
        </w:rPr>
        <w:t>Tas veicina studentu spējas patstāvīgi veikt noteiktus mākslinieciskās jaunrades uzdevumus. P</w:t>
      </w:r>
      <w:r w:rsidRPr="00883DF5">
        <w:rPr>
          <w:rFonts w:ascii="Times New Roman" w:hAnsi="Times New Roman" w:cs="Times New Roman"/>
          <w:sz w:val="24"/>
          <w:szCs w:val="24"/>
        </w:rPr>
        <w:t xml:space="preserve">atstāvīgais darbs </w:t>
      </w:r>
      <w:r w:rsidRPr="00883DF5">
        <w:rPr>
          <w:rFonts w:ascii="Times New Roman" w:hAnsi="Times New Roman" w:cs="Times New Roman"/>
          <w:sz w:val="24"/>
          <w:szCs w:val="24"/>
          <w:lang w:eastAsia="ru-RU"/>
        </w:rPr>
        <w:t xml:space="preserve">izpaužas specializācijas instrumenta spēles vai akadēmiskās dziedāšanas vai kora diriģēšanas prasmju un kompetences izkopšanā, repertuāra apguvē vai individuālo mākslinieciskās jaunrades praktisko projektu izstrādē. </w:t>
      </w:r>
      <w:r w:rsidRPr="00883DF5">
        <w:rPr>
          <w:rFonts w:ascii="Times New Roman" w:hAnsi="Times New Roman" w:cs="Times New Roman"/>
          <w:sz w:val="24"/>
          <w:szCs w:val="24"/>
        </w:rPr>
        <w:t>Koncerta darba forma orientēta uz studentu radošuma attīstīšanu, viņu interešu virzību studiju kursu prasību ietvaros, kā arī darbam ar atbilstošu literatūru, mūzikas klausīšanos, analīzi un salīdzināšanu,</w:t>
      </w:r>
      <w:r w:rsidRPr="00883D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sz w:val="24"/>
          <w:szCs w:val="24"/>
        </w:rPr>
        <w:t xml:space="preserve">patstāvīgu māksliniecisku jaunrades projektu organizēšanu un novadīšanu. </w:t>
      </w:r>
    </w:p>
    <w:p w:rsidR="00883DF5" w:rsidRPr="00883DF5" w:rsidRDefault="00883DF5" w:rsidP="00883DF5">
      <w:pPr>
        <w:spacing w:after="0" w:line="24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:rsidR="00883DF5" w:rsidRPr="00883DF5" w:rsidRDefault="00883DF5" w:rsidP="00883DF5">
      <w:pPr>
        <w:spacing w:after="0" w:line="24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:rsidR="00883DF5" w:rsidRPr="00256587" w:rsidRDefault="00883DF5" w:rsidP="00A949F9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6587">
        <w:rPr>
          <w:rFonts w:ascii="Times New Roman" w:hAnsi="Times New Roman" w:cs="Times New Roman"/>
          <w:sz w:val="24"/>
          <w:szCs w:val="24"/>
        </w:rPr>
        <w:t>PRAKSES VIETA UN LAIKS</w:t>
      </w:r>
    </w:p>
    <w:p w:rsidR="00883DF5" w:rsidRPr="00883DF5" w:rsidRDefault="00883DF5" w:rsidP="00883D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83DF5" w:rsidRPr="00883DF5" w:rsidRDefault="00883DF5" w:rsidP="00883DF5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4.1.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tiek organizēta līdztekus teorētiskajām un praktiskajām nodarbībām.</w:t>
      </w:r>
    </w:p>
    <w:p w:rsidR="00883DF5" w:rsidRPr="00883DF5" w:rsidRDefault="00883DF5" w:rsidP="00883DF5">
      <w:pPr>
        <w:shd w:val="clear" w:color="auto" w:fill="FFFFFF"/>
        <w:tabs>
          <w:tab w:val="left" w:pos="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4.2.Analītiskā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ietver koncertu, konkursu, koncertlekciju, meistarklašu, festivālu, zinātnisko konferenču apmeklējumu DU un to rakstisku analīzi. </w:t>
      </w:r>
    </w:p>
    <w:p w:rsidR="00883DF5" w:rsidRPr="00883DF5" w:rsidRDefault="00883DF5" w:rsidP="00883DF5">
      <w:pPr>
        <w:shd w:val="clear" w:color="auto" w:fill="FFFFFF"/>
        <w:tabs>
          <w:tab w:val="left" w:pos="0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4.3. </w:t>
      </w:r>
      <w:proofErr w:type="spellStart"/>
      <w:r w:rsidRPr="00883DF5">
        <w:rPr>
          <w:rFonts w:ascii="Times New Roman" w:hAnsi="Times New Roman" w:cs="Times New Roman"/>
          <w:spacing w:val="-11"/>
          <w:sz w:val="24"/>
          <w:szCs w:val="24"/>
        </w:rPr>
        <w:t>K</w:t>
      </w:r>
      <w:r w:rsidRPr="00883DF5">
        <w:rPr>
          <w:rFonts w:ascii="Times New Roman" w:hAnsi="Times New Roman" w:cs="Times New Roman"/>
          <w:sz w:val="24"/>
          <w:szCs w:val="24"/>
        </w:rPr>
        <w:t>oncertprakse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studējošajiem koncertu veidā notiek DU, citās augstskolās, mūzikas skolās un vidusskolās, kultūras centros un citur, individuāli, ansamblī, korī vai orķestrī. Dalība vietēja vai starptautiska mēroga konkursos pieskaitāma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koncertpraksei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>.</w:t>
      </w:r>
    </w:p>
    <w:p w:rsidR="00883DF5" w:rsidRPr="00883DF5" w:rsidRDefault="00883DF5" w:rsidP="00883DF5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4.4.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laiks:</w:t>
      </w:r>
    </w:p>
    <w:p w:rsidR="00883DF5" w:rsidRPr="00883DF5" w:rsidRDefault="00883DF5" w:rsidP="00883DF5">
      <w:pPr>
        <w:shd w:val="clear" w:color="auto" w:fill="FFFFFF"/>
        <w:tabs>
          <w:tab w:val="left" w:pos="426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4.4.1. Analītiskā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</w:t>
      </w:r>
      <w:proofErr w:type="spellEnd"/>
      <w:r w:rsidRPr="00883DF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883DF5">
        <w:rPr>
          <w:rFonts w:ascii="Times New Roman" w:hAnsi="Times New Roman" w:cs="Times New Roman"/>
          <w:sz w:val="24"/>
          <w:szCs w:val="24"/>
        </w:rPr>
        <w:t>2. un 3. semestris.</w:t>
      </w:r>
    </w:p>
    <w:p w:rsidR="00883DF5" w:rsidRPr="00883DF5" w:rsidRDefault="00883DF5" w:rsidP="00883DF5">
      <w:pPr>
        <w:shd w:val="clear" w:color="auto" w:fill="FFFFFF"/>
        <w:tabs>
          <w:tab w:val="left" w:pos="426"/>
        </w:tabs>
        <w:spacing w:after="0" w:line="240" w:lineRule="auto"/>
        <w:ind w:left="357"/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4.4.2. Ansamblis/kameransamblis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883DF5">
        <w:rPr>
          <w:rFonts w:ascii="Times New Roman" w:hAnsi="Times New Roman" w:cs="Times New Roman"/>
          <w:sz w:val="24"/>
          <w:szCs w:val="24"/>
        </w:rPr>
        <w:t>5., 6., 7. un 8. semestris.</w:t>
      </w:r>
    </w:p>
    <w:p w:rsidR="00883DF5" w:rsidRPr="00883DF5" w:rsidRDefault="00883DF5" w:rsidP="00883DF5">
      <w:pPr>
        <w:shd w:val="clear" w:color="auto" w:fill="FFFFFF"/>
        <w:tabs>
          <w:tab w:val="left" w:pos="426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4.4.3. </w:t>
      </w:r>
      <w:r w:rsidRPr="00883DF5">
        <w:rPr>
          <w:rFonts w:ascii="Times New Roman" w:hAnsi="Times New Roman" w:cs="Times New Roman"/>
          <w:sz w:val="24"/>
          <w:szCs w:val="24"/>
        </w:rPr>
        <w:t>Koncerti specialitātes instrumenta spēlē</w:t>
      </w:r>
      <w:r w:rsidRPr="00883D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– </w:t>
      </w: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2., 3., 4., </w:t>
      </w:r>
      <w:r w:rsidRPr="00883DF5">
        <w:rPr>
          <w:rFonts w:ascii="Times New Roman" w:hAnsi="Times New Roman" w:cs="Times New Roman"/>
          <w:sz w:val="24"/>
          <w:szCs w:val="24"/>
        </w:rPr>
        <w:t>5., 6., 7. un 8. semestris.</w:t>
      </w:r>
    </w:p>
    <w:p w:rsidR="00883DF5" w:rsidRPr="00883DF5" w:rsidRDefault="00883DF5" w:rsidP="00883DF5">
      <w:pPr>
        <w:shd w:val="clear" w:color="auto" w:fill="FFFFFF"/>
        <w:tabs>
          <w:tab w:val="left" w:pos="426"/>
        </w:tabs>
        <w:spacing w:after="0" w:line="240" w:lineRule="auto"/>
        <w:ind w:left="357"/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4.4.4. </w:t>
      </w:r>
      <w:r w:rsidRPr="00883DF5">
        <w:rPr>
          <w:rFonts w:ascii="Times New Roman" w:hAnsi="Times New Roman" w:cs="Times New Roman"/>
          <w:sz w:val="24"/>
          <w:szCs w:val="24"/>
        </w:rPr>
        <w:t>Orķestris/koris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883DF5">
        <w:rPr>
          <w:rFonts w:ascii="Times New Roman" w:hAnsi="Times New Roman" w:cs="Times New Roman"/>
          <w:sz w:val="24"/>
          <w:szCs w:val="24"/>
        </w:rPr>
        <w:t>2., 3., 6. un 7. semestris.</w:t>
      </w:r>
    </w:p>
    <w:p w:rsidR="00883DF5" w:rsidRPr="00883DF5" w:rsidRDefault="00883DF5" w:rsidP="00883DF5">
      <w:pPr>
        <w:shd w:val="clear" w:color="auto" w:fill="FFFFFF"/>
        <w:tabs>
          <w:tab w:val="left" w:pos="426"/>
        </w:tabs>
        <w:spacing w:after="0" w:line="240" w:lineRule="auto"/>
        <w:ind w:left="22" w:hanging="22"/>
        <w:rPr>
          <w:rFonts w:ascii="Times New Roman" w:hAnsi="Times New Roman" w:cs="Times New Roman"/>
          <w:sz w:val="24"/>
          <w:szCs w:val="24"/>
        </w:rPr>
      </w:pPr>
    </w:p>
    <w:p w:rsidR="00883DF5" w:rsidRPr="00883DF5" w:rsidRDefault="00883DF5" w:rsidP="00A949F9">
      <w:pPr>
        <w:numPr>
          <w:ilvl w:val="0"/>
          <w:numId w:val="14"/>
        </w:numPr>
        <w:tabs>
          <w:tab w:val="left" w:pos="284"/>
        </w:tabs>
        <w:spacing w:before="60" w:after="120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883DF5">
        <w:rPr>
          <w:rFonts w:ascii="Times New Roman" w:hAnsi="Times New Roman" w:cs="Times New Roman"/>
          <w:bCs/>
          <w:sz w:val="24"/>
          <w:szCs w:val="24"/>
          <w:lang w:eastAsia="zh-CN"/>
        </w:rPr>
        <w:t>PRASĪBAS PRAKSES VEIKŠANAI UN VĒRTĒŠANA</w:t>
      </w:r>
    </w:p>
    <w:p w:rsidR="00883DF5" w:rsidRPr="00883DF5" w:rsidRDefault="00883DF5" w:rsidP="008E55FB">
      <w:pPr>
        <w:shd w:val="clear" w:color="auto" w:fill="FFFFFF"/>
        <w:tabs>
          <w:tab w:val="left" w:pos="2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</w:r>
      <w:r w:rsidRPr="00883DF5">
        <w:rPr>
          <w:rFonts w:ascii="Times New Roman" w:hAnsi="Times New Roman" w:cs="Times New Roman"/>
          <w:color w:val="000000"/>
          <w:sz w:val="24"/>
          <w:szCs w:val="24"/>
        </w:rPr>
        <w:t>5.1. Studentam izvirzītās prasības:</w:t>
      </w:r>
    </w:p>
    <w:p w:rsidR="00883DF5" w:rsidRPr="00883DF5" w:rsidRDefault="00883DF5" w:rsidP="00883DF5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992" w:hanging="566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piedalīties </w:t>
      </w:r>
      <w:proofErr w:type="spellStart"/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ievada un noslēguma konferencē;</w:t>
      </w:r>
    </w:p>
    <w:p w:rsidR="00883DF5" w:rsidRPr="00883DF5" w:rsidRDefault="00883DF5" w:rsidP="00883DF5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992" w:hanging="566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2"/>
          <w:sz w:val="24"/>
          <w:szCs w:val="24"/>
        </w:rPr>
        <w:t>iepazīt kultūras iestāžu (kultūras centri, koncertzāles u.c.) darbības specifiku, koncertu organizēšanas un novadīšanas pamatprincipus;</w:t>
      </w:r>
    </w:p>
    <w:p w:rsidR="00883DF5" w:rsidRPr="00883DF5" w:rsidRDefault="00883DF5" w:rsidP="00883DF5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992" w:hanging="566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kā klausītājam piedalīties DU koncertos, koncertlekcijās, meistarklasēs vai citos pasākumos (ne </w:t>
      </w: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mazāk kā četri koncerti katrā semestrī ar rakstisku izvērtējumu (recenzija));</w:t>
      </w:r>
    </w:p>
    <w:p w:rsidR="00883DF5" w:rsidRPr="00883DF5" w:rsidRDefault="00883DF5" w:rsidP="00883DF5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992" w:hanging="566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Specialitātes instrumenta spēles praksē 1 KP ieguvei atskaņot divus atbilstošas grūtības pakāpes skaņdarbus, savukārt 2 KP ieguvei četrus atbilstošas grūtības pakāpes skaņdarbus (var no notīm);</w:t>
      </w:r>
    </w:p>
    <w:p w:rsidR="00883DF5" w:rsidRPr="00883DF5" w:rsidRDefault="00883DF5" w:rsidP="00883DF5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992" w:hanging="566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 xml:space="preserve">piedalīties aktīvi muzicējot ansamblī/orķestrī/korī atbilstoši specialitātei DU MMF rīkotajos koncertos, koncertlekcijās, meistarklasēs vai citos pasākumos (ne </w:t>
      </w: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mazāk kā divi skaņdarbi katrā semestrī);</w:t>
      </w:r>
    </w:p>
    <w:p w:rsidR="00883DF5" w:rsidRPr="00883DF5" w:rsidRDefault="00883DF5" w:rsidP="00883DF5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992" w:hanging="566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color w:val="000000"/>
          <w:spacing w:val="-6"/>
          <w:sz w:val="24"/>
          <w:szCs w:val="24"/>
        </w:rPr>
        <w:t>v</w:t>
      </w: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eikt </w:t>
      </w:r>
      <w:proofErr w:type="spellStart"/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analīzi un sagatavot </w:t>
      </w:r>
      <w:proofErr w:type="spellStart"/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k</w:t>
      </w:r>
      <w:r w:rsidRPr="00883DF5">
        <w:rPr>
          <w:rFonts w:ascii="Times New Roman" w:hAnsi="Times New Roman" w:cs="Times New Roman"/>
          <w:sz w:val="24"/>
          <w:szCs w:val="24"/>
        </w:rPr>
        <w:t>oncertprakses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dokumentāciju (</w:t>
      </w:r>
      <w:proofErr w:type="spellStart"/>
      <w:r w:rsidRPr="00883DF5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dienasgrāmata</w:t>
      </w:r>
      <w:r w:rsidRPr="00883DF5">
        <w:rPr>
          <w:rFonts w:ascii="Times New Roman" w:hAnsi="Times New Roman" w:cs="Times New Roman"/>
          <w:color w:val="000000"/>
          <w:spacing w:val="1"/>
          <w:sz w:val="24"/>
          <w:szCs w:val="24"/>
        </w:rPr>
        <w:t>, programmas, anotācijas, relīzes, afišas utt.).</w:t>
      </w:r>
    </w:p>
    <w:p w:rsidR="00883DF5" w:rsidRPr="00883DF5" w:rsidRDefault="00883DF5" w:rsidP="00883DF5">
      <w:pPr>
        <w:tabs>
          <w:tab w:val="left" w:pos="1834"/>
        </w:tabs>
        <w:ind w:left="426" w:hanging="426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 xml:space="preserve">5.2.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vērtēšana notiek, pamatojoties uz iesniegtajiem </w:t>
      </w:r>
      <w:r w:rsidRPr="00883DF5">
        <w:rPr>
          <w:rFonts w:ascii="Times New Roman" w:hAnsi="Times New Roman" w:cs="Times New Roman"/>
          <w:spacing w:val="3"/>
          <w:sz w:val="24"/>
          <w:szCs w:val="24"/>
        </w:rPr>
        <w:t xml:space="preserve">materiāliem, konkursu rezultātiem, uz </w:t>
      </w:r>
      <w:r w:rsidRPr="00883DF5">
        <w:rPr>
          <w:rFonts w:ascii="Times New Roman" w:hAnsi="Times New Roman" w:cs="Times New Roman"/>
          <w:sz w:val="24"/>
          <w:szCs w:val="24"/>
        </w:rPr>
        <w:t xml:space="preserve">koncertu programmu atskaitēm, koncertu rakstiskiem izvērtējumiem – recenzijām, kā arī uz </w:t>
      </w:r>
      <w:r w:rsidRPr="00883DF5">
        <w:rPr>
          <w:rFonts w:ascii="Times New Roman" w:hAnsi="Times New Roman" w:cs="Times New Roman"/>
          <w:spacing w:val="3"/>
          <w:sz w:val="24"/>
          <w:szCs w:val="24"/>
        </w:rPr>
        <w:t xml:space="preserve">studenta pašvērtējuma un </w:t>
      </w:r>
      <w:proofErr w:type="spellStart"/>
      <w:r w:rsidRPr="00883DF5">
        <w:rPr>
          <w:rFonts w:ascii="Times New Roman" w:hAnsi="Times New Roman" w:cs="Times New Roman"/>
          <w:spacing w:val="3"/>
          <w:sz w:val="24"/>
          <w:szCs w:val="24"/>
        </w:rPr>
        <w:t>koncert</w:t>
      </w:r>
      <w:r w:rsidRPr="00883DF5">
        <w:rPr>
          <w:rFonts w:ascii="Times New Roman" w:hAnsi="Times New Roman" w:cs="Times New Roman"/>
          <w:spacing w:val="2"/>
          <w:sz w:val="24"/>
          <w:szCs w:val="24"/>
        </w:rPr>
        <w:t>prakses</w:t>
      </w:r>
      <w:proofErr w:type="spellEnd"/>
      <w:r w:rsidRPr="00883DF5">
        <w:rPr>
          <w:rFonts w:ascii="Times New Roman" w:hAnsi="Times New Roman" w:cs="Times New Roman"/>
          <w:spacing w:val="2"/>
          <w:sz w:val="24"/>
          <w:szCs w:val="24"/>
        </w:rPr>
        <w:t xml:space="preserve"> vadītāja, koncerta vietas devēja rakstiskas atsauksmes un prakses rezultātu </w:t>
      </w:r>
      <w:r w:rsidRPr="00883DF5">
        <w:rPr>
          <w:rFonts w:ascii="Times New Roman" w:hAnsi="Times New Roman" w:cs="Times New Roman"/>
          <w:spacing w:val="-1"/>
          <w:sz w:val="24"/>
          <w:szCs w:val="24"/>
        </w:rPr>
        <w:t xml:space="preserve">apspriešanas programmas padomē un noslēguma konferencē. </w:t>
      </w:r>
    </w:p>
    <w:p w:rsidR="00883DF5" w:rsidRPr="00883DF5" w:rsidRDefault="00883DF5" w:rsidP="00883DF5">
      <w:pPr>
        <w:tabs>
          <w:tab w:val="left" w:pos="1834"/>
        </w:tabs>
        <w:rPr>
          <w:rFonts w:ascii="Times New Roman" w:hAnsi="Times New Roman" w:cs="Times New Roman"/>
          <w:sz w:val="24"/>
          <w:szCs w:val="24"/>
          <w:lang w:val="fr-BE" w:eastAsia="zh-CN"/>
        </w:rPr>
      </w:pPr>
      <w:r w:rsidRPr="00883DF5">
        <w:rPr>
          <w:rFonts w:ascii="Times New Roman" w:hAnsi="Times New Roman" w:cs="Times New Roman"/>
          <w:spacing w:val="-1"/>
          <w:sz w:val="24"/>
          <w:szCs w:val="24"/>
        </w:rPr>
        <w:t xml:space="preserve">5.3.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 xml:space="preserve"> </w:t>
      </w:r>
      <w:proofErr w:type="spellStart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>rezultāti</w:t>
      </w:r>
      <w:proofErr w:type="spellEnd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 xml:space="preserve"> </w:t>
      </w:r>
      <w:proofErr w:type="spellStart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>tiek</w:t>
      </w:r>
      <w:proofErr w:type="spellEnd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 xml:space="preserve"> </w:t>
      </w:r>
      <w:proofErr w:type="spellStart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>vērtēti</w:t>
      </w:r>
      <w:proofErr w:type="spellEnd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 xml:space="preserve"> 10 </w:t>
      </w:r>
      <w:proofErr w:type="spellStart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>ballu</w:t>
      </w:r>
      <w:proofErr w:type="spellEnd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 xml:space="preserve"> </w:t>
      </w:r>
      <w:proofErr w:type="spellStart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>skalā</w:t>
      </w:r>
      <w:proofErr w:type="spellEnd"/>
      <w:r w:rsidRPr="00883DF5">
        <w:rPr>
          <w:rFonts w:ascii="Times New Roman" w:hAnsi="Times New Roman" w:cs="Times New Roman"/>
          <w:sz w:val="24"/>
          <w:szCs w:val="24"/>
          <w:lang w:val="fr-BE" w:eastAsia="zh-CN"/>
        </w:rPr>
        <w:t>.</w:t>
      </w:r>
    </w:p>
    <w:p w:rsidR="00883DF5" w:rsidRPr="00883DF5" w:rsidRDefault="00883DF5" w:rsidP="00883DF5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hAnsi="Times New Roman" w:cs="Times New Roman"/>
          <w:spacing w:val="1"/>
          <w:sz w:val="24"/>
          <w:szCs w:val="24"/>
        </w:rPr>
      </w:pPr>
      <w:r w:rsidRPr="00883DF5">
        <w:rPr>
          <w:rFonts w:ascii="Times New Roman" w:hAnsi="Times New Roman" w:cs="Times New Roman"/>
          <w:spacing w:val="-1"/>
          <w:sz w:val="24"/>
          <w:szCs w:val="24"/>
        </w:rPr>
        <w:t xml:space="preserve">5.4. Pēc </w:t>
      </w:r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visu prasību izpildes students saņem diferencētu ieskaiti: </w:t>
      </w:r>
    </w:p>
    <w:p w:rsidR="00883DF5" w:rsidRPr="00883DF5" w:rsidRDefault="00883DF5" w:rsidP="00883DF5">
      <w:pPr>
        <w:numPr>
          <w:ilvl w:val="2"/>
          <w:numId w:val="10"/>
        </w:numPr>
        <w:shd w:val="clear" w:color="auto" w:fill="FFFFFF"/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pacing w:val="-9"/>
          <w:sz w:val="24"/>
          <w:szCs w:val="24"/>
        </w:rPr>
        <w:t>p</w:t>
      </w:r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ar 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Analītisko </w:t>
      </w:r>
      <w:proofErr w:type="spellStart"/>
      <w:r w:rsidRPr="00883DF5">
        <w:rPr>
          <w:rFonts w:ascii="Times New Roman" w:hAnsi="Times New Roman" w:cs="Times New Roman"/>
          <w:i/>
          <w:sz w:val="24"/>
          <w:szCs w:val="24"/>
        </w:rPr>
        <w:t>koncertpraksi</w:t>
      </w:r>
      <w:proofErr w:type="spellEnd"/>
      <w:r w:rsidRPr="00883DF5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883DF5">
        <w:rPr>
          <w:rFonts w:ascii="Times New Roman" w:hAnsi="Times New Roman" w:cs="Times New Roman"/>
          <w:sz w:val="24"/>
          <w:szCs w:val="24"/>
        </w:rPr>
        <w:t xml:space="preserve"> 2. un 3. semestrī;</w:t>
      </w:r>
    </w:p>
    <w:p w:rsidR="00883DF5" w:rsidRPr="00883DF5" w:rsidRDefault="00883DF5" w:rsidP="00883DF5">
      <w:pPr>
        <w:numPr>
          <w:ilvl w:val="2"/>
          <w:numId w:val="10"/>
        </w:numPr>
        <w:shd w:val="clear" w:color="auto" w:fill="FFFFFF"/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par </w:t>
      </w:r>
      <w:r w:rsidRPr="00883DF5">
        <w:rPr>
          <w:rFonts w:ascii="Times New Roman" w:hAnsi="Times New Roman" w:cs="Times New Roman"/>
          <w:i/>
          <w:sz w:val="24"/>
          <w:szCs w:val="24"/>
        </w:rPr>
        <w:t>Koncertiem specialitātes instrumenta spēlē</w:t>
      </w:r>
      <w:r w:rsidRPr="00883DF5">
        <w:rPr>
          <w:rFonts w:ascii="Times New Roman" w:hAnsi="Times New Roman" w:cs="Times New Roman"/>
          <w:i/>
          <w:spacing w:val="1"/>
          <w:sz w:val="24"/>
          <w:szCs w:val="24"/>
        </w:rPr>
        <w:t xml:space="preserve"> – </w:t>
      </w:r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2., 3., 4., </w:t>
      </w:r>
      <w:r w:rsidRPr="00883DF5">
        <w:rPr>
          <w:rFonts w:ascii="Times New Roman" w:hAnsi="Times New Roman" w:cs="Times New Roman"/>
          <w:sz w:val="24"/>
          <w:szCs w:val="24"/>
        </w:rPr>
        <w:t xml:space="preserve">5., 6., 7. un 8. semestrī (vērtē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vadītājs, ņemot vērā kultūras iestādes vadītāja ieteikumus un studenta sagatavoto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dokumentāciju);</w:t>
      </w:r>
    </w:p>
    <w:p w:rsidR="00883DF5" w:rsidRPr="00883DF5" w:rsidRDefault="00883DF5" w:rsidP="00883DF5">
      <w:pPr>
        <w:numPr>
          <w:ilvl w:val="2"/>
          <w:numId w:val="10"/>
        </w:numPr>
        <w:shd w:val="clear" w:color="auto" w:fill="FFFFFF"/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par </w:t>
      </w:r>
      <w:r w:rsidRPr="00883DF5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Ansamblis/kameransamblis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3DF5">
        <w:rPr>
          <w:rFonts w:ascii="Times New Roman" w:hAnsi="Times New Roman" w:cs="Times New Roman"/>
          <w:i/>
          <w:spacing w:val="1"/>
          <w:sz w:val="24"/>
          <w:szCs w:val="24"/>
        </w:rPr>
        <w:t>koncertpraksi</w:t>
      </w:r>
      <w:proofErr w:type="spellEnd"/>
      <w:r w:rsidRPr="00883DF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883DF5">
        <w:rPr>
          <w:rFonts w:ascii="Times New Roman" w:hAnsi="Times New Roman" w:cs="Times New Roman"/>
          <w:sz w:val="24"/>
          <w:szCs w:val="24"/>
        </w:rPr>
        <w:t>5., 6., 7. un 8. semestrī;</w:t>
      </w:r>
    </w:p>
    <w:p w:rsidR="00883DF5" w:rsidRPr="00883DF5" w:rsidRDefault="00883DF5" w:rsidP="00883DF5">
      <w:pPr>
        <w:numPr>
          <w:ilvl w:val="2"/>
          <w:numId w:val="10"/>
        </w:numPr>
        <w:shd w:val="clear" w:color="auto" w:fill="FFFFFF"/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 xml:space="preserve">par 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Orķestris/koris </w:t>
      </w:r>
      <w:proofErr w:type="spellStart"/>
      <w:r w:rsidRPr="00883DF5">
        <w:rPr>
          <w:rFonts w:ascii="Times New Roman" w:hAnsi="Times New Roman" w:cs="Times New Roman"/>
          <w:i/>
          <w:spacing w:val="1"/>
          <w:sz w:val="24"/>
          <w:szCs w:val="24"/>
        </w:rPr>
        <w:t>koncertpraksi</w:t>
      </w:r>
      <w:proofErr w:type="spellEnd"/>
      <w:r w:rsidRPr="00883DF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883DF5">
        <w:rPr>
          <w:rFonts w:ascii="Times New Roman" w:hAnsi="Times New Roman" w:cs="Times New Roman"/>
          <w:sz w:val="24"/>
          <w:szCs w:val="24"/>
        </w:rPr>
        <w:t>2., 3., 6. un 7. semestrī.</w:t>
      </w:r>
    </w:p>
    <w:p w:rsidR="00883DF5" w:rsidRPr="00883DF5" w:rsidRDefault="00883DF5" w:rsidP="00883DF5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83DF5" w:rsidRPr="00883DF5" w:rsidRDefault="00883DF5" w:rsidP="00883DF5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83DF5" w:rsidRPr="008E55FB" w:rsidRDefault="00883DF5" w:rsidP="008E55FB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E55FB">
        <w:rPr>
          <w:rFonts w:ascii="Times New Roman" w:hAnsi="Times New Roman" w:cs="Times New Roman"/>
          <w:spacing w:val="1"/>
          <w:sz w:val="24"/>
          <w:szCs w:val="24"/>
        </w:rPr>
        <w:t>PRAKSES ORGANIZĒŠANA</w:t>
      </w:r>
    </w:p>
    <w:p w:rsidR="00883DF5" w:rsidRPr="00883DF5" w:rsidRDefault="00883DF5" w:rsidP="00883DF5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pacing w:val="1"/>
          <w:sz w:val="24"/>
          <w:szCs w:val="24"/>
        </w:rPr>
      </w:pPr>
    </w:p>
    <w:p w:rsidR="00883DF5" w:rsidRPr="008E55FB" w:rsidRDefault="00883DF5" w:rsidP="008E55FB">
      <w:pPr>
        <w:pStyle w:val="ListParagraph"/>
        <w:widowControl w:val="0"/>
        <w:numPr>
          <w:ilvl w:val="1"/>
          <w:numId w:val="13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8E55FB">
        <w:rPr>
          <w:rFonts w:ascii="Times New Roman" w:hAnsi="Times New Roman" w:cs="Times New Roman"/>
          <w:spacing w:val="3"/>
          <w:sz w:val="24"/>
          <w:szCs w:val="24"/>
        </w:rPr>
        <w:t xml:space="preserve">Katra semestra sākumā </w:t>
      </w:r>
      <w:proofErr w:type="spellStart"/>
      <w:r w:rsidRPr="008E55FB">
        <w:rPr>
          <w:rFonts w:ascii="Times New Roman" w:hAnsi="Times New Roman" w:cs="Times New Roman"/>
          <w:spacing w:val="3"/>
          <w:sz w:val="24"/>
          <w:szCs w:val="24"/>
        </w:rPr>
        <w:t>koncertprakses</w:t>
      </w:r>
      <w:proofErr w:type="spellEnd"/>
      <w:r w:rsidRPr="008E55FB">
        <w:rPr>
          <w:rFonts w:ascii="Times New Roman" w:hAnsi="Times New Roman" w:cs="Times New Roman"/>
          <w:spacing w:val="3"/>
          <w:sz w:val="24"/>
          <w:szCs w:val="24"/>
        </w:rPr>
        <w:t xml:space="preserve"> vadītājs organizē konferenci, kurā studentus iepazīstina ar </w:t>
      </w:r>
      <w:proofErr w:type="spellStart"/>
      <w:r w:rsidRPr="008E55FB">
        <w:rPr>
          <w:rFonts w:ascii="Times New Roman" w:hAnsi="Times New Roman" w:cs="Times New Roman"/>
          <w:spacing w:val="3"/>
          <w:sz w:val="24"/>
          <w:szCs w:val="24"/>
        </w:rPr>
        <w:t>koncertprakses</w:t>
      </w:r>
      <w:proofErr w:type="spellEnd"/>
      <w:r w:rsidRPr="008E55FB">
        <w:rPr>
          <w:rFonts w:ascii="Times New Roman" w:hAnsi="Times New Roman" w:cs="Times New Roman"/>
          <w:spacing w:val="3"/>
          <w:sz w:val="24"/>
          <w:szCs w:val="24"/>
        </w:rPr>
        <w:t xml:space="preserve"> mērķi, uzdevumiem, prakses norisi, vietu, laiku, prasībām un</w:t>
      </w:r>
      <w:r w:rsidRPr="008E55FB">
        <w:rPr>
          <w:rFonts w:ascii="Times New Roman" w:hAnsi="Times New Roman" w:cs="Times New Roman"/>
          <w:spacing w:val="1"/>
          <w:sz w:val="24"/>
          <w:szCs w:val="24"/>
        </w:rPr>
        <w:t xml:space="preserve"> vērtējumu.</w:t>
      </w:r>
    </w:p>
    <w:p w:rsidR="00883DF5" w:rsidRPr="00883DF5" w:rsidRDefault="00883DF5" w:rsidP="008E55FB">
      <w:pPr>
        <w:widowControl w:val="0"/>
        <w:numPr>
          <w:ilvl w:val="1"/>
          <w:numId w:val="13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357" w:right="18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proofErr w:type="spellStart"/>
      <w:r w:rsidRPr="00883DF5">
        <w:rPr>
          <w:rFonts w:ascii="Times New Roman" w:hAnsi="Times New Roman" w:cs="Times New Roman"/>
          <w:spacing w:val="1"/>
          <w:sz w:val="24"/>
          <w:szCs w:val="24"/>
        </w:rPr>
        <w:t>K</w:t>
      </w:r>
      <w:r w:rsidRPr="00883DF5">
        <w:rPr>
          <w:rFonts w:ascii="Times New Roman" w:hAnsi="Times New Roman" w:cs="Times New Roman"/>
          <w:spacing w:val="2"/>
          <w:sz w:val="24"/>
          <w:szCs w:val="24"/>
        </w:rPr>
        <w:t>oncertprakses</w:t>
      </w:r>
      <w:proofErr w:type="spellEnd"/>
      <w:r w:rsidRPr="00883DF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sz w:val="24"/>
          <w:szCs w:val="24"/>
        </w:rPr>
        <w:t xml:space="preserve">programmu katram studentam saskaņo </w:t>
      </w: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</w:t>
      </w:r>
      <w:r w:rsidRPr="00883DF5">
        <w:rPr>
          <w:rFonts w:ascii="Times New Roman" w:hAnsi="Times New Roman" w:cs="Times New Roman"/>
          <w:spacing w:val="2"/>
          <w:sz w:val="24"/>
          <w:szCs w:val="24"/>
        </w:rPr>
        <w:t>oncert</w:t>
      </w:r>
      <w:r w:rsidRPr="00883DF5">
        <w:rPr>
          <w:rFonts w:ascii="Times New Roman" w:hAnsi="Times New Roman" w:cs="Times New Roman"/>
          <w:sz w:val="24"/>
          <w:szCs w:val="24"/>
        </w:rPr>
        <w:t>prakses</w:t>
      </w:r>
      <w:proofErr w:type="spellEnd"/>
      <w:r w:rsidRPr="00883DF5">
        <w:rPr>
          <w:rFonts w:ascii="Times New Roman" w:hAnsi="Times New Roman" w:cs="Times New Roman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spacing w:val="6"/>
          <w:sz w:val="24"/>
          <w:szCs w:val="24"/>
        </w:rPr>
        <w:t>vadītājs,</w:t>
      </w:r>
      <w:r w:rsidRPr="00883DF5">
        <w:rPr>
          <w:rFonts w:ascii="Times New Roman" w:hAnsi="Times New Roman" w:cs="Times New Roman"/>
          <w:sz w:val="24"/>
          <w:szCs w:val="24"/>
        </w:rPr>
        <w:t xml:space="preserve"> apstiprina profesionālās studiju programmas MŪZIKA direktors un Mūzikas katedras vadītājs.</w:t>
      </w:r>
    </w:p>
    <w:p w:rsidR="00883DF5" w:rsidRPr="00883DF5" w:rsidRDefault="00883DF5" w:rsidP="008E55FB">
      <w:pPr>
        <w:widowControl w:val="0"/>
        <w:numPr>
          <w:ilvl w:val="1"/>
          <w:numId w:val="13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357" w:right="180"/>
        <w:jc w:val="both"/>
        <w:rPr>
          <w:rFonts w:ascii="Times New Roman" w:hAnsi="Times New Roman" w:cs="Times New Roman"/>
          <w:sz w:val="24"/>
          <w:szCs w:val="24"/>
        </w:rPr>
      </w:pPr>
      <w:r w:rsidRPr="00883DF5">
        <w:rPr>
          <w:rFonts w:ascii="Times New Roman" w:hAnsi="Times New Roman" w:cs="Times New Roman"/>
          <w:sz w:val="24"/>
          <w:szCs w:val="24"/>
        </w:rPr>
        <w:t>K</w:t>
      </w:r>
      <w:r w:rsidRPr="00883DF5">
        <w:rPr>
          <w:rFonts w:ascii="Times New Roman" w:hAnsi="Times New Roman" w:cs="Times New Roman"/>
          <w:spacing w:val="2"/>
          <w:sz w:val="24"/>
          <w:szCs w:val="24"/>
        </w:rPr>
        <w:t xml:space="preserve">atra semestra beigās </w:t>
      </w:r>
      <w:r w:rsidRPr="00883DF5">
        <w:rPr>
          <w:rFonts w:ascii="Times New Roman" w:hAnsi="Times New Roman" w:cs="Times New Roman"/>
          <w:spacing w:val="8"/>
          <w:sz w:val="24"/>
          <w:szCs w:val="24"/>
        </w:rPr>
        <w:t xml:space="preserve">students iesniedz sakārtotu </w:t>
      </w:r>
      <w:proofErr w:type="spellStart"/>
      <w:r w:rsidRPr="00883DF5">
        <w:rPr>
          <w:rFonts w:ascii="Times New Roman" w:hAnsi="Times New Roman" w:cs="Times New Roman"/>
          <w:i/>
          <w:spacing w:val="2"/>
          <w:sz w:val="24"/>
          <w:szCs w:val="24"/>
        </w:rPr>
        <w:t>Koncertprakses</w:t>
      </w:r>
      <w:proofErr w:type="spellEnd"/>
      <w:r w:rsidRPr="00883DF5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883DF5">
        <w:rPr>
          <w:rFonts w:ascii="Times New Roman" w:hAnsi="Times New Roman" w:cs="Times New Roman"/>
          <w:i/>
          <w:spacing w:val="6"/>
          <w:sz w:val="24"/>
          <w:szCs w:val="24"/>
        </w:rPr>
        <w:t>dienasgrāmatu</w:t>
      </w:r>
      <w:r w:rsidRPr="00883DF5">
        <w:rPr>
          <w:rFonts w:ascii="Times New Roman" w:hAnsi="Times New Roman" w:cs="Times New Roman"/>
          <w:spacing w:val="6"/>
          <w:sz w:val="24"/>
          <w:szCs w:val="24"/>
        </w:rPr>
        <w:t>.</w:t>
      </w:r>
    </w:p>
    <w:p w:rsidR="00883DF5" w:rsidRPr="00883DF5" w:rsidRDefault="00883DF5" w:rsidP="008E55FB">
      <w:pPr>
        <w:widowControl w:val="0"/>
        <w:numPr>
          <w:ilvl w:val="1"/>
          <w:numId w:val="13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357" w:righ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DF5">
        <w:rPr>
          <w:rFonts w:ascii="Times New Roman" w:hAnsi="Times New Roman" w:cs="Times New Roman"/>
          <w:sz w:val="24"/>
          <w:szCs w:val="24"/>
        </w:rPr>
        <w:t>K</w:t>
      </w:r>
      <w:r w:rsidRPr="00883DF5">
        <w:rPr>
          <w:rFonts w:ascii="Times New Roman" w:hAnsi="Times New Roman" w:cs="Times New Roman"/>
          <w:spacing w:val="2"/>
          <w:sz w:val="24"/>
          <w:szCs w:val="24"/>
        </w:rPr>
        <w:t>oncert</w:t>
      </w:r>
      <w:r w:rsidRPr="00883DF5">
        <w:rPr>
          <w:rFonts w:ascii="Times New Roman" w:hAnsi="Times New Roman" w:cs="Times New Roman"/>
          <w:sz w:val="24"/>
          <w:szCs w:val="24"/>
        </w:rPr>
        <w:t>prakses</w:t>
      </w:r>
      <w:proofErr w:type="spellEnd"/>
      <w:r w:rsidRPr="00883DF5">
        <w:rPr>
          <w:rFonts w:ascii="Times New Roman" w:hAnsi="Times New Roman" w:cs="Times New Roman"/>
          <w:spacing w:val="2"/>
          <w:sz w:val="24"/>
          <w:szCs w:val="24"/>
        </w:rPr>
        <w:t xml:space="preserve"> noslēguma konferencē students prezentē prakses </w:t>
      </w:r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rezultātus, savukārt </w:t>
      </w:r>
      <w:proofErr w:type="spellStart"/>
      <w:r w:rsidRPr="00883DF5">
        <w:rPr>
          <w:rFonts w:ascii="Times New Roman" w:hAnsi="Times New Roman" w:cs="Times New Roman"/>
          <w:spacing w:val="1"/>
          <w:sz w:val="24"/>
          <w:szCs w:val="24"/>
        </w:rPr>
        <w:t>k</w:t>
      </w:r>
      <w:r w:rsidRPr="00883DF5">
        <w:rPr>
          <w:rFonts w:ascii="Times New Roman" w:hAnsi="Times New Roman" w:cs="Times New Roman"/>
          <w:spacing w:val="2"/>
          <w:sz w:val="24"/>
          <w:szCs w:val="24"/>
        </w:rPr>
        <w:t>oncert</w:t>
      </w:r>
      <w:r w:rsidRPr="00883DF5">
        <w:rPr>
          <w:rFonts w:ascii="Times New Roman" w:hAnsi="Times New Roman" w:cs="Times New Roman"/>
          <w:sz w:val="24"/>
          <w:szCs w:val="24"/>
        </w:rPr>
        <w:t>prakses</w:t>
      </w:r>
      <w:proofErr w:type="spellEnd"/>
      <w:r w:rsidRPr="00883DF5">
        <w:rPr>
          <w:rFonts w:ascii="Times New Roman" w:hAnsi="Times New Roman" w:cs="Times New Roman"/>
          <w:spacing w:val="1"/>
          <w:sz w:val="24"/>
          <w:szCs w:val="24"/>
        </w:rPr>
        <w:t xml:space="preserve"> vadītājs tos analizē un izvērtē māksliniecisko kvalitāti.</w:t>
      </w:r>
    </w:p>
    <w:p w:rsidR="00883DF5" w:rsidRPr="00883DF5" w:rsidRDefault="00883DF5" w:rsidP="00883DF5">
      <w:pPr>
        <w:tabs>
          <w:tab w:val="left" w:pos="426"/>
          <w:tab w:val="left" w:pos="851"/>
        </w:tabs>
        <w:spacing w:after="0" w:line="240" w:lineRule="auto"/>
        <w:ind w:left="357" w:hanging="360"/>
        <w:rPr>
          <w:rFonts w:ascii="Times New Roman" w:hAnsi="Times New Roman" w:cs="Times New Roman"/>
          <w:sz w:val="24"/>
          <w:szCs w:val="24"/>
        </w:rPr>
      </w:pPr>
    </w:p>
    <w:p w:rsidR="00883DF5" w:rsidRPr="00883DF5" w:rsidRDefault="00883DF5" w:rsidP="00883DF5">
      <w:pPr>
        <w:tabs>
          <w:tab w:val="left" w:pos="426"/>
          <w:tab w:val="left" w:pos="851"/>
        </w:tabs>
        <w:spacing w:after="0" w:line="240" w:lineRule="auto"/>
        <w:ind w:left="357" w:hanging="360"/>
        <w:rPr>
          <w:rFonts w:ascii="Times New Roman" w:hAnsi="Times New Roman" w:cs="Times New Roman"/>
          <w:sz w:val="24"/>
          <w:szCs w:val="24"/>
        </w:rPr>
      </w:pPr>
    </w:p>
    <w:p w:rsidR="00883DF5" w:rsidRPr="00883DF5" w:rsidRDefault="00883DF5" w:rsidP="008E55FB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883DF5">
        <w:rPr>
          <w:rFonts w:ascii="Times New Roman" w:hAnsi="Times New Roman" w:cs="Times New Roman"/>
          <w:bCs/>
          <w:sz w:val="24"/>
          <w:szCs w:val="24"/>
          <w:lang w:eastAsia="zh-CN"/>
        </w:rPr>
        <w:t>PRAKSES FINANSĒŠANA</w:t>
      </w:r>
    </w:p>
    <w:p w:rsidR="00883DF5" w:rsidRPr="00883DF5" w:rsidRDefault="00883DF5" w:rsidP="00883DF5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:rsidR="00883DF5" w:rsidRPr="00883DF5" w:rsidRDefault="008E55FB" w:rsidP="008E55FB">
      <w:pPr>
        <w:tabs>
          <w:tab w:val="left" w:pos="18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7.1. </w:t>
      </w:r>
      <w:r w:rsidR="00883DF5" w:rsidRPr="00883DF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883DF5" w:rsidRPr="00883DF5">
        <w:rPr>
          <w:rFonts w:ascii="Times New Roman" w:hAnsi="Times New Roman" w:cs="Times New Roman"/>
          <w:color w:val="000000"/>
          <w:spacing w:val="-1"/>
          <w:sz w:val="24"/>
          <w:szCs w:val="24"/>
        </w:rPr>
        <w:t>Koncertprakses</w:t>
      </w:r>
      <w:proofErr w:type="spellEnd"/>
      <w:r w:rsidR="00883DF5" w:rsidRPr="00883DF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83DF5" w:rsidRPr="00883DF5">
        <w:rPr>
          <w:rFonts w:ascii="Times New Roman" w:hAnsi="Times New Roman" w:cs="Times New Roman"/>
          <w:sz w:val="24"/>
          <w:szCs w:val="24"/>
          <w:lang w:eastAsia="zh-CN"/>
        </w:rPr>
        <w:t>vadīšana DU docētājam tiek iekļauta darba slodzē. Stundu sadale DU prakses vadītājam tiek veikta atbilstoši stundu plānojumam:</w:t>
      </w:r>
    </w:p>
    <w:p w:rsidR="00883DF5" w:rsidRPr="00883DF5" w:rsidRDefault="008E55FB" w:rsidP="00883DF5">
      <w:pPr>
        <w:tabs>
          <w:tab w:val="left" w:pos="18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7</w:t>
      </w:r>
      <w:r w:rsidR="00883DF5" w:rsidRPr="00883DF5">
        <w:rPr>
          <w:rFonts w:ascii="Times New Roman" w:hAnsi="Times New Roman" w:cs="Times New Roman"/>
          <w:sz w:val="24"/>
          <w:szCs w:val="24"/>
          <w:lang w:eastAsia="zh-CN"/>
        </w:rPr>
        <w:t xml:space="preserve">.1.1. </w:t>
      </w:r>
      <w:proofErr w:type="spellStart"/>
      <w:r w:rsidR="00883DF5" w:rsidRPr="00883DF5">
        <w:rPr>
          <w:rFonts w:ascii="Times New Roman" w:hAnsi="Times New Roman" w:cs="Times New Roman"/>
          <w:color w:val="000000"/>
          <w:spacing w:val="3"/>
          <w:sz w:val="24"/>
          <w:szCs w:val="24"/>
        </w:rPr>
        <w:t>Koncertprakses</w:t>
      </w:r>
      <w:proofErr w:type="spellEnd"/>
      <w:r w:rsidR="00883DF5" w:rsidRPr="00883DF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883DF5" w:rsidRPr="00883DF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ievada konference – </w:t>
      </w:r>
      <w:r w:rsidR="00883DF5" w:rsidRPr="00883DF5">
        <w:rPr>
          <w:rFonts w:ascii="Times New Roman" w:hAnsi="Times New Roman" w:cs="Times New Roman"/>
          <w:sz w:val="24"/>
          <w:szCs w:val="24"/>
        </w:rPr>
        <w:t>2 stundas uz akadēmisko grupu.</w:t>
      </w:r>
    </w:p>
    <w:p w:rsidR="00883DF5" w:rsidRPr="00883DF5" w:rsidRDefault="008E55FB" w:rsidP="00883DF5">
      <w:pPr>
        <w:tabs>
          <w:tab w:val="left" w:pos="18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83DF5" w:rsidRPr="00883DF5">
        <w:rPr>
          <w:rFonts w:ascii="Times New Roman" w:hAnsi="Times New Roman" w:cs="Times New Roman"/>
          <w:sz w:val="24"/>
          <w:szCs w:val="24"/>
        </w:rPr>
        <w:t>.1.2.</w:t>
      </w:r>
      <w:r w:rsidR="00883DF5" w:rsidRPr="00883DF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883DF5" w:rsidRPr="00883DF5">
        <w:rPr>
          <w:rFonts w:ascii="Times New Roman" w:hAnsi="Times New Roman" w:cs="Times New Roman"/>
          <w:sz w:val="24"/>
          <w:szCs w:val="24"/>
        </w:rPr>
        <w:t xml:space="preserve">Analītiskās </w:t>
      </w:r>
      <w:proofErr w:type="spellStart"/>
      <w:r w:rsidR="00883DF5" w:rsidRPr="00883DF5">
        <w:rPr>
          <w:rFonts w:ascii="Times New Roman" w:hAnsi="Times New Roman" w:cs="Times New Roman"/>
          <w:sz w:val="24"/>
          <w:szCs w:val="24"/>
        </w:rPr>
        <w:t>koncertprakses</w:t>
      </w:r>
      <w:proofErr w:type="spellEnd"/>
      <w:r w:rsidR="00883DF5" w:rsidRPr="00883DF5">
        <w:rPr>
          <w:rFonts w:ascii="Times New Roman" w:hAnsi="Times New Roman" w:cs="Times New Roman"/>
          <w:sz w:val="24"/>
          <w:szCs w:val="24"/>
        </w:rPr>
        <w:t xml:space="preserve"> vadīšana – 2 stundas par vienu studentu semestrī.</w:t>
      </w:r>
    </w:p>
    <w:p w:rsidR="00883DF5" w:rsidRPr="00883DF5" w:rsidRDefault="008E55FB" w:rsidP="00883DF5">
      <w:pPr>
        <w:tabs>
          <w:tab w:val="left" w:pos="18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83DF5" w:rsidRPr="00883DF5">
        <w:rPr>
          <w:rFonts w:ascii="Times New Roman" w:hAnsi="Times New Roman" w:cs="Times New Roman"/>
          <w:sz w:val="24"/>
          <w:szCs w:val="24"/>
        </w:rPr>
        <w:t>.1.3. Koncertu specialitātes instrumenta spēlē vadīšana – 1 stunda par vienu studentu semestrī, ansambļa/kameransambļa spēles prakses vadīšana – 1 stunda par vienu studentu semestrī, un orķestra/kora prakses vadīšana – 1 stunda par vienu studentu semestrī.</w:t>
      </w:r>
    </w:p>
    <w:p w:rsidR="00883DF5" w:rsidRPr="00883DF5" w:rsidRDefault="008E55FB" w:rsidP="00883DF5">
      <w:pPr>
        <w:tabs>
          <w:tab w:val="left" w:pos="183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7</w:t>
      </w:r>
      <w:r w:rsidR="00883DF5" w:rsidRPr="00883DF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.1.4. </w:t>
      </w:r>
      <w:proofErr w:type="spellStart"/>
      <w:r w:rsidR="00883DF5" w:rsidRPr="00883DF5">
        <w:rPr>
          <w:rFonts w:ascii="Times New Roman" w:hAnsi="Times New Roman" w:cs="Times New Roman"/>
          <w:color w:val="000000"/>
          <w:spacing w:val="3"/>
          <w:sz w:val="24"/>
          <w:szCs w:val="24"/>
        </w:rPr>
        <w:t>Koncertprakses</w:t>
      </w:r>
      <w:proofErr w:type="spellEnd"/>
      <w:r w:rsidR="00883DF5" w:rsidRPr="00883DF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883DF5" w:rsidRPr="00883DF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noslēguma konference – </w:t>
      </w:r>
      <w:r w:rsidR="00883DF5" w:rsidRPr="00883DF5">
        <w:rPr>
          <w:rFonts w:ascii="Times New Roman" w:hAnsi="Times New Roman" w:cs="Times New Roman"/>
          <w:sz w:val="24"/>
          <w:szCs w:val="24"/>
        </w:rPr>
        <w:t>2 stundas uz akadēmisko grupu.</w:t>
      </w:r>
    </w:p>
    <w:p w:rsidR="00DB4B7F" w:rsidRPr="00883DF5" w:rsidRDefault="00DB4B7F" w:rsidP="00DB4B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DB4B7F" w:rsidRPr="00883DF5" w:rsidSect="00DB4B7F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956" w:rsidRDefault="003C7956" w:rsidP="00DB4B7F">
      <w:pPr>
        <w:spacing w:after="0" w:line="240" w:lineRule="auto"/>
      </w:pPr>
      <w:r>
        <w:separator/>
      </w:r>
    </w:p>
  </w:endnote>
  <w:endnote w:type="continuationSeparator" w:id="0">
    <w:p w:rsidR="003C7956" w:rsidRDefault="003C7956" w:rsidP="00DB4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598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4B7F" w:rsidRDefault="00DB4B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7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4B7F" w:rsidRDefault="00DB4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956" w:rsidRDefault="003C7956" w:rsidP="00DB4B7F">
      <w:pPr>
        <w:spacing w:after="0" w:line="240" w:lineRule="auto"/>
      </w:pPr>
      <w:r>
        <w:separator/>
      </w:r>
    </w:p>
  </w:footnote>
  <w:footnote w:type="continuationSeparator" w:id="0">
    <w:p w:rsidR="003C7956" w:rsidRDefault="003C7956" w:rsidP="00DB4B7F">
      <w:pPr>
        <w:spacing w:after="0" w:line="240" w:lineRule="auto"/>
      </w:pPr>
      <w:r>
        <w:continuationSeparator/>
      </w:r>
    </w:p>
  </w:footnote>
  <w:footnote w:id="1">
    <w:p w:rsidR="00883DF5" w:rsidRDefault="00883DF5" w:rsidP="00883DF5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Noteikumi par otrā līmeņa profesionālās augstākās izglītības valsts standartu</w:t>
      </w:r>
      <w:r>
        <w:rPr>
          <w:lang w:val="de-DE"/>
        </w:rPr>
        <w:t xml:space="preserve"> (2014) Ministru kabineta noteikumi Nr.512. Pieejams: https://likumi.lv/ta/id/268761-noteikumi-par-otra-limena-profesionalas-augstakas-izglitibas-valsts-standartu</w:t>
      </w:r>
    </w:p>
    <w:p w:rsidR="00883DF5" w:rsidRDefault="00883DF5" w:rsidP="00883DF5">
      <w:pPr>
        <w:pStyle w:val="FootnoteText"/>
        <w:rPr>
          <w:lang w:val="de-D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892"/>
    <w:multiLevelType w:val="multilevel"/>
    <w:tmpl w:val="4AA64F8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9D27FAA"/>
    <w:multiLevelType w:val="multilevel"/>
    <w:tmpl w:val="C206F60C"/>
    <w:lvl w:ilvl="0">
      <w:start w:val="5"/>
      <w:numFmt w:val="decimal"/>
      <w:lvlText w:val="%1."/>
      <w:lvlJc w:val="left"/>
      <w:pPr>
        <w:ind w:left="540" w:hanging="54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892" w:hanging="54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color w:val="000000"/>
      </w:rPr>
    </w:lvl>
  </w:abstractNum>
  <w:abstractNum w:abstractNumId="2" w15:restartNumberingAfterBreak="0">
    <w:nsid w:val="181641FF"/>
    <w:multiLevelType w:val="hybridMultilevel"/>
    <w:tmpl w:val="3538F2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02"/>
    <w:multiLevelType w:val="multilevel"/>
    <w:tmpl w:val="97AE8CC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1C5522EA"/>
    <w:multiLevelType w:val="hybridMultilevel"/>
    <w:tmpl w:val="60120C1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47FC"/>
    <w:multiLevelType w:val="hybridMultilevel"/>
    <w:tmpl w:val="889C388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6596"/>
    <w:multiLevelType w:val="multilevel"/>
    <w:tmpl w:val="2A3E04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34032589"/>
    <w:multiLevelType w:val="hybridMultilevel"/>
    <w:tmpl w:val="4A8E88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32521"/>
    <w:multiLevelType w:val="multilevel"/>
    <w:tmpl w:val="3B30EA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2061BD7"/>
    <w:multiLevelType w:val="multilevel"/>
    <w:tmpl w:val="ABB85AD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53B80545"/>
    <w:multiLevelType w:val="multilevel"/>
    <w:tmpl w:val="CE284F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1" w15:restartNumberingAfterBreak="0">
    <w:nsid w:val="73892ACD"/>
    <w:multiLevelType w:val="multilevel"/>
    <w:tmpl w:val="50FE82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6672AAB"/>
    <w:multiLevelType w:val="multilevel"/>
    <w:tmpl w:val="1A9401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4408A6"/>
    <w:multiLevelType w:val="multilevel"/>
    <w:tmpl w:val="F38E1DB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810" w:hanging="45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D3"/>
    <w:rsid w:val="000E5B09"/>
    <w:rsid w:val="00256587"/>
    <w:rsid w:val="002D1F8E"/>
    <w:rsid w:val="0033225E"/>
    <w:rsid w:val="003C7956"/>
    <w:rsid w:val="00653250"/>
    <w:rsid w:val="006B757A"/>
    <w:rsid w:val="006F775D"/>
    <w:rsid w:val="007C3DDE"/>
    <w:rsid w:val="00883DF5"/>
    <w:rsid w:val="008A4B91"/>
    <w:rsid w:val="008E55FB"/>
    <w:rsid w:val="009E45D3"/>
    <w:rsid w:val="00A949F9"/>
    <w:rsid w:val="00BA1D01"/>
    <w:rsid w:val="00BC2C6E"/>
    <w:rsid w:val="00DB4B7F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655BE9"/>
  <w15:docId w15:val="{BBE9DEC0-21A6-457A-86DE-746BF50A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B4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4B7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arasts1">
    <w:name w:val="Parasts1"/>
    <w:rsid w:val="00DB4B7F"/>
    <w:pPr>
      <w:suppressAutoHyphens/>
      <w:autoSpaceDN w:val="0"/>
      <w:spacing w:after="16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styleId="FootnoteReference">
    <w:name w:val="footnote reference"/>
    <w:uiPriority w:val="99"/>
    <w:semiHidden/>
    <w:unhideWhenUsed/>
    <w:rsid w:val="00DB4B7F"/>
    <w:rPr>
      <w:rFonts w:ascii="Times New Roman" w:hAnsi="Times New Roman" w:cs="Times New Roman" w:hint="default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4B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B7F"/>
  </w:style>
  <w:style w:type="paragraph" w:styleId="Footer">
    <w:name w:val="footer"/>
    <w:basedOn w:val="Normal"/>
    <w:link w:val="FooterChar"/>
    <w:uiPriority w:val="99"/>
    <w:unhideWhenUsed/>
    <w:rsid w:val="00DB4B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B7F"/>
  </w:style>
  <w:style w:type="paragraph" w:styleId="ListParagraph">
    <w:name w:val="List Paragraph"/>
    <w:basedOn w:val="Normal"/>
    <w:uiPriority w:val="34"/>
    <w:qFormat/>
    <w:rsid w:val="00256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4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5082</Words>
  <Characters>2898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2023-03-21T15:56:00Z</dcterms:created>
  <dcterms:modified xsi:type="dcterms:W3CDTF">2023-04-03T09:48:00Z</dcterms:modified>
</cp:coreProperties>
</file>