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F7" w:rsidRDefault="001F72F7" w:rsidP="001F72F7">
      <w:pPr>
        <w:rPr>
          <w:color w:val="FF0000"/>
        </w:rPr>
      </w:pPr>
    </w:p>
    <w:p w:rsidR="001F72F7" w:rsidRDefault="001F72F7" w:rsidP="001F72F7">
      <w:pPr>
        <w:rPr>
          <w:color w:val="FF000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"/>
            </w:pPr>
            <w:r w:rsidRPr="00F51AF4">
              <w:rPr>
                <w:b w:val="0"/>
                <w:bCs/>
                <w:i w:val="0"/>
                <w:iCs/>
              </w:rPr>
              <w:br w:type="page"/>
            </w:r>
            <w:r w:rsidRPr="00F51AF4">
              <w:rPr>
                <w:b w:val="0"/>
                <w:bCs/>
                <w:i w:val="0"/>
                <w:iCs/>
              </w:rPr>
              <w:br w:type="page"/>
            </w:r>
            <w:r w:rsidRPr="00F51AF4">
              <w:rPr>
                <w:b w:val="0"/>
                <w:bCs/>
                <w:i w:val="0"/>
                <w:iCs/>
              </w:rPr>
              <w:br w:type="page"/>
            </w:r>
            <w:r w:rsidRPr="00F51AF4">
              <w:rPr>
                <w:b w:val="0"/>
                <w:bCs/>
                <w:i w:val="0"/>
                <w:iCs/>
              </w:rPr>
              <w:br w:type="page"/>
            </w:r>
            <w:r w:rsidRPr="00F51AF4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F4" w:rsidRPr="00F51AF4" w:rsidRDefault="00F51AF4" w:rsidP="00F51AF4">
            <w:pPr>
              <w:rPr>
                <w:b/>
                <w:i/>
                <w:lang w:eastAsia="lv-LV"/>
              </w:rPr>
            </w:pPr>
            <w:r w:rsidRPr="00F51AF4">
              <w:rPr>
                <w:b/>
                <w:i/>
              </w:rPr>
              <w:t>Pūšaminstrumenta mūzikas literatūra</w:t>
            </w:r>
          </w:p>
        </w:tc>
      </w:tr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"/>
            </w:pPr>
            <w:r w:rsidRPr="00F51AF4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F4" w:rsidRPr="00F51AF4" w:rsidRDefault="00F51AF4" w:rsidP="00F51AF4">
            <w:pPr>
              <w:rPr>
                <w:lang w:eastAsia="lv-LV"/>
              </w:rPr>
            </w:pPr>
            <w:r w:rsidRPr="00F51AF4">
              <w:rPr>
                <w:lang w:eastAsia="lv-LV"/>
              </w:rPr>
              <w:t>MākZ1417</w:t>
            </w:r>
          </w:p>
        </w:tc>
      </w:tr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"/>
            </w:pPr>
            <w:r w:rsidRPr="00F51AF4">
              <w:t>Zinātnes nozare</w:t>
            </w:r>
          </w:p>
        </w:tc>
        <w:sdt>
          <w:sdtPr>
            <w:id w:val="-2111880261"/>
            <w:placeholder>
              <w:docPart w:val="2321137C5F2F44A490AB81952C0B95E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51AF4" w:rsidRPr="00F51AF4" w:rsidRDefault="00F51AF4" w:rsidP="000856E5">
                <w:r w:rsidRPr="00F51AF4">
                  <w:t>Mākslas zinātne</w:t>
                </w:r>
              </w:p>
            </w:tc>
          </w:sdtContent>
        </w:sdt>
      </w:tr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"/>
            </w:pPr>
            <w:r w:rsidRPr="00F51AF4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B350CC" w:rsidP="000856E5">
            <w:pPr>
              <w:rPr>
                <w:lang w:eastAsia="lv-LV"/>
              </w:rPr>
            </w:pPr>
            <w:r>
              <w:t>5.-6. līmenis</w:t>
            </w:r>
            <w:bookmarkStart w:id="0" w:name="_GoBack"/>
            <w:bookmarkEnd w:id="0"/>
          </w:p>
        </w:tc>
      </w:tr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"/>
              <w:rPr>
                <w:u w:val="single"/>
              </w:rPr>
            </w:pPr>
            <w:r w:rsidRPr="00F51AF4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F4" w:rsidRPr="00F51AF4" w:rsidRDefault="00F51AF4" w:rsidP="00F51AF4">
            <w:pPr>
              <w:rPr>
                <w:lang w:eastAsia="lv-LV"/>
              </w:rPr>
            </w:pPr>
            <w:r w:rsidRPr="00F51AF4">
              <w:t>2</w:t>
            </w:r>
          </w:p>
        </w:tc>
      </w:tr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"/>
              <w:rPr>
                <w:u w:val="single"/>
              </w:rPr>
            </w:pPr>
            <w:r w:rsidRPr="00F51AF4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r w:rsidRPr="00F51AF4">
              <w:t>3</w:t>
            </w:r>
          </w:p>
        </w:tc>
      </w:tr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"/>
            </w:pPr>
            <w:r w:rsidRPr="00F51AF4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F4" w:rsidRPr="00F51AF4" w:rsidRDefault="00F51AF4" w:rsidP="000856E5">
            <w:pPr>
              <w:rPr>
                <w:lang w:eastAsia="lv-LV"/>
              </w:rPr>
            </w:pPr>
            <w:r w:rsidRPr="00F51AF4">
              <w:rPr>
                <w:lang w:eastAsia="lv-LV"/>
              </w:rPr>
              <w:t>32</w:t>
            </w:r>
          </w:p>
        </w:tc>
      </w:tr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2"/>
            </w:pPr>
            <w:r w:rsidRPr="00F51AF4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9C55C5" w:rsidP="000856E5">
            <w:r>
              <w:t>24</w:t>
            </w:r>
          </w:p>
        </w:tc>
      </w:tr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2"/>
            </w:pPr>
            <w:r w:rsidRPr="00F51AF4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9C55C5" w:rsidP="000856E5">
            <w:r>
              <w:t>8</w:t>
            </w:r>
          </w:p>
        </w:tc>
      </w:tr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2"/>
            </w:pPr>
            <w:r w:rsidRPr="00F51AF4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r w:rsidRPr="00F51AF4">
              <w:t>–</w:t>
            </w:r>
          </w:p>
        </w:tc>
      </w:tr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2"/>
            </w:pPr>
            <w:r w:rsidRPr="00F51AF4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F51AF4">
            <w:r w:rsidRPr="00F51AF4">
              <w:t>–</w:t>
            </w:r>
          </w:p>
        </w:tc>
      </w:tr>
      <w:tr w:rsidR="00F51AF4" w:rsidRPr="00F51AF4" w:rsidTr="000856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2"/>
              <w:rPr>
                <w:lang w:eastAsia="lv-LV"/>
              </w:rPr>
            </w:pPr>
            <w:r w:rsidRPr="00F51AF4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F4" w:rsidRPr="00F51AF4" w:rsidRDefault="00F51AF4" w:rsidP="000856E5">
            <w:pPr>
              <w:rPr>
                <w:lang w:eastAsia="lv-LV"/>
              </w:rPr>
            </w:pPr>
            <w:r w:rsidRPr="00F51AF4">
              <w:rPr>
                <w:lang w:eastAsia="lv-LV"/>
              </w:rPr>
              <w:t>48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F4" w:rsidRPr="00F51AF4" w:rsidRDefault="00F51AF4" w:rsidP="000856E5">
            <w:pPr>
              <w:rPr>
                <w:lang w:eastAsia="lv-LV"/>
              </w:rPr>
            </w:pP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"/>
            </w:pPr>
            <w:r w:rsidRPr="00F51AF4">
              <w:t>Kursa autors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r w:rsidRPr="00F51AF4">
              <w:t xml:space="preserve">Dr. art., </w:t>
            </w:r>
            <w:proofErr w:type="spellStart"/>
            <w:r w:rsidRPr="00F51AF4">
              <w:t>viesprof</w:t>
            </w:r>
            <w:proofErr w:type="spellEnd"/>
            <w:r w:rsidRPr="00F51AF4">
              <w:t xml:space="preserve">. </w:t>
            </w:r>
            <w:proofErr w:type="spellStart"/>
            <w:r w:rsidRPr="00F51AF4">
              <w:t>Rytis</w:t>
            </w:r>
            <w:proofErr w:type="spellEnd"/>
            <w:r w:rsidRPr="00F51AF4">
              <w:t xml:space="preserve"> </w:t>
            </w:r>
            <w:proofErr w:type="spellStart"/>
            <w:r w:rsidRPr="00F51AF4">
              <w:t>Urniežius</w:t>
            </w:r>
            <w:proofErr w:type="spellEnd"/>
            <w:r w:rsidRPr="00F51AF4">
              <w:t>, Mūzikas katedra, DU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"/>
            </w:pPr>
            <w:r w:rsidRPr="00F51AF4">
              <w:t>Kursa docētājs(-i)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620A4A" w:rsidRDefault="00F51AF4" w:rsidP="000856E5">
            <w:proofErr w:type="spellStart"/>
            <w:r w:rsidRPr="00620A4A">
              <w:t>Mag</w:t>
            </w:r>
            <w:proofErr w:type="spellEnd"/>
            <w:r w:rsidRPr="00620A4A">
              <w:t xml:space="preserve">. art., doc. Dainis </w:t>
            </w:r>
            <w:proofErr w:type="spellStart"/>
            <w:r w:rsidRPr="00620A4A">
              <w:t>Vuškāns</w:t>
            </w:r>
            <w:proofErr w:type="spellEnd"/>
            <w:r w:rsidRPr="00620A4A">
              <w:t>, Mūzikas katedra, DU</w:t>
            </w:r>
          </w:p>
          <w:p w:rsidR="00F51AF4" w:rsidRPr="00620A4A" w:rsidRDefault="00F51AF4" w:rsidP="000856E5">
            <w:proofErr w:type="spellStart"/>
            <w:r w:rsidRPr="00620A4A">
              <w:t>Mag</w:t>
            </w:r>
            <w:proofErr w:type="spellEnd"/>
            <w:r w:rsidRPr="00620A4A">
              <w:t xml:space="preserve">. art., doc. </w:t>
            </w:r>
            <w:proofErr w:type="spellStart"/>
            <w:r w:rsidRPr="00620A4A">
              <w:t>Vasilijs</w:t>
            </w:r>
            <w:proofErr w:type="spellEnd"/>
            <w:r w:rsidRPr="00620A4A">
              <w:t xml:space="preserve"> </w:t>
            </w:r>
            <w:proofErr w:type="spellStart"/>
            <w:r w:rsidRPr="00620A4A">
              <w:t>Šušerts</w:t>
            </w:r>
            <w:proofErr w:type="spellEnd"/>
            <w:r w:rsidRPr="00620A4A">
              <w:t>, Mūzikas katedra, DU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620A4A" w:rsidRDefault="00F51AF4" w:rsidP="000856E5">
            <w:pPr>
              <w:pStyle w:val="Nosaukumi"/>
            </w:pPr>
            <w:r w:rsidRPr="00620A4A">
              <w:t>Priekšzināšanas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620A4A" w:rsidRDefault="00F51AF4" w:rsidP="000856E5">
            <w:r w:rsidRPr="00620A4A">
              <w:t>Pūšaminstrumenta spēles prasmes atbilstoši mūzikas profesionālās augstākās izglītības studiju programmas prasībām.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620A4A" w:rsidRDefault="00F51AF4" w:rsidP="000856E5">
            <w:pPr>
              <w:pStyle w:val="Nosaukumi"/>
            </w:pPr>
            <w:r w:rsidRPr="00620A4A">
              <w:t xml:space="preserve">Studiju kursa anotācija 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620A4A" w:rsidP="00F7553D">
            <w:pPr>
              <w:rPr>
                <w:color w:val="FF0000"/>
              </w:rPr>
            </w:pPr>
            <w:r w:rsidRPr="00040978">
              <w:t xml:space="preserve">Kurss </w:t>
            </w:r>
            <w:proofErr w:type="gramStart"/>
            <w:r w:rsidRPr="00040978">
              <w:t xml:space="preserve">paredzēts profesionālās augstākās izglītības maģistra studiju programmas </w:t>
            </w:r>
            <w:r w:rsidRPr="0050654F">
              <w:rPr>
                <w:i/>
              </w:rPr>
              <w:t>Mūzika</w:t>
            </w:r>
            <w:r w:rsidRPr="00040978">
              <w:t xml:space="preserve"> studentiem ar mērķi</w:t>
            </w:r>
            <w:proofErr w:type="gramEnd"/>
            <w:r w:rsidRPr="00040978">
              <w:t xml:space="preserve"> sniegt ieskatu par dažādu laikmetu</w:t>
            </w:r>
            <w:r w:rsidRPr="00F7553D">
              <w:t xml:space="preserve">, stilu un žanru </w:t>
            </w:r>
            <w:r w:rsidR="00F7553D" w:rsidRPr="00F7553D">
              <w:t>pūšaminstrumentu mūzikas literatūru.</w:t>
            </w:r>
            <w:r w:rsidR="00F7553D" w:rsidRPr="00040978">
              <w:t xml:space="preserve"> </w:t>
            </w:r>
            <w:r w:rsidRPr="00040978">
              <w:t xml:space="preserve">Kursa uzdevumi palīdz atsegt </w:t>
            </w:r>
            <w:proofErr w:type="spellStart"/>
            <w:r w:rsidRPr="00040978">
              <w:t>koncertliteratūras</w:t>
            </w:r>
            <w:proofErr w:type="spellEnd"/>
            <w:r w:rsidRPr="00040978">
              <w:t xml:space="preserve"> attīstības tendences pūšaminstrumentiem un nosaka pedagoģiskās literatūras attīstības tendences dažādās pasaules valstīs.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622A45" w:rsidRDefault="00F51AF4" w:rsidP="000856E5">
            <w:pPr>
              <w:pStyle w:val="Nosaukumi"/>
            </w:pPr>
            <w:r w:rsidRPr="00622A45">
              <w:t>Studiju kursa kalendārais plāns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FC" w:rsidRPr="00A061FC" w:rsidRDefault="00F51AF4" w:rsidP="00A061FC">
            <w:r w:rsidRPr="00622A45">
              <w:t xml:space="preserve">Kursa struktūra: </w:t>
            </w:r>
            <w:r w:rsidR="009C55C5" w:rsidRPr="00622A45">
              <w:t>lekcijas</w:t>
            </w:r>
            <w:r w:rsidRPr="00622A45">
              <w:t xml:space="preserve"> (</w:t>
            </w:r>
            <w:r w:rsidR="009C55C5" w:rsidRPr="00622A45">
              <w:t>L</w:t>
            </w:r>
            <w:r w:rsidRPr="00622A45">
              <w:t xml:space="preserve">) – </w:t>
            </w:r>
            <w:r w:rsidR="009C55C5" w:rsidRPr="00622A45">
              <w:t>24</w:t>
            </w:r>
            <w:r w:rsidRPr="00622A45">
              <w:t xml:space="preserve"> stundas</w:t>
            </w:r>
            <w:r w:rsidR="009C55C5" w:rsidRPr="00622A45">
              <w:t>, semināri</w:t>
            </w:r>
            <w:r w:rsidR="00622A45">
              <w:t xml:space="preserve"> (S)</w:t>
            </w:r>
            <w:r w:rsidR="009C55C5" w:rsidRPr="00622A45">
              <w:t xml:space="preserve"> –</w:t>
            </w:r>
            <w:r w:rsidRPr="00622A45">
              <w:t xml:space="preserve"> </w:t>
            </w:r>
            <w:r w:rsidR="009C55C5" w:rsidRPr="00622A45">
              <w:t>8</w:t>
            </w:r>
            <w:r w:rsidRPr="00622A45">
              <w:t xml:space="preserve"> stundas</w:t>
            </w:r>
            <w:r w:rsidR="009C55C5" w:rsidRPr="00622A45">
              <w:t>.</w:t>
            </w:r>
            <w:r w:rsidRPr="00622A45">
              <w:t xml:space="preserve"> </w:t>
            </w:r>
            <w:r w:rsidR="00A061FC" w:rsidRPr="00A061FC">
              <w:t>Regulārs nodarbību apmeklējums.</w:t>
            </w:r>
          </w:p>
          <w:p w:rsidR="00F51AF4" w:rsidRPr="00622A45" w:rsidRDefault="0011561E" w:rsidP="000856E5">
            <w:r>
              <w:t>Lekcijas:</w:t>
            </w:r>
          </w:p>
          <w:p w:rsidR="0011561E" w:rsidRPr="00622A45" w:rsidRDefault="0011561E" w:rsidP="0011561E">
            <w:r w:rsidRPr="00622A45">
              <w:t>17.</w:t>
            </w:r>
            <w:r>
              <w:t xml:space="preserve"> </w:t>
            </w:r>
            <w:r w:rsidRPr="00622A45">
              <w:t xml:space="preserve">gs – 18.gs. </w:t>
            </w:r>
            <w:r>
              <w:t xml:space="preserve">pirmās </w:t>
            </w:r>
            <w:r w:rsidRPr="00622A45">
              <w:t>puses raksturīgāko skaņdarbu pūšaminstrumentiem raksturojums un analīze</w:t>
            </w:r>
            <w:r>
              <w:t xml:space="preserve"> L</w:t>
            </w:r>
            <w:r w:rsidR="00307595">
              <w:t>4</w:t>
            </w:r>
            <w:r w:rsidRPr="00622A45">
              <w:t>.</w:t>
            </w:r>
          </w:p>
          <w:p w:rsidR="0011561E" w:rsidRPr="00622A45" w:rsidRDefault="0011561E" w:rsidP="0011561E">
            <w:pPr>
              <w:tabs>
                <w:tab w:val="left" w:pos="360"/>
              </w:tabs>
              <w:jc w:val="both"/>
            </w:pPr>
            <w:r w:rsidRPr="00622A45">
              <w:t xml:space="preserve">18. gs. </w:t>
            </w:r>
            <w:r>
              <w:t>otrās</w:t>
            </w:r>
            <w:r w:rsidRPr="00622A45">
              <w:t xml:space="preserve"> puses – 19.</w:t>
            </w:r>
            <w:r>
              <w:t xml:space="preserve"> </w:t>
            </w:r>
            <w:r w:rsidRPr="00622A45">
              <w:t xml:space="preserve">gs. </w:t>
            </w:r>
            <w:r>
              <w:t>pirmās</w:t>
            </w:r>
            <w:r w:rsidRPr="00622A45">
              <w:t xml:space="preserve"> puses raksturīgāko skaņdarbu pūšaminstrumentiem raksturojums un analīze</w:t>
            </w:r>
            <w:r>
              <w:t xml:space="preserve"> L</w:t>
            </w:r>
            <w:r w:rsidR="00307595">
              <w:t>6</w:t>
            </w:r>
            <w:r w:rsidRPr="00622A45">
              <w:t xml:space="preserve">. </w:t>
            </w:r>
          </w:p>
          <w:p w:rsidR="0011561E" w:rsidRPr="00622A45" w:rsidRDefault="0011561E" w:rsidP="0011561E">
            <w:pPr>
              <w:tabs>
                <w:tab w:val="left" w:pos="360"/>
              </w:tabs>
              <w:jc w:val="both"/>
            </w:pPr>
            <w:r w:rsidRPr="00622A45">
              <w:t xml:space="preserve">19.gs. </w:t>
            </w:r>
            <w:r>
              <w:t>otrās p</w:t>
            </w:r>
            <w:r w:rsidRPr="00622A45">
              <w:t xml:space="preserve">uses – 20.gs. </w:t>
            </w:r>
            <w:r>
              <w:t>pirmās</w:t>
            </w:r>
            <w:r w:rsidRPr="00622A45">
              <w:t xml:space="preserve"> puses raksturīgāko skaņdarbu pūšaminstrumentiem raksturojums un analīze</w:t>
            </w:r>
            <w:r>
              <w:t xml:space="preserve"> L</w:t>
            </w:r>
            <w:r w:rsidR="00307595">
              <w:t>4</w:t>
            </w:r>
            <w:r w:rsidRPr="00622A45">
              <w:t xml:space="preserve">. </w:t>
            </w:r>
          </w:p>
          <w:p w:rsidR="0011561E" w:rsidRPr="00622A45" w:rsidRDefault="0011561E" w:rsidP="0011561E">
            <w:r w:rsidRPr="00622A45">
              <w:t>20.gs. pirmās puses raksturīgāko skaņdarbu pūšaminstrumentiem raksturojums un analīze</w:t>
            </w:r>
            <w:r>
              <w:t xml:space="preserve"> L</w:t>
            </w:r>
            <w:r w:rsidR="00307595">
              <w:t>4</w:t>
            </w:r>
            <w:r w:rsidRPr="00622A45">
              <w:t>.</w:t>
            </w:r>
          </w:p>
          <w:p w:rsidR="009C55C5" w:rsidRDefault="0011561E" w:rsidP="009C55C5">
            <w:r w:rsidRPr="00622A45">
              <w:t>20.gs. otrās puses raksturīgāko skaņdarbu pūšaminstrumentiem raksturojums un analīze</w:t>
            </w:r>
            <w:r>
              <w:t xml:space="preserve"> L</w:t>
            </w:r>
            <w:r w:rsidR="00307595">
              <w:t>6</w:t>
            </w:r>
            <w:r w:rsidRPr="00622A45">
              <w:t>.</w:t>
            </w:r>
          </w:p>
          <w:p w:rsidR="0011561E" w:rsidRDefault="0011561E" w:rsidP="009C55C5"/>
          <w:p w:rsidR="0011561E" w:rsidRDefault="0011561E" w:rsidP="009C55C5">
            <w:r>
              <w:t>Semināri:</w:t>
            </w:r>
          </w:p>
          <w:p w:rsidR="0011561E" w:rsidRDefault="0011561E" w:rsidP="009C55C5">
            <w:r>
              <w:t>P</w:t>
            </w:r>
            <w:r w:rsidRPr="00A5641B">
              <w:t>ūšaminstrumentu</w:t>
            </w:r>
            <w:r>
              <w:t xml:space="preserve"> mūzikas literatūras spilgtākie paraugi 18. gs.S2</w:t>
            </w:r>
          </w:p>
          <w:p w:rsidR="0011561E" w:rsidRDefault="0011561E" w:rsidP="0011561E">
            <w:r>
              <w:t>P</w:t>
            </w:r>
            <w:r w:rsidRPr="00A5641B">
              <w:t>ūšaminstrumentu</w:t>
            </w:r>
            <w:r>
              <w:t xml:space="preserve"> mūzikas literatūras spilgtākie paraugi 19. gs.S2</w:t>
            </w:r>
          </w:p>
          <w:p w:rsidR="0011561E" w:rsidRDefault="0011561E" w:rsidP="0011561E">
            <w:r>
              <w:t>P</w:t>
            </w:r>
            <w:r w:rsidRPr="00A5641B">
              <w:t>ūšaminstrumentu</w:t>
            </w:r>
            <w:r>
              <w:t xml:space="preserve"> mūzikas literatūras spilgtākie paraugi 20. gs. pirmajā pusē S2</w:t>
            </w:r>
          </w:p>
          <w:p w:rsidR="0011561E" w:rsidRDefault="0011561E" w:rsidP="009C55C5">
            <w:r>
              <w:t>P</w:t>
            </w:r>
            <w:r w:rsidRPr="00A5641B">
              <w:t>ūšaminstrumentu</w:t>
            </w:r>
            <w:r>
              <w:t xml:space="preserve"> mūzikas literatūras spilgtākie paraugi 20. gs. otrajā pusē S2</w:t>
            </w:r>
          </w:p>
          <w:p w:rsidR="0011561E" w:rsidRPr="00622A45" w:rsidRDefault="0011561E" w:rsidP="009C55C5"/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A5641B" w:rsidRDefault="00F51AF4" w:rsidP="000856E5">
            <w:pPr>
              <w:pStyle w:val="Nosaukumi"/>
            </w:pPr>
            <w:r w:rsidRPr="00A5641B">
              <w:t>Studiju rezultāti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F4" w:rsidRPr="00A5641B" w:rsidRDefault="00F51AF4" w:rsidP="000856E5">
            <w:r w:rsidRPr="00A5641B">
              <w:t>ZINĀŠANAS</w:t>
            </w:r>
            <w:r w:rsidRPr="00A5641B">
              <w:rPr>
                <w:lang w:eastAsia="ru-RU"/>
              </w:rPr>
              <w:t xml:space="preserve"> </w:t>
            </w:r>
          </w:p>
          <w:p w:rsidR="00F51AF4" w:rsidRPr="00A5641B" w:rsidRDefault="00F51AF4" w:rsidP="000856E5">
            <w:r w:rsidRPr="00A5641B">
              <w:lastRenderedPageBreak/>
              <w:t xml:space="preserve">– </w:t>
            </w:r>
            <w:r w:rsidR="00662787" w:rsidRPr="00A5641B">
              <w:t>Spēj parādīt zināšanas par pūšaminstrumentu jēdziena izpratni, par pūšaminstrumentu vēsturisko evolūciju, tehniskajām iespējām un praktiskās pielietošanas īpatnībām.</w:t>
            </w:r>
          </w:p>
          <w:p w:rsidR="00A5641B" w:rsidRDefault="00A5641B" w:rsidP="000856E5"/>
          <w:p w:rsidR="00F51AF4" w:rsidRPr="00A5641B" w:rsidRDefault="00F51AF4" w:rsidP="000856E5">
            <w:r w:rsidRPr="00A5641B">
              <w:t>PRASMES</w:t>
            </w:r>
            <w:r w:rsidRPr="00A5641B">
              <w:rPr>
                <w:lang w:eastAsia="ru-RU"/>
              </w:rPr>
              <w:t xml:space="preserve"> </w:t>
            </w:r>
          </w:p>
          <w:p w:rsidR="00F51AF4" w:rsidRPr="00A5641B" w:rsidRDefault="00F51AF4" w:rsidP="000856E5">
            <w:r w:rsidRPr="00A5641B">
              <w:t xml:space="preserve">– </w:t>
            </w:r>
            <w:r w:rsidR="00A5641B" w:rsidRPr="00A5641B">
              <w:t>Spēj izskaidrot pūšaminstrumentu spēles pamatprincipus</w:t>
            </w:r>
            <w:r w:rsidR="00A5641B">
              <w:t xml:space="preserve"> </w:t>
            </w:r>
            <w:r w:rsidR="00A5641B" w:rsidRPr="00A5641B">
              <w:t>un patstāvīgi izmantot teorētiskās zināšanas pūšaminstrumentu praktiskajā pielietošanā.</w:t>
            </w:r>
          </w:p>
          <w:p w:rsidR="00A5641B" w:rsidRDefault="00A5641B" w:rsidP="000856E5"/>
          <w:p w:rsidR="00F51AF4" w:rsidRPr="00A5641B" w:rsidRDefault="00F51AF4" w:rsidP="000856E5">
            <w:r w:rsidRPr="00A5641B">
              <w:t>KOMPETENCE</w:t>
            </w:r>
            <w:r w:rsidRPr="00A5641B">
              <w:rPr>
                <w:lang w:eastAsia="ru-RU"/>
              </w:rPr>
              <w:t xml:space="preserve"> </w:t>
            </w:r>
          </w:p>
          <w:p w:rsidR="00F51AF4" w:rsidRPr="00A5641B" w:rsidRDefault="00F51AF4" w:rsidP="000856E5">
            <w:r w:rsidRPr="00A5641B">
              <w:t>– spēj integrēt dažādu mūzikas priekšmetu zināšanas;</w:t>
            </w:r>
          </w:p>
          <w:p w:rsidR="00F51AF4" w:rsidRPr="00A5641B" w:rsidRDefault="00F51AF4" w:rsidP="000856E5">
            <w:r w:rsidRPr="00A5641B">
              <w:t xml:space="preserve">– spēj izvēlēties un izmantot savā profesionālajā darbībā </w:t>
            </w:r>
            <w:r w:rsidR="00A5641B" w:rsidRPr="00A5641B">
              <w:t>jaunākās atziņas pūšaminstrumentu literatūrā</w:t>
            </w:r>
            <w:r w:rsidRPr="00A5641B">
              <w:t>;</w:t>
            </w:r>
          </w:p>
          <w:p w:rsidR="00F51AF4" w:rsidRPr="00A5641B" w:rsidRDefault="00F51AF4" w:rsidP="000856E5">
            <w:r w:rsidRPr="00A5641B">
              <w:t>– spēj analizēt dažādus pū</w:t>
            </w:r>
            <w:r w:rsidR="00A5641B">
              <w:t>šaminstrumentu stilus un žanrus.</w:t>
            </w:r>
          </w:p>
          <w:p w:rsidR="00F51AF4" w:rsidRPr="00A5641B" w:rsidRDefault="00F51AF4" w:rsidP="000856E5"/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A061FC" w:rsidRDefault="00F51AF4" w:rsidP="000856E5">
            <w:pPr>
              <w:pStyle w:val="Nosaukumi"/>
            </w:pPr>
            <w:r w:rsidRPr="00A061FC">
              <w:lastRenderedPageBreak/>
              <w:t>Studējošo patstāvīgo darbu organizācijas un uzdevumu raksturojums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A061FC" w:rsidRDefault="00F51AF4" w:rsidP="000856E5">
            <w:r w:rsidRPr="00A061FC">
              <w:t>Studējošo patstāvīgais darbs tiek organizēts individuāli.</w:t>
            </w:r>
          </w:p>
          <w:p w:rsidR="00F51AF4" w:rsidRPr="00A061FC" w:rsidRDefault="00F51AF4" w:rsidP="000856E5">
            <w:r w:rsidRPr="00A061FC">
              <w:t>Patstāvīgie uzdevumi:</w:t>
            </w:r>
          </w:p>
          <w:p w:rsidR="00F51AF4" w:rsidRPr="00A061FC" w:rsidRDefault="00F51AF4" w:rsidP="000856E5">
            <w:r w:rsidRPr="00A061FC">
              <w:t xml:space="preserve">– </w:t>
            </w:r>
            <w:r w:rsidR="00A061FC" w:rsidRPr="00A061FC">
              <w:t>pūšaminstrumentu</w:t>
            </w:r>
            <w:r w:rsidRPr="00A061FC">
              <w:t xml:space="preserve"> skaņdarbu patstāvīga analīze un apguve;</w:t>
            </w:r>
          </w:p>
          <w:p w:rsidR="00F51AF4" w:rsidRPr="00A061FC" w:rsidRDefault="00F51AF4" w:rsidP="000856E5">
            <w:r w:rsidRPr="00A061FC">
              <w:t>– obligāti izmantojamo informācijas avotu studēšana;</w:t>
            </w:r>
          </w:p>
          <w:p w:rsidR="00F51AF4" w:rsidRPr="00A061FC" w:rsidRDefault="00F51AF4" w:rsidP="00A061FC">
            <w:r w:rsidRPr="00A061FC">
              <w:t>– kolokvija jautājumu sagatavošana.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35D9D" w:rsidRDefault="00F51AF4" w:rsidP="000856E5">
            <w:pPr>
              <w:pStyle w:val="Nosaukumi"/>
            </w:pPr>
            <w:r w:rsidRPr="00F35D9D">
              <w:t>Prasības kredītpunktu iegūšanai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D9D" w:rsidRPr="000F044A" w:rsidRDefault="00F35D9D" w:rsidP="00F35D9D">
            <w:pPr>
              <w:jc w:val="both"/>
            </w:pPr>
            <w:r w:rsidRPr="000F044A">
              <w:t xml:space="preserve">Izmantojamās studiju formas: lekcijas, </w:t>
            </w:r>
            <w:proofErr w:type="spellStart"/>
            <w:r w:rsidRPr="000F044A">
              <w:t>starppārbaudījumi-semināri,</w:t>
            </w:r>
            <w:proofErr w:type="spellEnd"/>
            <w:r w:rsidRPr="000F044A">
              <w:t xml:space="preserve"> eksāmens. Kursu apgūst latviešu valodā.</w:t>
            </w:r>
          </w:p>
          <w:p w:rsidR="00F35D9D" w:rsidRPr="000F044A" w:rsidRDefault="00F35D9D" w:rsidP="00F35D9D">
            <w:pPr>
              <w:jc w:val="both"/>
            </w:pPr>
            <w:r w:rsidRPr="000F044A">
              <w:t xml:space="preserve">Pārbaudījumu prasības: </w:t>
            </w:r>
          </w:p>
          <w:p w:rsidR="00F35D9D" w:rsidRPr="000F044A" w:rsidRDefault="00F35D9D" w:rsidP="00F35D9D">
            <w:pPr>
              <w:pStyle w:val="ListParagraph"/>
              <w:numPr>
                <w:ilvl w:val="0"/>
                <w:numId w:val="8"/>
              </w:numPr>
              <w:suppressAutoHyphens/>
              <w:ind w:left="318" w:hanging="284"/>
              <w:contextualSpacing/>
              <w:jc w:val="both"/>
              <w:rPr>
                <w:i/>
              </w:rPr>
            </w:pPr>
            <w:r w:rsidRPr="000F044A">
              <w:t>Regulārs un aktīvs darbs semināros, demonstrējot pūšaminstrumentu mūzikas literatūras vēsturiskās evolūcijas izpratni;</w:t>
            </w:r>
          </w:p>
          <w:p w:rsidR="00F35D9D" w:rsidRPr="000F044A" w:rsidRDefault="00F35D9D" w:rsidP="00F35D9D">
            <w:pPr>
              <w:pStyle w:val="ListParagraph"/>
              <w:numPr>
                <w:ilvl w:val="0"/>
                <w:numId w:val="8"/>
              </w:numPr>
              <w:suppressAutoHyphens/>
              <w:ind w:left="318" w:hanging="284"/>
              <w:contextualSpacing/>
              <w:jc w:val="both"/>
            </w:pPr>
            <w:r w:rsidRPr="000F044A">
              <w:t>Kvalitatīvi izpildīti kursa programmā norādītie patstāvīgie darbi: pūšaminstrumentu skaņdarbu patstāvīga analīze un apguve.</w:t>
            </w:r>
          </w:p>
          <w:p w:rsidR="00F35D9D" w:rsidRPr="000F044A" w:rsidRDefault="00F35D9D" w:rsidP="00F35D9D">
            <w:pPr>
              <w:tabs>
                <w:tab w:val="left" w:pos="-340"/>
                <w:tab w:val="left" w:pos="169"/>
              </w:tabs>
              <w:jc w:val="both"/>
              <w:rPr>
                <w:iCs w:val="0"/>
              </w:rPr>
            </w:pPr>
            <w:r w:rsidRPr="000F044A">
              <w:rPr>
                <w:iCs w:val="0"/>
              </w:rPr>
              <w:t>Studentu darbība studiju procesā šajā kursā tiek vērtēta pēc šādiem komponentiem: p</w:t>
            </w:r>
            <w:r w:rsidRPr="000F044A">
              <w:t xml:space="preserve">ūšaminstrumentu mūzika literatūras un repertuāra </w:t>
            </w:r>
            <w:r w:rsidRPr="000F044A">
              <w:rPr>
                <w:iCs w:val="0"/>
              </w:rPr>
              <w:t xml:space="preserve">analīzes kompetence, teorijas un vēstures zināšanas. </w:t>
            </w:r>
          </w:p>
          <w:p w:rsidR="00F35D9D" w:rsidRPr="000F044A" w:rsidRDefault="00F35D9D" w:rsidP="00F35D9D">
            <w:pPr>
              <w:jc w:val="both"/>
            </w:pPr>
            <w:r w:rsidRPr="000F044A">
              <w:t xml:space="preserve">Vērtēšanas metode: </w:t>
            </w:r>
            <w:proofErr w:type="spellStart"/>
            <w:r w:rsidRPr="000F044A">
              <w:t>summatīvā</w:t>
            </w:r>
            <w:proofErr w:type="spellEnd"/>
            <w:r w:rsidRPr="000F044A">
              <w:t xml:space="preserve"> (ar atzīmi)</w:t>
            </w:r>
          </w:p>
          <w:p w:rsidR="00F35D9D" w:rsidRPr="000F044A" w:rsidRDefault="00F35D9D" w:rsidP="00F35D9D">
            <w:pPr>
              <w:contextualSpacing/>
            </w:pPr>
            <w:r w:rsidRPr="000F044A">
              <w:t xml:space="preserve">Vērtēšanas forma: mutiska (teorētiskās zināšanas ilustrējot ar praktiskiem piemēriem). </w:t>
            </w:r>
          </w:p>
          <w:p w:rsidR="00F51AF4" w:rsidRPr="000F044A" w:rsidRDefault="00F51AF4" w:rsidP="000856E5"/>
          <w:p w:rsidR="00F51AF4" w:rsidRPr="00F35D9D" w:rsidRDefault="00F51AF4" w:rsidP="000856E5">
            <w:r w:rsidRPr="00F35D9D">
              <w:t>STUDIJU REZULTĀTU VĒRTĒŠANAS KRITĒRIJI</w:t>
            </w:r>
          </w:p>
          <w:p w:rsidR="00F51AF4" w:rsidRPr="00F35D9D" w:rsidRDefault="00F51AF4" w:rsidP="000856E5">
            <w:r w:rsidRPr="00F35D9D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F35D9D">
              <w:t>(</w:t>
            </w:r>
            <w:proofErr w:type="gramEnd"/>
            <w:r w:rsidRPr="00F35D9D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F51AF4" w:rsidRPr="00F35D9D" w:rsidRDefault="00F51AF4" w:rsidP="0050181B"/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F51AF4" w:rsidRDefault="00F51AF4" w:rsidP="000856E5">
            <w:pPr>
              <w:pStyle w:val="Nosaukumi"/>
              <w:rPr>
                <w:color w:val="FF0000"/>
              </w:rPr>
            </w:pPr>
            <w:r w:rsidRPr="0011561E">
              <w:t>Kursa saturs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1E" w:rsidRPr="00622A45" w:rsidRDefault="0011561E" w:rsidP="0011561E">
            <w:r w:rsidRPr="00622A45">
              <w:t>17.</w:t>
            </w:r>
            <w:r>
              <w:t xml:space="preserve"> </w:t>
            </w:r>
            <w:r w:rsidRPr="00622A45">
              <w:t xml:space="preserve">gs – 18.gs. </w:t>
            </w:r>
            <w:r>
              <w:t xml:space="preserve">pirmās </w:t>
            </w:r>
            <w:r w:rsidRPr="00622A45">
              <w:t>puses raksturīgāko skaņdarbu pūšaminstrumentiem raksturojums un analīze.</w:t>
            </w:r>
          </w:p>
          <w:p w:rsidR="0011561E" w:rsidRPr="00622A45" w:rsidRDefault="0011561E" w:rsidP="0011561E">
            <w:pPr>
              <w:tabs>
                <w:tab w:val="left" w:pos="360"/>
              </w:tabs>
              <w:jc w:val="both"/>
            </w:pPr>
            <w:r w:rsidRPr="00622A45">
              <w:t xml:space="preserve">18. gs. </w:t>
            </w:r>
            <w:r>
              <w:t>otrās</w:t>
            </w:r>
            <w:r w:rsidRPr="00622A45">
              <w:t xml:space="preserve"> puses – 19.</w:t>
            </w:r>
            <w:r>
              <w:t xml:space="preserve"> </w:t>
            </w:r>
            <w:r w:rsidRPr="00622A45">
              <w:t xml:space="preserve">gs. </w:t>
            </w:r>
            <w:r>
              <w:t>pirmās</w:t>
            </w:r>
            <w:r w:rsidRPr="00622A45">
              <w:t xml:space="preserve"> puses raksturīgāko skaņdarbu pūšaminstrumentiem raksturojums un analīze. </w:t>
            </w:r>
          </w:p>
          <w:p w:rsidR="0011561E" w:rsidRPr="00622A45" w:rsidRDefault="0011561E" w:rsidP="0011561E">
            <w:pPr>
              <w:tabs>
                <w:tab w:val="left" w:pos="360"/>
              </w:tabs>
              <w:jc w:val="both"/>
            </w:pPr>
            <w:r w:rsidRPr="00622A45">
              <w:t xml:space="preserve">19.gs. </w:t>
            </w:r>
            <w:r>
              <w:t>otrās p</w:t>
            </w:r>
            <w:r w:rsidRPr="00622A45">
              <w:t xml:space="preserve">uses – 20.gs. </w:t>
            </w:r>
            <w:r>
              <w:t>pirmās</w:t>
            </w:r>
            <w:r w:rsidRPr="00622A45">
              <w:t xml:space="preserve"> puses raksturīgāko skaņdarbu pūšaminstrumentiem raksturojums un analīze. </w:t>
            </w:r>
          </w:p>
          <w:p w:rsidR="0011561E" w:rsidRPr="00622A45" w:rsidRDefault="0011561E" w:rsidP="0011561E">
            <w:r w:rsidRPr="00622A45">
              <w:t>20.gs. pirmās puses raksturīgāko skaņdarbu pūšaminstrumentiem raksturojums un analīze.</w:t>
            </w:r>
          </w:p>
          <w:p w:rsidR="0011561E" w:rsidRPr="00622A45" w:rsidRDefault="0011561E" w:rsidP="0011561E">
            <w:r w:rsidRPr="00622A45">
              <w:t>20.gs. otrās puses raksturīgāko skaņdarbu pūšaminstrumentiem raksturojums un analīze.</w:t>
            </w:r>
          </w:p>
          <w:p w:rsidR="00F51AF4" w:rsidRPr="00F51AF4" w:rsidRDefault="00F51AF4" w:rsidP="0011561E">
            <w:pPr>
              <w:tabs>
                <w:tab w:val="left" w:pos="360"/>
              </w:tabs>
              <w:jc w:val="both"/>
              <w:rPr>
                <w:color w:val="FF0000"/>
              </w:rPr>
            </w:pP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C22C34" w:rsidRDefault="00F51AF4" w:rsidP="000856E5">
            <w:pPr>
              <w:pStyle w:val="Nosaukumi"/>
            </w:pPr>
            <w:r w:rsidRPr="00C22C34">
              <w:t>Obligāti izmantojamie informācijas avoti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F4" w:rsidRPr="00C22C34" w:rsidRDefault="00F51AF4" w:rsidP="000856E5">
            <w:r w:rsidRPr="00C22C34">
              <w:t xml:space="preserve">Adams, S. (2006). </w:t>
            </w:r>
            <w:proofErr w:type="spellStart"/>
            <w:r w:rsidRPr="00C22C34">
              <w:t>Sally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Adams’s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Flute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Basics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Repertoire</w:t>
            </w:r>
            <w:proofErr w:type="spellEnd"/>
            <w:r w:rsidRPr="00C22C34">
              <w:t xml:space="preserve">. London: </w:t>
            </w:r>
            <w:proofErr w:type="spellStart"/>
            <w:r w:rsidRPr="00C22C34">
              <w:t>Faber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Music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Ltd</w:t>
            </w:r>
            <w:proofErr w:type="spellEnd"/>
            <w:r w:rsidRPr="00C22C34">
              <w:t xml:space="preserve">. </w:t>
            </w:r>
            <w:r w:rsidRPr="00C22C34">
              <w:lastRenderedPageBreak/>
              <w:t xml:space="preserve">(docētāja privātais izdevumu krājums, kas skenētā veidā tiks ievietots e-studiju vidē </w:t>
            </w:r>
            <w:proofErr w:type="spellStart"/>
            <w:r w:rsidRPr="00C22C34">
              <w:t>Moodle</w:t>
            </w:r>
            <w:proofErr w:type="spellEnd"/>
            <w:r w:rsidRPr="00C22C34">
              <w:t>)</w:t>
            </w:r>
          </w:p>
          <w:p w:rsidR="00C22C34" w:rsidRPr="00C22C34" w:rsidRDefault="00C22C34" w:rsidP="00C22C34">
            <w:pPr>
              <w:ind w:left="2"/>
              <w:rPr>
                <w:bCs w:val="0"/>
                <w:iCs w:val="0"/>
                <w:lang w:val="en-GB"/>
              </w:rPr>
            </w:pPr>
            <w:r w:rsidRPr="006E4864">
              <w:rPr>
                <w:bCs w:val="0"/>
                <w:iCs w:val="0"/>
              </w:rPr>
              <w:t xml:space="preserve">Morgan, R. (1991). </w:t>
            </w:r>
            <w:r w:rsidRPr="00C22C34">
              <w:rPr>
                <w:bCs w:val="0"/>
                <w:i/>
                <w:iCs w:val="0"/>
                <w:lang w:val="en-GB"/>
              </w:rPr>
              <w:t>Twentieth-Century Music: A History of Musical Style in Modern Europe and America</w:t>
            </w:r>
            <w:r w:rsidRPr="00C22C34">
              <w:rPr>
                <w:bCs w:val="0"/>
                <w:iCs w:val="0"/>
                <w:lang w:val="en-GB"/>
              </w:rPr>
              <w:t>. New York: W. W. Norton &amp; Company.</w:t>
            </w:r>
          </w:p>
          <w:p w:rsidR="00C22C34" w:rsidRPr="00161BAD" w:rsidRDefault="00C22C34" w:rsidP="00C22C34">
            <w:pPr>
              <w:ind w:left="2"/>
              <w:rPr>
                <w:bCs w:val="0"/>
                <w:iCs w:val="0"/>
              </w:rPr>
            </w:pPr>
            <w:r w:rsidRPr="00C22C34">
              <w:rPr>
                <w:bCs w:val="0"/>
                <w:iCs w:val="0"/>
                <w:lang w:val="en-GB"/>
              </w:rPr>
              <w:t xml:space="preserve">Rhodes S. L. </w:t>
            </w:r>
            <w:r w:rsidRPr="00C22C34">
              <w:rPr>
                <w:bCs w:val="0"/>
                <w:i/>
                <w:iCs w:val="0"/>
                <w:lang w:val="en-GB"/>
              </w:rPr>
              <w:t>A History of the Wind Band</w:t>
            </w:r>
            <w:r w:rsidRPr="00C22C34">
              <w:rPr>
                <w:bCs w:val="0"/>
                <w:iCs w:val="0"/>
                <w:lang w:val="en-GB"/>
              </w:rPr>
              <w:t xml:space="preserve">. </w:t>
            </w:r>
            <w:hyperlink r:id="rId8" w:history="1">
              <w:r w:rsidRPr="00161BAD">
                <w:rPr>
                  <w:bCs w:val="0"/>
                  <w:iCs w:val="0"/>
                </w:rPr>
                <w:t>https://ww2.lipscomb.edu/windbandhistory/</w:t>
              </w:r>
            </w:hyperlink>
          </w:p>
          <w:p w:rsidR="00C22C34" w:rsidRPr="00161BAD" w:rsidRDefault="00C22C34" w:rsidP="00C22C34">
            <w:pPr>
              <w:ind w:left="2"/>
              <w:rPr>
                <w:bCs w:val="0"/>
                <w:iCs w:val="0"/>
              </w:rPr>
            </w:pPr>
            <w:r w:rsidRPr="00161BAD">
              <w:rPr>
                <w:bCs w:val="0"/>
                <w:iCs w:val="0"/>
              </w:rPr>
              <w:t>http://www.ibiblio.org/guruguha/MusicResearchLibrary/Books-English/BkE-CurtSachs-TheHistoryofMusicalInstruments-1940-0015.pdf.</w:t>
            </w:r>
          </w:p>
          <w:p w:rsidR="00C22C34" w:rsidRPr="00C22C34" w:rsidRDefault="00C22C34" w:rsidP="00C22C34">
            <w:pPr>
              <w:ind w:left="2"/>
              <w:rPr>
                <w:bCs w:val="0"/>
                <w:iCs w:val="0"/>
                <w:lang w:val="en-GB"/>
              </w:rPr>
            </w:pPr>
            <w:r w:rsidRPr="00C22C34">
              <w:rPr>
                <w:bCs w:val="0"/>
                <w:i/>
                <w:iCs w:val="0"/>
                <w:lang w:val="en-GB"/>
              </w:rPr>
              <w:t>The History of the Wind Band</w:t>
            </w:r>
            <w:r w:rsidRPr="00C22C34">
              <w:rPr>
                <w:bCs w:val="0"/>
                <w:iCs w:val="0"/>
                <w:lang w:val="en-GB"/>
              </w:rPr>
              <w:t xml:space="preserve">. Historical Information. </w:t>
            </w:r>
          </w:p>
          <w:p w:rsidR="00C22C34" w:rsidRPr="00C22C34" w:rsidRDefault="0065685E" w:rsidP="00C22C34">
            <w:pPr>
              <w:ind w:left="2"/>
              <w:rPr>
                <w:bCs w:val="0"/>
                <w:iCs w:val="0"/>
                <w:lang w:val="en-GB"/>
              </w:rPr>
            </w:pPr>
            <w:hyperlink r:id="rId9" w:history="1">
              <w:r w:rsidR="00C22C34" w:rsidRPr="00C22C34">
                <w:rPr>
                  <w:bCs w:val="0"/>
                  <w:iCs w:val="0"/>
                  <w:lang w:val="en-GB"/>
                </w:rPr>
                <w:t>https://www.academia.edu/23432897/History_of_the_Wind_Band</w:t>
              </w:r>
            </w:hyperlink>
            <w:r w:rsidR="00C22C34" w:rsidRPr="00C22C34">
              <w:rPr>
                <w:bCs w:val="0"/>
                <w:iCs w:val="0"/>
                <w:lang w:val="en-GB"/>
              </w:rPr>
              <w:t>.</w:t>
            </w:r>
          </w:p>
          <w:p w:rsidR="00F51AF4" w:rsidRPr="00C22C34" w:rsidRDefault="00C22C34" w:rsidP="00C22C34">
            <w:proofErr w:type="spellStart"/>
            <w:r w:rsidRPr="00C22C34">
              <w:rPr>
                <w:i/>
              </w:rPr>
              <w:t>The</w:t>
            </w:r>
            <w:proofErr w:type="spellEnd"/>
            <w:r w:rsidRPr="00C22C34">
              <w:rPr>
                <w:i/>
              </w:rPr>
              <w:t xml:space="preserve"> </w:t>
            </w:r>
            <w:proofErr w:type="spellStart"/>
            <w:r w:rsidRPr="00C22C34">
              <w:rPr>
                <w:i/>
              </w:rPr>
              <w:t>Grove</w:t>
            </w:r>
            <w:proofErr w:type="spellEnd"/>
            <w:r w:rsidRPr="00C22C34">
              <w:rPr>
                <w:i/>
              </w:rPr>
              <w:t xml:space="preserve"> </w:t>
            </w:r>
            <w:proofErr w:type="spellStart"/>
            <w:r w:rsidRPr="00C22C34">
              <w:rPr>
                <w:i/>
              </w:rPr>
              <w:t>dictionary</w:t>
            </w:r>
            <w:proofErr w:type="spellEnd"/>
            <w:r w:rsidRPr="00C22C34">
              <w:rPr>
                <w:i/>
              </w:rPr>
              <w:t xml:space="preserve"> </w:t>
            </w:r>
            <w:proofErr w:type="spellStart"/>
            <w:r w:rsidRPr="00C22C34">
              <w:rPr>
                <w:i/>
              </w:rPr>
              <w:t>of</w:t>
            </w:r>
            <w:proofErr w:type="spellEnd"/>
            <w:r w:rsidRPr="00C22C34">
              <w:rPr>
                <w:i/>
              </w:rPr>
              <w:t xml:space="preserve"> </w:t>
            </w:r>
            <w:proofErr w:type="spellStart"/>
            <w:r w:rsidRPr="00C22C34">
              <w:rPr>
                <w:i/>
              </w:rPr>
              <w:t>musical</w:t>
            </w:r>
            <w:proofErr w:type="spellEnd"/>
            <w:r w:rsidRPr="00C22C34">
              <w:rPr>
                <w:i/>
              </w:rPr>
              <w:t xml:space="preserve"> instruments</w:t>
            </w:r>
            <w:r w:rsidRPr="00C22C34">
              <w:t xml:space="preserve"> / </w:t>
            </w:r>
            <w:proofErr w:type="spellStart"/>
            <w:r w:rsidRPr="00C22C34">
              <w:t>edited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by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Laurence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Libin</w:t>
            </w:r>
            <w:proofErr w:type="spellEnd"/>
            <w:r w:rsidRPr="00C22C34">
              <w:t xml:space="preserve">. (2014). </w:t>
            </w:r>
            <w:proofErr w:type="spellStart"/>
            <w:r w:rsidRPr="00C22C34">
              <w:t>Second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edition</w:t>
            </w:r>
            <w:proofErr w:type="spellEnd"/>
            <w:r w:rsidRPr="00C22C34">
              <w:t xml:space="preserve">. </w:t>
            </w:r>
            <w:proofErr w:type="spellStart"/>
            <w:r w:rsidRPr="00C22C34">
              <w:t>Vol</w:t>
            </w:r>
            <w:proofErr w:type="spellEnd"/>
            <w:r w:rsidRPr="00C22C34">
              <w:t>. 1.2.,3.,4.</w:t>
            </w:r>
            <w:r w:rsidRPr="00C22C34">
              <w:rPr>
                <w:bCs w:val="0"/>
                <w:i/>
                <w:iCs w:val="0"/>
                <w:lang w:val="en-GB"/>
              </w:rPr>
              <w:t xml:space="preserve"> </w:t>
            </w:r>
            <w:proofErr w:type="spellStart"/>
            <w:r w:rsidRPr="00C22C34">
              <w:t>New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York</w:t>
            </w:r>
            <w:proofErr w:type="spellEnd"/>
            <w:r w:rsidRPr="00C22C34">
              <w:t xml:space="preserve">: </w:t>
            </w:r>
            <w:proofErr w:type="spellStart"/>
            <w:r w:rsidRPr="00C22C34">
              <w:t>Oxford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University</w:t>
            </w:r>
            <w:proofErr w:type="spellEnd"/>
            <w:r w:rsidRPr="00C22C34">
              <w:t xml:space="preserve"> </w:t>
            </w:r>
            <w:proofErr w:type="spellStart"/>
            <w:r w:rsidRPr="00C22C34">
              <w:t>Press</w:t>
            </w:r>
            <w:proofErr w:type="spellEnd"/>
          </w:p>
          <w:p w:rsidR="00C22C34" w:rsidRPr="00C22C34" w:rsidRDefault="00C22C34" w:rsidP="00C22C34">
            <w:pPr>
              <w:rPr>
                <w:bCs w:val="0"/>
                <w:iCs w:val="0"/>
                <w:lang w:val="en-GB"/>
              </w:rPr>
            </w:pPr>
            <w:r w:rsidRPr="00C22C34">
              <w:rPr>
                <w:bCs w:val="0"/>
                <w:iCs w:val="0"/>
                <w:lang w:val="en-GB"/>
              </w:rPr>
              <w:t xml:space="preserve">Sachs, C. (1940). </w:t>
            </w:r>
            <w:r w:rsidRPr="00C22C34">
              <w:rPr>
                <w:bCs w:val="0"/>
                <w:i/>
                <w:iCs w:val="0"/>
                <w:lang w:val="en-GB"/>
              </w:rPr>
              <w:t>The History of Musical Instruments</w:t>
            </w:r>
            <w:r w:rsidRPr="00C22C34">
              <w:rPr>
                <w:bCs w:val="0"/>
                <w:iCs w:val="0"/>
                <w:lang w:val="en-GB"/>
              </w:rPr>
              <w:t>.</w:t>
            </w:r>
          </w:p>
          <w:p w:rsidR="00C22C34" w:rsidRPr="00C22C34" w:rsidRDefault="00C22C34" w:rsidP="00C22C34"/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387F3F" w:rsidRDefault="00F51AF4" w:rsidP="000856E5">
            <w:pPr>
              <w:pStyle w:val="Nosaukumi"/>
            </w:pPr>
            <w:r w:rsidRPr="00387F3F">
              <w:lastRenderedPageBreak/>
              <w:t>Papildus informācijas avoti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387F3F" w:rsidRDefault="00F51AF4" w:rsidP="000856E5">
            <w:r w:rsidRPr="00387F3F">
              <w:t>Ieteicamais repertuārs: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proofErr w:type="spellStart"/>
            <w:r w:rsidRPr="00387F3F">
              <w:t>Altmanis</w:t>
            </w:r>
            <w:proofErr w:type="spellEnd"/>
            <w:r w:rsidRPr="00387F3F">
              <w:t xml:space="preserve"> A. </w:t>
            </w:r>
            <w:proofErr w:type="spellStart"/>
            <w:r w:rsidRPr="00387F3F">
              <w:t>Improvisus</w:t>
            </w:r>
            <w:proofErr w:type="spellEnd"/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proofErr w:type="spellStart"/>
            <w:r w:rsidRPr="00387F3F">
              <w:t>Altmanis</w:t>
            </w:r>
            <w:proofErr w:type="spellEnd"/>
            <w:r w:rsidRPr="00387F3F">
              <w:t xml:space="preserve"> A. </w:t>
            </w:r>
            <w:proofErr w:type="spellStart"/>
            <w:r w:rsidRPr="00387F3F">
              <w:t>Ekspontus</w:t>
            </w:r>
            <w:proofErr w:type="spellEnd"/>
          </w:p>
          <w:p w:rsidR="00F51AF4" w:rsidRPr="00387F3F" w:rsidRDefault="00F51AF4" w:rsidP="000856E5">
            <w:proofErr w:type="spellStart"/>
            <w:r w:rsidRPr="00387F3F">
              <w:t>Bernstein</w:t>
            </w:r>
            <w:proofErr w:type="spellEnd"/>
            <w:r w:rsidRPr="00387F3F">
              <w:t>, L. Rondo par dzīvi.</w:t>
            </w:r>
          </w:p>
          <w:p w:rsidR="00387F3F" w:rsidRPr="00387F3F" w:rsidRDefault="00387F3F" w:rsidP="00387F3F">
            <w:proofErr w:type="spellStart"/>
            <w:r w:rsidRPr="00387F3F">
              <w:t>Bozza</w:t>
            </w:r>
            <w:proofErr w:type="spellEnd"/>
            <w:r w:rsidRPr="00387F3F">
              <w:t xml:space="preserve">, E. </w:t>
            </w:r>
            <w:proofErr w:type="spellStart"/>
            <w:r w:rsidRPr="00387F3F">
              <w:t>Capricce-improvizācija</w:t>
            </w:r>
            <w:proofErr w:type="spellEnd"/>
            <w:r w:rsidRPr="00387F3F">
              <w:t xml:space="preserve"> </w:t>
            </w:r>
          </w:p>
          <w:p w:rsidR="00387F3F" w:rsidRPr="00387F3F" w:rsidRDefault="00387F3F" w:rsidP="00387F3F">
            <w:proofErr w:type="spellStart"/>
            <w:r w:rsidRPr="00387F3F">
              <w:t>Bruch</w:t>
            </w:r>
            <w:proofErr w:type="spellEnd"/>
            <w:r w:rsidRPr="00387F3F">
              <w:t xml:space="preserve">, M. </w:t>
            </w:r>
            <w:proofErr w:type="spellStart"/>
            <w:r w:rsidRPr="00387F3F">
              <w:t>Kol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nidrei</w:t>
            </w:r>
            <w:proofErr w:type="spellEnd"/>
            <w:r w:rsidRPr="00387F3F">
              <w:t xml:space="preserve"> par trompeti.</w:t>
            </w:r>
          </w:p>
          <w:p w:rsidR="00F51AF4" w:rsidRPr="00387F3F" w:rsidRDefault="00F51AF4" w:rsidP="000856E5">
            <w:r w:rsidRPr="00387F3F">
              <w:t xml:space="preserve">Hariss, P. Saksofona spēles </w:t>
            </w:r>
            <w:proofErr w:type="gramStart"/>
            <w:r w:rsidRPr="00387F3F">
              <w:t>vairākas pakāpes pētījumi</w:t>
            </w:r>
            <w:proofErr w:type="gramEnd"/>
            <w:r w:rsidRPr="00387F3F">
              <w:t xml:space="preserve"> 1.</w:t>
            </w:r>
          </w:p>
          <w:p w:rsidR="00387F3F" w:rsidRPr="00387F3F" w:rsidRDefault="00387F3F" w:rsidP="00387F3F">
            <w:proofErr w:type="spellStart"/>
            <w:r w:rsidRPr="00387F3F">
              <w:t>Fauré</w:t>
            </w:r>
            <w:proofErr w:type="spellEnd"/>
            <w:r w:rsidRPr="00387F3F">
              <w:t xml:space="preserve">, G. </w:t>
            </w:r>
            <w:proofErr w:type="spellStart"/>
            <w:r w:rsidRPr="00387F3F">
              <w:t>Pavane</w:t>
            </w:r>
            <w:proofErr w:type="spellEnd"/>
            <w:r w:rsidRPr="00387F3F">
              <w:t>.</w:t>
            </w:r>
          </w:p>
          <w:p w:rsidR="00F51AF4" w:rsidRPr="00387F3F" w:rsidRDefault="00F51AF4" w:rsidP="000856E5">
            <w:proofErr w:type="spellStart"/>
            <w:r w:rsidRPr="00387F3F">
              <w:t>Fauré</w:t>
            </w:r>
            <w:proofErr w:type="spellEnd"/>
            <w:r w:rsidRPr="00387F3F">
              <w:t>, G. Fantāzija.</w:t>
            </w:r>
          </w:p>
          <w:p w:rsidR="00F51AF4" w:rsidRPr="00387F3F" w:rsidRDefault="00F51AF4" w:rsidP="000856E5">
            <w:proofErr w:type="spellStart"/>
            <w:r w:rsidRPr="00387F3F">
              <w:t>Hindemith</w:t>
            </w:r>
            <w:proofErr w:type="spellEnd"/>
            <w:r w:rsidRPr="00387F3F">
              <w:t xml:space="preserve">, P. </w:t>
            </w:r>
            <w:proofErr w:type="spellStart"/>
            <w:r w:rsidRPr="00387F3F">
              <w:t>Sonata</w:t>
            </w:r>
            <w:proofErr w:type="spellEnd"/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proofErr w:type="spellStart"/>
            <w:r w:rsidRPr="00387F3F">
              <w:t>Grebenščikovs</w:t>
            </w:r>
            <w:proofErr w:type="spellEnd"/>
            <w:r w:rsidRPr="00387F3F">
              <w:t xml:space="preserve"> O. Grieķu dejas</w:t>
            </w:r>
          </w:p>
          <w:p w:rsidR="00387F3F" w:rsidRPr="00387F3F" w:rsidRDefault="00387F3F" w:rsidP="00387F3F">
            <w:proofErr w:type="spellStart"/>
            <w:r w:rsidRPr="00387F3F">
              <w:t>Glazunovs</w:t>
            </w:r>
            <w:proofErr w:type="spellEnd"/>
            <w:r w:rsidRPr="00387F3F">
              <w:t>, A. (2010) Koncerts E dur.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proofErr w:type="spellStart"/>
            <w:r w:rsidRPr="00387F3F">
              <w:t>Kokai</w:t>
            </w:r>
            <w:proofErr w:type="spellEnd"/>
            <w:r w:rsidRPr="00387F3F">
              <w:t xml:space="preserve"> R. Friska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proofErr w:type="spellStart"/>
            <w:r w:rsidRPr="00387F3F">
              <w:t>Komorovs</w:t>
            </w:r>
            <w:proofErr w:type="spellEnd"/>
            <w:r w:rsidRPr="00387F3F">
              <w:t xml:space="preserve"> V. Improvizācija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proofErr w:type="spellStart"/>
            <w:r w:rsidRPr="00387F3F">
              <w:t>Kreins</w:t>
            </w:r>
            <w:proofErr w:type="spellEnd"/>
            <w:r w:rsidRPr="00387F3F">
              <w:t xml:space="preserve"> G. Skaņdarbs (Jakutu tēma)</w:t>
            </w:r>
          </w:p>
          <w:p w:rsidR="00F51AF4" w:rsidRPr="00387F3F" w:rsidRDefault="00F51AF4" w:rsidP="000856E5">
            <w:proofErr w:type="spellStart"/>
            <w:r w:rsidRPr="00387F3F">
              <w:t>Lancelots</w:t>
            </w:r>
            <w:proofErr w:type="spellEnd"/>
            <w:r w:rsidRPr="00387F3F">
              <w:t>, J. 25 klarnetes skaņdarbi.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proofErr w:type="spellStart"/>
            <w:r w:rsidRPr="00387F3F">
              <w:t>Ledenevs</w:t>
            </w:r>
            <w:proofErr w:type="spellEnd"/>
            <w:r w:rsidRPr="00387F3F">
              <w:t xml:space="preserve"> R. Sonāte II, III daļas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proofErr w:type="spellStart"/>
            <w:r w:rsidRPr="00387F3F">
              <w:t>Mijo</w:t>
            </w:r>
            <w:proofErr w:type="spellEnd"/>
            <w:r w:rsidRPr="00387F3F">
              <w:t xml:space="preserve"> D. Sonatīne</w:t>
            </w:r>
          </w:p>
          <w:p w:rsidR="00387F3F" w:rsidRPr="00387F3F" w:rsidRDefault="00387F3F" w:rsidP="00387F3F">
            <w:proofErr w:type="spellStart"/>
            <w:r w:rsidRPr="00387F3F">
              <w:t>Pavasars</w:t>
            </w:r>
            <w:proofErr w:type="spellEnd"/>
            <w:r w:rsidRPr="00387F3F">
              <w:t>, H. Trīs skaņdarbi.</w:t>
            </w:r>
          </w:p>
          <w:p w:rsidR="00387F3F" w:rsidRPr="00387F3F" w:rsidRDefault="00387F3F" w:rsidP="00387F3F">
            <w:proofErr w:type="spellStart"/>
            <w:r w:rsidRPr="00387F3F">
              <w:t>Piston</w:t>
            </w:r>
            <w:proofErr w:type="spellEnd"/>
            <w:r w:rsidRPr="00387F3F">
              <w:t>, V. Koncerts flautai un orķestrim.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r w:rsidRPr="00387F3F">
              <w:t>Pulenks F. Sonāte</w:t>
            </w:r>
          </w:p>
          <w:p w:rsidR="00387F3F" w:rsidRPr="00387F3F" w:rsidRDefault="00387F3F" w:rsidP="00387F3F">
            <w:proofErr w:type="spellStart"/>
            <w:r w:rsidRPr="00387F3F">
              <w:t>Rae</w:t>
            </w:r>
            <w:proofErr w:type="spellEnd"/>
            <w:r w:rsidRPr="00387F3F">
              <w:t>, J. 40 mūsdienu studijas solo klarnetei.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r w:rsidRPr="00387F3F">
              <w:t>Rudzinskis Z. Sonāte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r w:rsidRPr="00387F3F">
              <w:t>Sen-</w:t>
            </w:r>
            <w:proofErr w:type="spellStart"/>
            <w:r w:rsidRPr="00387F3F">
              <w:t>Sanss</w:t>
            </w:r>
            <w:proofErr w:type="spellEnd"/>
            <w:r w:rsidRPr="00387F3F">
              <w:t xml:space="preserve"> K. Sonāte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r w:rsidRPr="00387F3F">
              <w:t>Straume E. Kaprīze</w:t>
            </w:r>
          </w:p>
          <w:p w:rsidR="00387F3F" w:rsidRPr="00387F3F" w:rsidRDefault="00387F3F" w:rsidP="00387F3F">
            <w:r w:rsidRPr="00387F3F">
              <w:t>Stravinskis, I. Trīs skaņdarbi klarnetei Solo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r w:rsidRPr="00387F3F">
              <w:t>Šostakovičs D. Prelūdija op. 34 Nr. 24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proofErr w:type="spellStart"/>
            <w:r w:rsidRPr="00387F3F">
              <w:t>Širinskis</w:t>
            </w:r>
            <w:proofErr w:type="spellEnd"/>
            <w:r w:rsidRPr="00387F3F">
              <w:t xml:space="preserve"> V. Skerco</w:t>
            </w:r>
          </w:p>
          <w:p w:rsidR="00F51AF4" w:rsidRPr="00387F3F" w:rsidRDefault="00F51AF4" w:rsidP="000856E5">
            <w:pPr>
              <w:autoSpaceDE/>
              <w:autoSpaceDN/>
              <w:adjustRightInd/>
              <w:jc w:val="both"/>
            </w:pPr>
            <w:r w:rsidRPr="00387F3F">
              <w:t>Vasks P. 3 skaņdarbi</w:t>
            </w:r>
          </w:p>
          <w:p w:rsidR="00F51AF4" w:rsidRPr="00387F3F" w:rsidRDefault="00F51AF4" w:rsidP="000856E5">
            <w:proofErr w:type="spellStart"/>
            <w:r w:rsidRPr="00387F3F">
              <w:t>Žolive</w:t>
            </w:r>
            <w:proofErr w:type="spellEnd"/>
            <w:r w:rsidRPr="00387F3F">
              <w:t xml:space="preserve"> A. Pārdomas u.c. skaņdarbi</w:t>
            </w:r>
          </w:p>
          <w:p w:rsidR="00F51AF4" w:rsidRPr="00387F3F" w:rsidRDefault="00F51AF4" w:rsidP="000856E5">
            <w:proofErr w:type="spellStart"/>
            <w:r w:rsidRPr="00387F3F">
              <w:t>Jeanjean</w:t>
            </w:r>
            <w:proofErr w:type="spellEnd"/>
            <w:r w:rsidRPr="00387F3F">
              <w:t xml:space="preserve">, P. </w:t>
            </w:r>
            <w:proofErr w:type="spellStart"/>
            <w:r w:rsidRPr="00387F3F">
              <w:t>Etudes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Progressives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et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Melodiques</w:t>
            </w:r>
            <w:proofErr w:type="spellEnd"/>
            <w:r w:rsidRPr="00387F3F">
              <w:t>.</w:t>
            </w:r>
          </w:p>
          <w:p w:rsidR="00F51AF4" w:rsidRPr="00387F3F" w:rsidRDefault="00F51AF4" w:rsidP="000856E5">
            <w:proofErr w:type="spellStart"/>
            <w:r w:rsidRPr="00387F3F">
              <w:t>Danzi</w:t>
            </w:r>
            <w:proofErr w:type="spellEnd"/>
            <w:r w:rsidRPr="00387F3F">
              <w:t>, F. Sonāte.</w:t>
            </w:r>
          </w:p>
          <w:p w:rsidR="00F51AF4" w:rsidRPr="00387F3F" w:rsidRDefault="00F51AF4" w:rsidP="00387F3F"/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387F3F" w:rsidRDefault="00F51AF4" w:rsidP="000856E5">
            <w:pPr>
              <w:pStyle w:val="Nosaukumi"/>
            </w:pPr>
            <w:r w:rsidRPr="00387F3F">
              <w:t>Periodika un citi informācijas avoti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387F3F" w:rsidRDefault="00F51AF4" w:rsidP="000856E5">
            <w:r w:rsidRPr="00387F3F">
              <w:t>Žurnāli:</w:t>
            </w:r>
            <w:r w:rsidRPr="00387F3F">
              <w:rPr>
                <w:lang w:val="en-GB" w:eastAsia="lv-LV"/>
              </w:rPr>
              <w:t xml:space="preserve"> </w:t>
            </w:r>
          </w:p>
          <w:p w:rsidR="00F51AF4" w:rsidRPr="00387F3F" w:rsidRDefault="00F51AF4" w:rsidP="000856E5">
            <w:proofErr w:type="spellStart"/>
            <w:r w:rsidRPr="00387F3F">
              <w:t>Carolyn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Nussbaum</w:t>
            </w:r>
            <w:proofErr w:type="spellEnd"/>
            <w:proofErr w:type="gramStart"/>
            <w:r w:rsidRPr="00387F3F">
              <w:t xml:space="preserve">  </w:t>
            </w:r>
            <w:proofErr w:type="spellStart"/>
            <w:proofErr w:type="gramEnd"/>
            <w:r w:rsidRPr="00387F3F">
              <w:t>Music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Company</w:t>
            </w:r>
            <w:proofErr w:type="spellEnd"/>
            <w:r w:rsidRPr="00387F3F">
              <w:t xml:space="preserve">: </w:t>
            </w:r>
            <w:hyperlink r:id="rId10" w:history="1">
              <w:r w:rsidRPr="00387F3F">
                <w:rPr>
                  <w:rStyle w:val="Hyperlink"/>
                  <w:color w:val="auto"/>
                  <w:u w:val="none"/>
                </w:rPr>
                <w:t>http://www.flute4u.com/store/</w:t>
              </w:r>
            </w:hyperlink>
          </w:p>
          <w:p w:rsidR="00F51AF4" w:rsidRPr="00387F3F" w:rsidRDefault="00F51AF4" w:rsidP="000856E5">
            <w:proofErr w:type="spellStart"/>
            <w:r w:rsidRPr="00387F3F">
              <w:t>Contemporary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Music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Review</w:t>
            </w:r>
            <w:proofErr w:type="spellEnd"/>
            <w:r w:rsidRPr="00387F3F">
              <w:t>. https://www.tandfonline.com/loi/gcmr20</w:t>
            </w:r>
          </w:p>
          <w:p w:rsidR="00F51AF4" w:rsidRPr="00387F3F" w:rsidRDefault="00F51AF4" w:rsidP="000856E5">
            <w:proofErr w:type="spellStart"/>
            <w:r w:rsidRPr="00387F3F">
              <w:t>Early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Music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Performer</w:t>
            </w:r>
            <w:proofErr w:type="spellEnd"/>
            <w:r w:rsidRPr="00387F3F">
              <w:t>. https://www.earlymusic.info/Performer.php</w:t>
            </w:r>
          </w:p>
          <w:p w:rsidR="00F51AF4" w:rsidRPr="00387F3F" w:rsidRDefault="00F51AF4" w:rsidP="000856E5">
            <w:proofErr w:type="spellStart"/>
            <w:r w:rsidRPr="00387F3F">
              <w:lastRenderedPageBreak/>
              <w:t>Flute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World</w:t>
            </w:r>
            <w:proofErr w:type="spellEnd"/>
            <w:r w:rsidRPr="00387F3F">
              <w:t xml:space="preserve">: </w:t>
            </w:r>
            <w:hyperlink r:id="rId11" w:history="1">
              <w:r w:rsidRPr="00387F3F">
                <w:rPr>
                  <w:rStyle w:val="Hyperlink"/>
                  <w:color w:val="auto"/>
                  <w:u w:val="none"/>
                </w:rPr>
                <w:t>https://www.fluteworld.com/</w:t>
              </w:r>
            </w:hyperlink>
          </w:p>
          <w:p w:rsidR="00F51AF4" w:rsidRPr="00387F3F" w:rsidRDefault="00F51AF4" w:rsidP="000856E5">
            <w:proofErr w:type="spellStart"/>
            <w:r w:rsidRPr="00387F3F">
              <w:t>Journal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of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Research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in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Music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Education</w:t>
            </w:r>
            <w:proofErr w:type="spellEnd"/>
            <w:r w:rsidRPr="00387F3F">
              <w:t>.</w:t>
            </w:r>
          </w:p>
          <w:p w:rsidR="00F51AF4" w:rsidRPr="00387F3F" w:rsidRDefault="00F51AF4" w:rsidP="000856E5">
            <w:r w:rsidRPr="00387F3F">
              <w:t>https://journals.sagepub.com/doi/abs/10.1177/0022429415583474?journalCode=jrmas</w:t>
            </w:r>
          </w:p>
          <w:p w:rsidR="00F51AF4" w:rsidRPr="00387F3F" w:rsidRDefault="00F51AF4" w:rsidP="000856E5">
            <w:proofErr w:type="spellStart"/>
            <w:r w:rsidRPr="00387F3F">
              <w:t>Performance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Practice</w:t>
            </w:r>
            <w:proofErr w:type="spellEnd"/>
            <w:r w:rsidRPr="00387F3F">
              <w:t xml:space="preserve"> </w:t>
            </w:r>
            <w:proofErr w:type="spellStart"/>
            <w:r w:rsidRPr="00387F3F">
              <w:t>Review</w:t>
            </w:r>
            <w:proofErr w:type="spellEnd"/>
            <w:r w:rsidRPr="00387F3F">
              <w:t xml:space="preserve">. </w:t>
            </w:r>
            <w:hyperlink r:id="rId12" w:history="1">
              <w:r w:rsidRPr="00387F3F">
                <w:rPr>
                  <w:rStyle w:val="Hyperlink"/>
                  <w:color w:val="auto"/>
                </w:rPr>
                <w:t>https://scholarship.claremont.edu/ppr/</w:t>
              </w:r>
            </w:hyperlink>
          </w:p>
          <w:p w:rsidR="00F51AF4" w:rsidRPr="00387F3F" w:rsidRDefault="00F51AF4" w:rsidP="000856E5"/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F4" w:rsidRPr="00387F3F" w:rsidRDefault="00F51AF4" w:rsidP="000856E5">
            <w:pPr>
              <w:pStyle w:val="Nosaukumi"/>
            </w:pPr>
            <w:r w:rsidRPr="00387F3F">
              <w:lastRenderedPageBreak/>
              <w:t>Piezīmes</w:t>
            </w:r>
          </w:p>
        </w:tc>
      </w:tr>
      <w:tr w:rsidR="00F51AF4" w:rsidRPr="00F51AF4" w:rsidTr="000856E5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F4" w:rsidRPr="00387F3F" w:rsidRDefault="00F51AF4" w:rsidP="00387F3F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387F3F">
              <w:t xml:space="preserve">Profesionālās maģistra studiju programmas ”Mūzika” B1 daļa. </w:t>
            </w:r>
          </w:p>
        </w:tc>
      </w:tr>
    </w:tbl>
    <w:p w:rsidR="00F51AF4" w:rsidRDefault="00F51AF4" w:rsidP="00F51AF4"/>
    <w:p w:rsidR="001F72F7" w:rsidRDefault="001F72F7"/>
    <w:p w:rsidR="00F7553D" w:rsidRDefault="00F7553D"/>
    <w:p w:rsidR="00F7553D" w:rsidRDefault="00F7553D"/>
    <w:p w:rsidR="00F7553D" w:rsidRDefault="00F7553D"/>
    <w:p w:rsidR="00F7553D" w:rsidRDefault="00F7553D"/>
    <w:p w:rsidR="00F7553D" w:rsidRDefault="00F7553D"/>
    <w:p w:rsidR="00F7553D" w:rsidRDefault="00F7553D"/>
    <w:sectPr w:rsidR="00F7553D" w:rsidSect="00F57776">
      <w:footerReference w:type="default" r:id="rId13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5E" w:rsidRDefault="0065685E" w:rsidP="008D529B">
      <w:r>
        <w:separator/>
      </w:r>
    </w:p>
  </w:endnote>
  <w:endnote w:type="continuationSeparator" w:id="0">
    <w:p w:rsidR="0065685E" w:rsidRDefault="0065685E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56E5" w:rsidRDefault="000856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0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56E5" w:rsidRDefault="000856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5E" w:rsidRDefault="0065685E" w:rsidP="008D529B">
      <w:r>
        <w:separator/>
      </w:r>
    </w:p>
  </w:footnote>
  <w:footnote w:type="continuationSeparator" w:id="0">
    <w:p w:rsidR="0065685E" w:rsidRDefault="0065685E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76"/>
    <w:rsid w:val="000362BD"/>
    <w:rsid w:val="00041B37"/>
    <w:rsid w:val="00065BC5"/>
    <w:rsid w:val="000856E5"/>
    <w:rsid w:val="000E0764"/>
    <w:rsid w:val="000F044A"/>
    <w:rsid w:val="0011561E"/>
    <w:rsid w:val="00161BAD"/>
    <w:rsid w:val="001E199D"/>
    <w:rsid w:val="001F72F7"/>
    <w:rsid w:val="00307595"/>
    <w:rsid w:val="00313F84"/>
    <w:rsid w:val="00346399"/>
    <w:rsid w:val="00374E20"/>
    <w:rsid w:val="00387F3F"/>
    <w:rsid w:val="003B3672"/>
    <w:rsid w:val="004306EF"/>
    <w:rsid w:val="00440606"/>
    <w:rsid w:val="00453649"/>
    <w:rsid w:val="004E0129"/>
    <w:rsid w:val="0050181B"/>
    <w:rsid w:val="005137C6"/>
    <w:rsid w:val="005732A2"/>
    <w:rsid w:val="00620A4A"/>
    <w:rsid w:val="00622A45"/>
    <w:rsid w:val="00653A33"/>
    <w:rsid w:val="0065685E"/>
    <w:rsid w:val="00662787"/>
    <w:rsid w:val="006A43CA"/>
    <w:rsid w:val="006B5B30"/>
    <w:rsid w:val="006E4864"/>
    <w:rsid w:val="006F2D1B"/>
    <w:rsid w:val="007016FD"/>
    <w:rsid w:val="00747680"/>
    <w:rsid w:val="00754E30"/>
    <w:rsid w:val="007B7550"/>
    <w:rsid w:val="00833A62"/>
    <w:rsid w:val="00837A3A"/>
    <w:rsid w:val="0084590D"/>
    <w:rsid w:val="008964DD"/>
    <w:rsid w:val="008D529B"/>
    <w:rsid w:val="008E2AE2"/>
    <w:rsid w:val="008F0991"/>
    <w:rsid w:val="009123A7"/>
    <w:rsid w:val="009346BF"/>
    <w:rsid w:val="009C55C5"/>
    <w:rsid w:val="009D4A6C"/>
    <w:rsid w:val="00A061FC"/>
    <w:rsid w:val="00A35C45"/>
    <w:rsid w:val="00A5641B"/>
    <w:rsid w:val="00AE7F55"/>
    <w:rsid w:val="00B350CC"/>
    <w:rsid w:val="00C22C34"/>
    <w:rsid w:val="00C61340"/>
    <w:rsid w:val="00C92FE3"/>
    <w:rsid w:val="00CC72B6"/>
    <w:rsid w:val="00D0267E"/>
    <w:rsid w:val="00D22F13"/>
    <w:rsid w:val="00D25091"/>
    <w:rsid w:val="00D46BCE"/>
    <w:rsid w:val="00DC1275"/>
    <w:rsid w:val="00E37540"/>
    <w:rsid w:val="00E85CB7"/>
    <w:rsid w:val="00F00C74"/>
    <w:rsid w:val="00F25D5F"/>
    <w:rsid w:val="00F35D9D"/>
    <w:rsid w:val="00F51AF4"/>
    <w:rsid w:val="00F57776"/>
    <w:rsid w:val="00F7553D"/>
    <w:rsid w:val="00FA6582"/>
    <w:rsid w:val="00FF21DF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2.lipscomb.edu/windbandhistory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cholarship.claremont.edu/ppr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luteworld.com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flute4u.com/stor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cademia.edu/23432897/History_of_the_Wind_Band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321137C5F2F44A490AB81952C0B9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B7DD5-8ADE-4DE1-B8BE-6841DBFBF4E1}"/>
      </w:docPartPr>
      <w:docPartBody>
        <w:p w:rsidR="0062368A" w:rsidRDefault="00666575" w:rsidP="00666575">
          <w:pPr>
            <w:pStyle w:val="2321137C5F2F44A490AB81952C0B95E6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32"/>
    <w:rsid w:val="000D7B32"/>
    <w:rsid w:val="00370B28"/>
    <w:rsid w:val="0062368A"/>
    <w:rsid w:val="00666575"/>
    <w:rsid w:val="00834925"/>
    <w:rsid w:val="0097432D"/>
    <w:rsid w:val="00A34D90"/>
    <w:rsid w:val="00A53E68"/>
    <w:rsid w:val="00AF18F3"/>
    <w:rsid w:val="00E65175"/>
    <w:rsid w:val="00E8395B"/>
    <w:rsid w:val="00F9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368A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4645</Words>
  <Characters>2649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2023-01-30T12:59:00Z</dcterms:created>
  <dcterms:modified xsi:type="dcterms:W3CDTF">2023-02-03T12:34:00Z</dcterms:modified>
</cp:coreProperties>
</file>