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40E" w:rsidRPr="00ED18EB" w:rsidRDefault="006E440E" w:rsidP="006E440E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6E440E" w:rsidRPr="00ED18EB" w:rsidRDefault="006E440E" w:rsidP="006E440E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6E440E" w:rsidRPr="00ED18EB" w:rsidRDefault="006E440E" w:rsidP="006E440E"/>
    <w:tbl>
      <w:tblPr>
        <w:tblStyle w:val="TableGrid"/>
        <w:tblW w:w="9321" w:type="dxa"/>
        <w:tblLayout w:type="fixed"/>
        <w:tblLook w:val="04A0" w:firstRow="1" w:lastRow="0" w:firstColumn="1" w:lastColumn="0" w:noHBand="0" w:noVBand="1"/>
      </w:tblPr>
      <w:tblGrid>
        <w:gridCol w:w="4219"/>
        <w:gridCol w:w="5102"/>
      </w:tblGrid>
      <w:tr w:rsidR="006E440E" w:rsidRPr="00ED18EB" w:rsidTr="0078692D">
        <w:tc>
          <w:tcPr>
            <w:tcW w:w="4219" w:type="dxa"/>
          </w:tcPr>
          <w:p w:rsidR="006E440E" w:rsidRPr="00ED18EB" w:rsidRDefault="006E440E" w:rsidP="0078692D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  <w:t>Studiju kursa nosaukums</w:t>
            </w:r>
          </w:p>
        </w:tc>
        <w:tc>
          <w:tcPr>
            <w:tcW w:w="5102" w:type="dxa"/>
            <w:vAlign w:val="center"/>
          </w:tcPr>
          <w:p w:rsidR="006E440E" w:rsidRPr="00ED18EB" w:rsidRDefault="006E440E" w:rsidP="0078692D">
            <w:pPr>
              <w:pStyle w:val="Style1"/>
              <w:framePr w:wrap="around"/>
            </w:pPr>
            <w:bookmarkStart w:id="0" w:name="_Toc90131031"/>
            <w:bookmarkStart w:id="1" w:name="_Toc103779951"/>
            <w:bookmarkStart w:id="2" w:name="_GoBack"/>
            <w:r w:rsidRPr="00ED18EB">
              <w:t>Pūšaminstrumentu vēsture, repertuārs un stilistika II</w:t>
            </w:r>
            <w:bookmarkEnd w:id="0"/>
            <w:bookmarkEnd w:id="1"/>
            <w:bookmarkEnd w:id="2"/>
          </w:p>
        </w:tc>
      </w:tr>
      <w:tr w:rsidR="006E440E" w:rsidRPr="00ED18EB" w:rsidTr="0078692D">
        <w:tc>
          <w:tcPr>
            <w:tcW w:w="4219" w:type="dxa"/>
          </w:tcPr>
          <w:p w:rsidR="006E440E" w:rsidRPr="00ED18EB" w:rsidRDefault="006E440E" w:rsidP="0078692D">
            <w:pPr>
              <w:pStyle w:val="Nosaukumi"/>
            </w:pPr>
            <w:r w:rsidRPr="00ED18EB">
              <w:t>Studiju kursa kods (DUIS)</w:t>
            </w:r>
          </w:p>
        </w:tc>
        <w:tc>
          <w:tcPr>
            <w:tcW w:w="5102" w:type="dxa"/>
            <w:vAlign w:val="center"/>
          </w:tcPr>
          <w:p w:rsidR="006E440E" w:rsidRPr="00ED18EB" w:rsidRDefault="006E440E" w:rsidP="0078692D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lang w:eastAsia="lv-LV"/>
              </w:rPr>
              <w:t>MākZ1599</w:t>
            </w:r>
          </w:p>
        </w:tc>
      </w:tr>
      <w:tr w:rsidR="006E440E" w:rsidRPr="00ED18EB" w:rsidTr="0078692D">
        <w:tc>
          <w:tcPr>
            <w:tcW w:w="4219" w:type="dxa"/>
          </w:tcPr>
          <w:p w:rsidR="006E440E" w:rsidRPr="00ED18EB" w:rsidRDefault="006E440E" w:rsidP="0078692D">
            <w:pPr>
              <w:pStyle w:val="Nosaukumi"/>
            </w:pPr>
            <w:r w:rsidRPr="00ED18EB">
              <w:t>Zinātnes nozare</w:t>
            </w:r>
          </w:p>
        </w:tc>
        <w:sdt>
          <w:sdtPr>
            <w:rPr>
              <w:b/>
            </w:rPr>
            <w:id w:val="659823318"/>
            <w:placeholder>
              <w:docPart w:val="08642B85497A4D46855E7DD7C5B490E1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5102" w:type="dxa"/>
              </w:tcPr>
              <w:p w:rsidR="006E440E" w:rsidRPr="00ED18EB" w:rsidRDefault="006E440E" w:rsidP="0078692D">
                <w:pPr>
                  <w:shd w:val="clear" w:color="auto" w:fill="auto"/>
                  <w:rPr>
                    <w:b/>
                  </w:rPr>
                </w:pPr>
                <w:r w:rsidRPr="00ED18EB">
                  <w:rPr>
                    <w:b/>
                  </w:rPr>
                  <w:t>Mākslas zinātne</w:t>
                </w:r>
              </w:p>
            </w:tc>
          </w:sdtContent>
        </w:sdt>
      </w:tr>
      <w:tr w:rsidR="006E440E" w:rsidRPr="00ED18EB" w:rsidTr="0078692D">
        <w:tc>
          <w:tcPr>
            <w:tcW w:w="4219" w:type="dxa"/>
          </w:tcPr>
          <w:p w:rsidR="006E440E" w:rsidRPr="00ED18EB" w:rsidRDefault="006E440E" w:rsidP="0078692D">
            <w:pPr>
              <w:pStyle w:val="Nosaukumi"/>
            </w:pPr>
            <w:r w:rsidRPr="00ED18EB">
              <w:t>Kursa līmenis</w:t>
            </w:r>
          </w:p>
        </w:tc>
        <w:tc>
          <w:tcPr>
            <w:tcW w:w="5102" w:type="dxa"/>
          </w:tcPr>
          <w:p w:rsidR="006E440E" w:rsidRPr="00ED18EB" w:rsidRDefault="006E440E" w:rsidP="0078692D">
            <w:pPr>
              <w:shd w:val="clear" w:color="auto" w:fill="auto"/>
              <w:rPr>
                <w:lang w:eastAsia="lv-LV"/>
              </w:rPr>
            </w:pPr>
            <w:r w:rsidRPr="00ED18EB">
              <w:t>1.</w:t>
            </w:r>
          </w:p>
        </w:tc>
      </w:tr>
      <w:tr w:rsidR="006E440E" w:rsidRPr="00ED18EB" w:rsidTr="0078692D">
        <w:tc>
          <w:tcPr>
            <w:tcW w:w="4219" w:type="dxa"/>
          </w:tcPr>
          <w:p w:rsidR="006E440E" w:rsidRPr="00ED18EB" w:rsidRDefault="006E440E" w:rsidP="0078692D">
            <w:pPr>
              <w:pStyle w:val="Nosaukumi"/>
              <w:rPr>
                <w:u w:val="single"/>
              </w:rPr>
            </w:pPr>
            <w:r w:rsidRPr="00ED18EB">
              <w:t>Kredītpunkti</w:t>
            </w:r>
          </w:p>
        </w:tc>
        <w:tc>
          <w:tcPr>
            <w:tcW w:w="5102" w:type="dxa"/>
            <w:vAlign w:val="center"/>
          </w:tcPr>
          <w:p w:rsidR="006E440E" w:rsidRPr="00ED18EB" w:rsidRDefault="006E440E" w:rsidP="0078692D">
            <w:pPr>
              <w:shd w:val="clear" w:color="auto" w:fill="auto"/>
              <w:rPr>
                <w:lang w:eastAsia="lv-LV"/>
              </w:rPr>
            </w:pPr>
            <w:r w:rsidRPr="00ED18EB">
              <w:t>2</w:t>
            </w:r>
          </w:p>
        </w:tc>
      </w:tr>
      <w:tr w:rsidR="006E440E" w:rsidRPr="00ED18EB" w:rsidTr="0078692D">
        <w:tc>
          <w:tcPr>
            <w:tcW w:w="4219" w:type="dxa"/>
          </w:tcPr>
          <w:p w:rsidR="006E440E" w:rsidRPr="00ED18EB" w:rsidRDefault="006E440E" w:rsidP="0078692D">
            <w:pPr>
              <w:pStyle w:val="Nosaukumi"/>
              <w:rPr>
                <w:u w:val="single"/>
              </w:rPr>
            </w:pPr>
            <w:r w:rsidRPr="00ED18EB">
              <w:t>ECTS kredītpunkti</w:t>
            </w:r>
          </w:p>
        </w:tc>
        <w:tc>
          <w:tcPr>
            <w:tcW w:w="5102" w:type="dxa"/>
          </w:tcPr>
          <w:p w:rsidR="006E440E" w:rsidRPr="00ED18EB" w:rsidRDefault="006E440E" w:rsidP="0078692D">
            <w:pPr>
              <w:shd w:val="clear" w:color="auto" w:fill="auto"/>
            </w:pPr>
            <w:r w:rsidRPr="00ED18EB">
              <w:t>3</w:t>
            </w:r>
          </w:p>
        </w:tc>
      </w:tr>
      <w:tr w:rsidR="006E440E" w:rsidRPr="00ED18EB" w:rsidTr="0078692D">
        <w:tc>
          <w:tcPr>
            <w:tcW w:w="4219" w:type="dxa"/>
          </w:tcPr>
          <w:p w:rsidR="006E440E" w:rsidRPr="00ED18EB" w:rsidRDefault="006E440E" w:rsidP="0078692D">
            <w:pPr>
              <w:pStyle w:val="Nosaukumi"/>
            </w:pPr>
            <w:r w:rsidRPr="00ED18EB">
              <w:t>Kopējais kontaktstundu skaits</w:t>
            </w:r>
          </w:p>
        </w:tc>
        <w:tc>
          <w:tcPr>
            <w:tcW w:w="5102" w:type="dxa"/>
            <w:vAlign w:val="center"/>
          </w:tcPr>
          <w:p w:rsidR="006E440E" w:rsidRPr="00ED18EB" w:rsidRDefault="006E440E" w:rsidP="0078692D">
            <w:pPr>
              <w:shd w:val="clear" w:color="auto" w:fill="auto"/>
              <w:rPr>
                <w:lang w:eastAsia="lv-LV"/>
              </w:rPr>
            </w:pPr>
            <w:r w:rsidRPr="00ED18EB">
              <w:t>32</w:t>
            </w:r>
          </w:p>
        </w:tc>
      </w:tr>
    </w:tbl>
    <w:tbl>
      <w:tblPr>
        <w:tblStyle w:val="TableGrid"/>
        <w:tblW w:w="9321" w:type="dxa"/>
        <w:tblLayout w:type="fixed"/>
        <w:tblLook w:val="04A0" w:firstRow="1" w:lastRow="0" w:firstColumn="1" w:lastColumn="0" w:noHBand="0" w:noVBand="1"/>
      </w:tblPr>
      <w:tblGrid>
        <w:gridCol w:w="4219"/>
        <w:gridCol w:w="5102"/>
      </w:tblGrid>
      <w:tr w:rsidR="006E440E" w:rsidRPr="00ED18EB" w:rsidTr="0078692D">
        <w:tc>
          <w:tcPr>
            <w:tcW w:w="4219" w:type="dxa"/>
          </w:tcPr>
          <w:p w:rsidR="006E440E" w:rsidRPr="00ED18EB" w:rsidRDefault="006E440E" w:rsidP="0078692D">
            <w:pPr>
              <w:pStyle w:val="Nosaukumi2"/>
              <w:framePr w:wrap="around"/>
            </w:pPr>
            <w:r w:rsidRPr="00ED18EB">
              <w:t>Lekciju stundu skaits</w:t>
            </w:r>
          </w:p>
        </w:tc>
        <w:tc>
          <w:tcPr>
            <w:tcW w:w="5102" w:type="dxa"/>
          </w:tcPr>
          <w:p w:rsidR="006E440E" w:rsidRPr="00ED18EB" w:rsidRDefault="006E440E" w:rsidP="0078692D">
            <w:pPr>
              <w:shd w:val="clear" w:color="auto" w:fill="auto"/>
            </w:pPr>
            <w:r w:rsidRPr="00ED18EB">
              <w:t>24</w:t>
            </w:r>
          </w:p>
        </w:tc>
      </w:tr>
      <w:tr w:rsidR="006E440E" w:rsidRPr="00ED18EB" w:rsidTr="0078692D">
        <w:tc>
          <w:tcPr>
            <w:tcW w:w="4219" w:type="dxa"/>
          </w:tcPr>
          <w:p w:rsidR="006E440E" w:rsidRPr="00ED18EB" w:rsidRDefault="006E440E" w:rsidP="0078692D">
            <w:pPr>
              <w:pStyle w:val="Nosaukumi2"/>
              <w:framePr w:wrap="around"/>
            </w:pPr>
            <w:r w:rsidRPr="00ED18EB">
              <w:t>Semināru stundu skaits</w:t>
            </w:r>
          </w:p>
        </w:tc>
        <w:tc>
          <w:tcPr>
            <w:tcW w:w="5102" w:type="dxa"/>
          </w:tcPr>
          <w:p w:rsidR="006E440E" w:rsidRPr="00ED18EB" w:rsidRDefault="006E440E" w:rsidP="0078692D">
            <w:pPr>
              <w:shd w:val="clear" w:color="auto" w:fill="auto"/>
            </w:pPr>
            <w:r w:rsidRPr="00ED18EB">
              <w:t>8</w:t>
            </w:r>
          </w:p>
        </w:tc>
      </w:tr>
      <w:tr w:rsidR="006E440E" w:rsidRPr="00ED18EB" w:rsidTr="0078692D">
        <w:tc>
          <w:tcPr>
            <w:tcW w:w="4219" w:type="dxa"/>
          </w:tcPr>
          <w:p w:rsidR="006E440E" w:rsidRPr="00ED18EB" w:rsidRDefault="006E440E" w:rsidP="0078692D">
            <w:pPr>
              <w:pStyle w:val="Nosaukumi2"/>
              <w:framePr w:wrap="around"/>
            </w:pPr>
            <w:r w:rsidRPr="00ED18EB">
              <w:t>Praktisko darbu stundu skaits</w:t>
            </w:r>
          </w:p>
        </w:tc>
        <w:tc>
          <w:tcPr>
            <w:tcW w:w="5102" w:type="dxa"/>
          </w:tcPr>
          <w:p w:rsidR="006E440E" w:rsidRPr="00ED18EB" w:rsidRDefault="006E440E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6E440E" w:rsidRPr="00ED18EB" w:rsidTr="0078692D">
        <w:tc>
          <w:tcPr>
            <w:tcW w:w="4219" w:type="dxa"/>
          </w:tcPr>
          <w:p w:rsidR="006E440E" w:rsidRPr="00ED18EB" w:rsidRDefault="006E440E" w:rsidP="0078692D">
            <w:pPr>
              <w:pStyle w:val="Nosaukumi2"/>
              <w:framePr w:wrap="around"/>
            </w:pPr>
            <w:r w:rsidRPr="00ED18EB">
              <w:t>Individuālo darbu stundu skaits</w:t>
            </w:r>
          </w:p>
        </w:tc>
        <w:tc>
          <w:tcPr>
            <w:tcW w:w="5102" w:type="dxa"/>
          </w:tcPr>
          <w:p w:rsidR="006E440E" w:rsidRPr="00ED18EB" w:rsidRDefault="006E440E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6E440E" w:rsidRPr="00ED18EB" w:rsidTr="0078692D">
        <w:tc>
          <w:tcPr>
            <w:tcW w:w="4219" w:type="dxa"/>
          </w:tcPr>
          <w:p w:rsidR="006E440E" w:rsidRPr="00ED18EB" w:rsidRDefault="006E440E" w:rsidP="0078692D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vAlign w:val="center"/>
          </w:tcPr>
          <w:p w:rsidR="006E440E" w:rsidRPr="00ED18EB" w:rsidRDefault="006E440E" w:rsidP="0078692D">
            <w:pPr>
              <w:shd w:val="clear" w:color="auto" w:fill="auto"/>
              <w:rPr>
                <w:lang w:eastAsia="lv-LV"/>
              </w:rPr>
            </w:pPr>
            <w:r w:rsidRPr="00ED18EB">
              <w:t>48</w:t>
            </w:r>
          </w:p>
        </w:tc>
      </w:tr>
    </w:tbl>
    <w:tbl>
      <w:tblPr>
        <w:tblStyle w:val="TableGrid"/>
        <w:tblW w:w="9320" w:type="dxa"/>
        <w:tblLayout w:type="fixed"/>
        <w:tblLook w:val="04A0" w:firstRow="1" w:lastRow="0" w:firstColumn="1" w:lastColumn="0" w:noHBand="0" w:noVBand="1"/>
      </w:tblPr>
      <w:tblGrid>
        <w:gridCol w:w="9320"/>
      </w:tblGrid>
      <w:tr w:rsidR="006E440E" w:rsidRPr="00ED18EB" w:rsidTr="0078692D">
        <w:tc>
          <w:tcPr>
            <w:tcW w:w="9320" w:type="dxa"/>
          </w:tcPr>
          <w:p w:rsidR="006E440E" w:rsidRPr="00ED18EB" w:rsidRDefault="006E440E" w:rsidP="0078692D">
            <w:pPr>
              <w:shd w:val="clear" w:color="auto" w:fill="auto"/>
              <w:rPr>
                <w:lang w:eastAsia="lv-LV"/>
              </w:rPr>
            </w:pPr>
          </w:p>
        </w:tc>
      </w:tr>
      <w:tr w:rsidR="006E440E" w:rsidRPr="00ED18EB" w:rsidTr="0078692D">
        <w:tc>
          <w:tcPr>
            <w:tcW w:w="9320" w:type="dxa"/>
          </w:tcPr>
          <w:p w:rsidR="006E440E" w:rsidRPr="00ED18EB" w:rsidRDefault="006E440E" w:rsidP="0078692D">
            <w:pPr>
              <w:pStyle w:val="Nosaukumi"/>
            </w:pPr>
            <w:r w:rsidRPr="00ED18EB">
              <w:t>Kursa autors(–i)</w:t>
            </w:r>
          </w:p>
        </w:tc>
      </w:tr>
      <w:tr w:rsidR="006E440E" w:rsidRPr="00ED18EB" w:rsidTr="0078692D">
        <w:tc>
          <w:tcPr>
            <w:tcW w:w="9320" w:type="dxa"/>
          </w:tcPr>
          <w:p w:rsidR="006E440E" w:rsidRPr="00ED18EB" w:rsidRDefault="006E440E" w:rsidP="0078692D">
            <w:pPr>
              <w:shd w:val="clear" w:color="auto" w:fill="auto"/>
            </w:pPr>
            <w:r w:rsidRPr="00ED18EB">
              <w:t>Dr.art., viesprofesors Rytis Urniežius</w:t>
            </w:r>
          </w:p>
          <w:p w:rsidR="006E440E" w:rsidRPr="00ED18EB" w:rsidRDefault="006E440E" w:rsidP="0078692D">
            <w:pPr>
              <w:shd w:val="clear" w:color="auto" w:fill="auto"/>
            </w:pPr>
          </w:p>
        </w:tc>
      </w:tr>
      <w:tr w:rsidR="006E440E" w:rsidRPr="00ED18EB" w:rsidTr="0078692D">
        <w:tc>
          <w:tcPr>
            <w:tcW w:w="9320" w:type="dxa"/>
          </w:tcPr>
          <w:p w:rsidR="006E440E" w:rsidRPr="00ED18EB" w:rsidRDefault="006E440E" w:rsidP="0078692D">
            <w:pPr>
              <w:pStyle w:val="Nosaukumi"/>
            </w:pPr>
            <w:r w:rsidRPr="00ED18EB">
              <w:t>Kursa docētājs(–i)</w:t>
            </w:r>
          </w:p>
        </w:tc>
      </w:tr>
      <w:tr w:rsidR="006E440E" w:rsidRPr="00ED18EB" w:rsidTr="0078692D">
        <w:tc>
          <w:tcPr>
            <w:tcW w:w="9320" w:type="dxa"/>
          </w:tcPr>
          <w:p w:rsidR="006E440E" w:rsidRPr="00ED18EB" w:rsidRDefault="006E440E" w:rsidP="0078692D">
            <w:pPr>
              <w:shd w:val="clear" w:color="auto" w:fill="auto"/>
            </w:pPr>
            <w:r w:rsidRPr="00ED18EB">
              <w:t>Dr.art., viesprofesors Rišards Kšištofs Žoledzevskis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Mg.art., docents Vasilijs Šušerts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Mg.art., viesasistents Ruslans Margevičs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Mg.art., docents Dainis Vuškāns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Dr.art., viesprofesors Rytis Urniežius</w:t>
            </w:r>
          </w:p>
          <w:p w:rsidR="006E440E" w:rsidRPr="00ED18EB" w:rsidRDefault="006E440E" w:rsidP="0078692D">
            <w:pPr>
              <w:shd w:val="clear" w:color="auto" w:fill="auto"/>
            </w:pPr>
          </w:p>
        </w:tc>
      </w:tr>
      <w:tr w:rsidR="006E440E" w:rsidRPr="00ED18EB" w:rsidTr="0078692D">
        <w:tc>
          <w:tcPr>
            <w:tcW w:w="9320" w:type="dxa"/>
          </w:tcPr>
          <w:p w:rsidR="006E440E" w:rsidRPr="00ED18EB" w:rsidRDefault="006E440E" w:rsidP="0078692D">
            <w:pPr>
              <w:pStyle w:val="Nosaukumi"/>
            </w:pPr>
            <w:r w:rsidRPr="00ED18EB">
              <w:t>Priekšzināšanas</w:t>
            </w:r>
          </w:p>
        </w:tc>
      </w:tr>
      <w:tr w:rsidR="006E440E" w:rsidRPr="00ED18EB" w:rsidTr="0078692D">
        <w:tc>
          <w:tcPr>
            <w:tcW w:w="9320" w:type="dxa"/>
          </w:tcPr>
          <w:p w:rsidR="006E440E" w:rsidRPr="00ED18EB" w:rsidRDefault="006E440E" w:rsidP="0078692D">
            <w:pPr>
              <w:shd w:val="clear" w:color="auto" w:fill="auto"/>
            </w:pPr>
            <w:r w:rsidRPr="00ED18EB">
              <w:t>MākZ1598 Pūšaminstrumentu vēsture, repertuārs un stilistika I</w:t>
            </w:r>
          </w:p>
          <w:p w:rsidR="006E440E" w:rsidRPr="00ED18EB" w:rsidRDefault="006E440E" w:rsidP="0078692D">
            <w:pPr>
              <w:shd w:val="clear" w:color="auto" w:fill="auto"/>
            </w:pPr>
          </w:p>
        </w:tc>
      </w:tr>
      <w:tr w:rsidR="006E440E" w:rsidRPr="00ED18EB" w:rsidTr="0078692D">
        <w:tc>
          <w:tcPr>
            <w:tcW w:w="9320" w:type="dxa"/>
          </w:tcPr>
          <w:p w:rsidR="006E440E" w:rsidRPr="00ED18EB" w:rsidRDefault="006E440E" w:rsidP="0078692D">
            <w:pPr>
              <w:pStyle w:val="Nosaukumi"/>
            </w:pPr>
            <w:r w:rsidRPr="00ED18EB">
              <w:t xml:space="preserve">Studiju kursa anotācija </w:t>
            </w:r>
          </w:p>
        </w:tc>
      </w:tr>
      <w:tr w:rsidR="006E440E" w:rsidRPr="00ED18EB" w:rsidTr="0078692D">
        <w:tc>
          <w:tcPr>
            <w:tcW w:w="9320" w:type="dxa"/>
          </w:tcPr>
          <w:p w:rsidR="006E440E" w:rsidRPr="00ED18EB" w:rsidRDefault="006E440E" w:rsidP="0078692D">
            <w:pPr>
              <w:shd w:val="clear" w:color="auto" w:fill="auto"/>
            </w:pPr>
            <w:r w:rsidRPr="00ED18EB">
              <w:t>Kurss paredzēts profesionālās bakalaura studiju programmas "Mūzika" specializācijas moduļa “Pūšaminstrumenta spēle” studējošajiem.</w:t>
            </w:r>
          </w:p>
          <w:p w:rsidR="006E440E" w:rsidRPr="00ED18EB" w:rsidRDefault="006E440E" w:rsidP="0078692D">
            <w:pPr>
              <w:shd w:val="clear" w:color="auto" w:fill="auto"/>
            </w:pP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KURSA MĒRĶIS – apgūt Eiropas profesionālās pūšaminstrumentu mūzikas tradīcijas vēsturi, pūšaminstrumentu attīstību, to darbības veidus, repertuāru, skaņdarbu stilistiku.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KURSA UZDEVUMI – apskats par ansambļu un pūtēju orķestru instrumentācijas īpatnībām, instrumentu konstrukcijas izmaiņām, mākslinieciskās izteiksmes specifiku.</w:t>
            </w:r>
          </w:p>
          <w:p w:rsidR="006E440E" w:rsidRPr="00ED18EB" w:rsidRDefault="006E440E" w:rsidP="0078692D">
            <w:pPr>
              <w:shd w:val="clear" w:color="auto" w:fill="auto"/>
            </w:pPr>
          </w:p>
        </w:tc>
      </w:tr>
      <w:tr w:rsidR="006E440E" w:rsidRPr="00ED18EB" w:rsidTr="0078692D">
        <w:tc>
          <w:tcPr>
            <w:tcW w:w="9320" w:type="dxa"/>
          </w:tcPr>
          <w:p w:rsidR="006E440E" w:rsidRPr="00ED18EB" w:rsidRDefault="006E440E" w:rsidP="0078692D">
            <w:pPr>
              <w:pStyle w:val="Nosaukumi"/>
            </w:pPr>
            <w:r w:rsidRPr="00ED18EB">
              <w:t>Studiju kursa kalendārais plāns</w:t>
            </w:r>
          </w:p>
        </w:tc>
      </w:tr>
      <w:tr w:rsidR="006E440E" w:rsidRPr="00ED18EB" w:rsidTr="0078692D">
        <w:tc>
          <w:tcPr>
            <w:tcW w:w="9320" w:type="dxa"/>
          </w:tcPr>
          <w:p w:rsidR="006E440E" w:rsidRPr="00ED18EB" w:rsidRDefault="006E440E" w:rsidP="0078692D">
            <w:pPr>
              <w:shd w:val="clear" w:color="auto" w:fill="auto"/>
            </w:pPr>
            <w:r w:rsidRPr="00ED18EB">
              <w:t>II semestris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Kursa struktūra: lekcijas (L) – 24 stundas; semināri (S) – 8 stundas; patstāvīgais darbs (Pd) – 48 stundas</w:t>
            </w:r>
          </w:p>
          <w:p w:rsidR="006E440E" w:rsidRPr="00ED18EB" w:rsidRDefault="006E440E" w:rsidP="0078692D">
            <w:pPr>
              <w:shd w:val="clear" w:color="auto" w:fill="auto"/>
            </w:pP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 xml:space="preserve">Kontaktstundās paredzēts darbs ar teorētisko un praktisko materiālu – skaidrojumi, komentāri, powerpoint prezentācijas, dažādu stilu, žanru un kompozīcijas tehniku skaņdarbu analīzes vingrinājumi, radoši uzdevumi, dažādu metodisku paņēmienu pārbaudīšana praksē, interaktīvo metožu </w:t>
            </w:r>
            <w:r w:rsidRPr="00ED18EB">
              <w:lastRenderedPageBreak/>
              <w:t>pielietojums.</w:t>
            </w:r>
          </w:p>
          <w:p w:rsidR="006E440E" w:rsidRPr="00ED18EB" w:rsidRDefault="006E440E" w:rsidP="0078692D">
            <w:pPr>
              <w:shd w:val="clear" w:color="auto" w:fill="auto"/>
            </w:pP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1. Pūšaminstrumenti vidējā un vēlā romantisma komponistu daiļradē. L4, S2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2. Pūtēju orķestri un to mūzika 19.gs. L2, S2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3. Pūšaminstrumentu izmantošana 20.gs. L2, S2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4. Pūšaminstrumentu mūzika 19.gs. beigās – 20.gs. sākumā. L4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5. Pirmās mākslas mūzikas kompozīcijas pūtēju orķestrim 20.gs. L4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6. Pūšaminstrumenti kompozīcijas tehnikā pēc Otrā pasaules kara. L2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7. Pūtēju orķestris kā vide nopietnas mūzikas mākslas atskaņošanai 20.gs.otrajā pusē. L4, S2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 xml:space="preserve">8. Pūšaminstrumentu mūzika 21.gs. pirmajā ceturksnī. L2 </w:t>
            </w:r>
          </w:p>
          <w:p w:rsidR="006E440E" w:rsidRPr="00ED18EB" w:rsidRDefault="006E440E" w:rsidP="0078692D">
            <w:pPr>
              <w:shd w:val="clear" w:color="auto" w:fill="auto"/>
            </w:pPr>
          </w:p>
        </w:tc>
      </w:tr>
      <w:tr w:rsidR="006E440E" w:rsidRPr="00ED18EB" w:rsidTr="0078692D">
        <w:tc>
          <w:tcPr>
            <w:tcW w:w="9320" w:type="dxa"/>
          </w:tcPr>
          <w:p w:rsidR="006E440E" w:rsidRPr="00ED18EB" w:rsidRDefault="006E440E" w:rsidP="0078692D">
            <w:pPr>
              <w:pStyle w:val="Nosaukumi"/>
            </w:pPr>
            <w:r w:rsidRPr="00ED18EB">
              <w:lastRenderedPageBreak/>
              <w:t>Studiju rezultāti</w:t>
            </w:r>
          </w:p>
        </w:tc>
      </w:tr>
      <w:tr w:rsidR="006E440E" w:rsidRPr="00ED18EB" w:rsidTr="0078692D">
        <w:tc>
          <w:tcPr>
            <w:tcW w:w="9320" w:type="dxa"/>
          </w:tcPr>
          <w:p w:rsidR="006E440E" w:rsidRPr="00ED18EB" w:rsidRDefault="006E440E" w:rsidP="0078692D">
            <w:pPr>
              <w:shd w:val="clear" w:color="auto" w:fill="auto"/>
            </w:pPr>
            <w:r w:rsidRPr="00ED18EB">
              <w:t>ZINĀŠANAS</w:t>
            </w:r>
            <w:r w:rsidRPr="00ED18EB">
              <w:rPr>
                <w:lang w:eastAsia="ru-RU"/>
              </w:rPr>
              <w:t xml:space="preserve"> 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zināšanas par pūšaminstrumentu vēsturi;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zināšanas par svarīgākajām izmaiņām instrumentu konstrukcijā laika gaitā;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zināšanas par pūšaminstrumentu izmantošanas veidu dažādos laikmetos;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izpratne par pūšaminstrumentu spēles vispārīgajām stilistiskajām iezīmēm;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zināšanas par solo, ansambļa, orķestra un pūtēju orķestru repertuāra galvenajiem skaņdarbiem.</w:t>
            </w:r>
          </w:p>
          <w:p w:rsidR="006E440E" w:rsidRPr="00ED18EB" w:rsidRDefault="006E440E" w:rsidP="0078692D">
            <w:pPr>
              <w:shd w:val="clear" w:color="auto" w:fill="auto"/>
            </w:pP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PRASMES</w:t>
            </w:r>
            <w:r w:rsidRPr="00ED18EB">
              <w:rPr>
                <w:lang w:eastAsia="ru-RU"/>
              </w:rPr>
              <w:t xml:space="preserve"> 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spēja analizēt partitūras ar pūšaminstrumentu iekļāvumu dažādos vēsturiskos periodos;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spēja noteikt pūšaminstrumentu īpatnības, klausoties priekšnesumu;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spēja pielietot vēsturiskā konteksta zināšanas praksē.</w:t>
            </w:r>
          </w:p>
          <w:p w:rsidR="006E440E" w:rsidRPr="00ED18EB" w:rsidRDefault="006E440E" w:rsidP="0078692D">
            <w:pPr>
              <w:shd w:val="clear" w:color="auto" w:fill="auto"/>
            </w:pP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KOMPETENCE</w:t>
            </w:r>
            <w:r w:rsidRPr="00ED18EB">
              <w:rPr>
                <w:lang w:eastAsia="ru-RU"/>
              </w:rPr>
              <w:t xml:space="preserve"> 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spēja atšķirt un salīdzināt stilus, žanrus, kompozīcijas un to interpretācijas;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spēja identificēt un izvēlēties piemērotu solo izpildītāju repertuāru, ansambli, orķestri un pūtēju orķestri;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spēja novērtēt pūšaminstrumentu mūzikas attīstības procesus kultūras kontekstā.</w:t>
            </w:r>
          </w:p>
          <w:p w:rsidR="006E440E" w:rsidRPr="00ED18EB" w:rsidRDefault="006E440E" w:rsidP="0078692D">
            <w:pPr>
              <w:shd w:val="clear" w:color="auto" w:fill="auto"/>
            </w:pPr>
          </w:p>
        </w:tc>
      </w:tr>
      <w:tr w:rsidR="006E440E" w:rsidRPr="00ED18EB" w:rsidTr="0078692D">
        <w:tc>
          <w:tcPr>
            <w:tcW w:w="9320" w:type="dxa"/>
          </w:tcPr>
          <w:p w:rsidR="006E440E" w:rsidRPr="00ED18EB" w:rsidRDefault="006E440E" w:rsidP="0078692D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6E440E" w:rsidRPr="00ED18EB" w:rsidTr="0078692D">
        <w:tc>
          <w:tcPr>
            <w:tcW w:w="9320" w:type="dxa"/>
          </w:tcPr>
          <w:p w:rsidR="006E440E" w:rsidRPr="00ED18EB" w:rsidRDefault="006E440E" w:rsidP="0078692D">
            <w:pPr>
              <w:shd w:val="clear" w:color="auto" w:fill="auto"/>
            </w:pPr>
            <w:r w:rsidRPr="00ED18EB">
              <w:t>Studējošo patstāvīgais darbs (Pd) 48 stundas:</w:t>
            </w:r>
          </w:p>
          <w:p w:rsidR="006E440E" w:rsidRPr="00ED18EB" w:rsidRDefault="006E440E" w:rsidP="0078692D">
            <w:pPr>
              <w:shd w:val="clear" w:color="auto" w:fill="auto"/>
            </w:pP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II semestris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Ieteicamās literatūras izpēte par pūšaminstrumentu lietojumu solo, ansambļos, orķestrī un pūtēju orķestrī laikposmā no vidējā romantisma līdz 21.gs. sākumam. Klausīties atbilstošās mūzikas ierakstus, dažādas interpretācijas, salīdzināt un analizēt partitūras.</w:t>
            </w:r>
          </w:p>
          <w:p w:rsidR="006E440E" w:rsidRPr="00ED18EB" w:rsidRDefault="006E440E" w:rsidP="0078692D">
            <w:pPr>
              <w:shd w:val="clear" w:color="auto" w:fill="auto"/>
            </w:pPr>
          </w:p>
        </w:tc>
      </w:tr>
      <w:tr w:rsidR="006E440E" w:rsidRPr="00ED18EB" w:rsidTr="0078692D">
        <w:tc>
          <w:tcPr>
            <w:tcW w:w="9320" w:type="dxa"/>
          </w:tcPr>
          <w:p w:rsidR="006E440E" w:rsidRPr="00ED18EB" w:rsidRDefault="006E440E" w:rsidP="0078692D">
            <w:pPr>
              <w:pStyle w:val="Nosaukumi"/>
            </w:pPr>
            <w:r w:rsidRPr="00ED18EB">
              <w:t>Prasības kredītpunktu iegūšanai</w:t>
            </w:r>
          </w:p>
        </w:tc>
      </w:tr>
      <w:tr w:rsidR="006E440E" w:rsidRPr="00ED18EB" w:rsidTr="0078692D">
        <w:tc>
          <w:tcPr>
            <w:tcW w:w="9320" w:type="dxa"/>
          </w:tcPr>
          <w:p w:rsidR="006E440E" w:rsidRPr="00ED18EB" w:rsidRDefault="006E440E" w:rsidP="0078692D">
            <w:pPr>
              <w:shd w:val="clear" w:color="auto" w:fill="auto"/>
            </w:pPr>
            <w:r w:rsidRPr="00ED18EB">
              <w:rPr>
                <w:rStyle w:val="Style2Char"/>
              </w:rPr>
              <w:t>Pārbaudes veids</w:t>
            </w:r>
            <w:r w:rsidRPr="00ED18EB">
              <w:t xml:space="preserve"> – eksāmens.</w:t>
            </w:r>
          </w:p>
          <w:p w:rsidR="006E440E" w:rsidRPr="00ED18EB" w:rsidRDefault="006E440E" w:rsidP="0078692D">
            <w:pPr>
              <w:shd w:val="clear" w:color="auto" w:fill="auto"/>
            </w:pP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IZMANTOJAMĀS STUDIJU FORMAS – lekcijas, semināri, radošie patstāvīgie darbi, analītisks mutisks partitūru raksturojums no notīm, eksāmens.</w:t>
            </w:r>
          </w:p>
          <w:p w:rsidR="006E440E" w:rsidRPr="00ED18EB" w:rsidRDefault="006E440E" w:rsidP="0078692D">
            <w:pPr>
              <w:shd w:val="clear" w:color="auto" w:fill="auto"/>
            </w:pP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Pārbaudījumu prasības: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regulārs un aktīvs darbs semināros, demonstrējot instrumenta vēsturiskās evolūcijas būtības izpratni;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kvalitatīvi izpildīti kursa programmā norādītie patstāvīgie darbi: skaņdarba rakstiska analīze.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 xml:space="preserve">Studentu darbība studiju procesā šajā kursā tiek vērtēta pēc šādiem komponentiem: pūšaminstrumentu mūzika vēstures un repertuāra analīzes kompetence, teorijas un vēstures zināšanas. </w:t>
            </w:r>
          </w:p>
          <w:p w:rsidR="006E440E" w:rsidRPr="00ED18EB" w:rsidRDefault="006E440E" w:rsidP="0078692D">
            <w:pPr>
              <w:shd w:val="clear" w:color="auto" w:fill="auto"/>
            </w:pP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VĒRTĒŠANAS METODE: summatīvā (ar atzīmi).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 xml:space="preserve">PĀRBAUDĪJUMA FORMA: rakstiska (skaņdarba analīze), mutiska (teorētiskās zināšanas ilustrējot ar praktiskiem piemēriem). </w:t>
            </w:r>
          </w:p>
          <w:p w:rsidR="006E440E" w:rsidRPr="00ED18EB" w:rsidRDefault="006E440E" w:rsidP="0078692D">
            <w:pPr>
              <w:shd w:val="clear" w:color="auto" w:fill="auto"/>
            </w:pP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Studentu spēju attīstības līkne tiek vērtēta vairākas reizes semestrī, proti, semināra stundās un katra semestra noslēguma pārbaudījumā – eksāmenā. Kopvērtējumu sastāda: semināru vērtējums – 40%, eksāmens – 60%. Lai veicinātu zināšanu un prasmju vērtēšanas iemaņu attīstību, studenti tiek iesaistīti citu studentu kompetences rezultātu novērtēšanā.</w:t>
            </w:r>
          </w:p>
          <w:p w:rsidR="006E440E" w:rsidRPr="00ED18EB" w:rsidRDefault="006E440E" w:rsidP="0078692D">
            <w:pPr>
              <w:shd w:val="clear" w:color="auto" w:fill="auto"/>
            </w:pP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STUDIJU REZULTĀTU VĒRTĒŠANAS KRITĒRIJI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Studentu spēju attīstības līkne tiek vērtēta vairākas reizes semestrī, proti, semināra stundās un katra semestra noslēguma pārbaudījumā – ieskaitē vai eksāmenā. Kopvērtējumu sastāda: semināru vērtējums – 40%, ieskaite vai eksāmens – 60%. Lai veicinātu zināšanu un prasmju vērtēšanas iemaņu attīstību, studenti tiek iesaistīti citu studentu kompetences rezultātu novērtēšanā.</w:t>
            </w:r>
          </w:p>
          <w:p w:rsidR="006E440E" w:rsidRPr="00ED18EB" w:rsidRDefault="006E440E" w:rsidP="0078692D">
            <w:pPr>
              <w:shd w:val="clear" w:color="auto" w:fill="auto"/>
            </w:pP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Vērtēšanas kritēriji: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visaptverošas zināšanas par pūšamo instrumentu vēsturi;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izpratne par svarīgākajām izmaiņām instrumentu konstrukcijā noteiktā laika posmā;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visaptverošas zināšanas par pūšaminstrumentu izmantošanu dažādos laikmetos;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izpratne par pūšaminstrumentu vispārīgajām stilistiskajām iezīmēm dažādos laikmetos;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zināmo solo, ansambļa, orķestra un pūtēju orķestru repertuāra skaņdarbu daudzums;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pūtēju instrumentu partitūru analīzes pamatīgums un dziļums dažādos vēsturiskos periodos;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spēja precīzi raksturot un salīdzināt stilus, žanrus, kompozīcijas ar iesaistītajiem pūšaminstrumentiem;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pūšaminstrumentu mūzikas attīstības procesu novērtējuma pamatotība kultūras kontekstā.</w:t>
            </w:r>
          </w:p>
          <w:p w:rsidR="006E440E" w:rsidRPr="00ED18EB" w:rsidRDefault="006E440E" w:rsidP="0078692D">
            <w:pPr>
              <w:shd w:val="clear" w:color="auto" w:fill="auto"/>
            </w:pP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STUDIJU REZULTĀTU VĒRTĒŠANA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 xml:space="preserve">Izcili (10) 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 xml:space="preserve">– izcilas zināšanas par pūšaminstrumentu vēsturi; 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 xml:space="preserve">– skaidra izpratne par svarīgākajām izmaiņām pūšaminstrumentu konstrukcijā noteiktā laika posmā; 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 xml:space="preserve">– teicamas zināšanas par pūšaminstrumentu izmantošanu dažādos laikmetos; 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 xml:space="preserve">– padziļinātas zināšanas par pūšaminstrumentu vispārīgajām stilistiskajām iezīmēm dažādos laikmetos; 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 xml:space="preserve">– spēja nosaukt neskaitāmas kompozīcijas solo instrumentiem, ansambļiem, orķestrim un pūtēju orķestrim; 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 xml:space="preserve">– rūpīga un dziļa dažādu vēsturisko periodu skaņdarbu partitūru analīze; 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 xml:space="preserve">– spēja precīzi raksturot un salīdzināt pūšaminstrumentu kompozīciju žanrus un stilus; 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pūšaminstrumentu skaņdarbu attīstības procesu pamatots novērtējums mūzikas vēstures kontekstā.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Teicami (9)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visaptverošas zināšanas par pūšaminstrumentu vēsturi;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izpratne par svarīgākajām izmaiņām instrumentu konstrukcijā noteiktā laika posmā;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visaptverošas zināšanas par pūšaminstrumentu izmantošanu dažādos laikmetos;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visaptverošas zināšanas par pūšaminstrumentu vispārīgajām stilistiskajām iezīmēm dažādos laikmetos;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spēja nosaukt lielu skaitu skaņdarbu solo instrumentiem, ansambļiem, orķestrim un pūtēju orķestrim;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 xml:space="preserve">– dziļa dažādu vēsturisko periodu pūšaminstrumentu skaņdarbu partitūru analīze; 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 xml:space="preserve">– spēja precīzi raksturot un salīdzināt pūšaminstrumentu kompozīciju žanrus un stilus; 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pūšaminstrumentu skaņdarbu attīstības procesu pamatots novērtējums mūzikas vēstures kontekstā.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Ļoti labi (8)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labas zināšanas par pūšaminstrumentu vēsturi;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izpratne par svarīgākajām izmaiņām instrumentu konstrukcijā noteiktā laika posmā;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labas zināšanas par pūšaminstrumentu izmantošanu dažādos laikmetos;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labas zināšanas par pūšaminstrumentu vispārīgajām stilistiskajām iezīmēm dažādos laikmetos;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spēja nosaukt ievērojamu skaitu skaņdarbu solo instrumentiem, ansambļiem, orķestrim un pūtēju orķestrim;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 xml:space="preserve">– laba dažādu vēsturisko periodu pūšaminstrumentu skaņdarbu partitūru analīze; 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 xml:space="preserve">– spēja precīzi raksturot un salīdzināt pūšaminstrumentu kompozīciju žanrus un stilus; 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pūšaminstrumentu skaņdarbu attīstības procesu pamatots novērtējums mūzikas vēstures kontekstā.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Labi (7)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lastRenderedPageBreak/>
              <w:t>– viduvējas zināšanas par pūšaminstrumentu vēsturi;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daļēja izpratne par svarīgākajām izmaiņām pūšaminstrumentu konstrukcijā noteiktā laika posmā;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viduvējas zināšanas par pūšaminstrumentu izmantošanas veidu dažādos laikmetos;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viduvējas zināšanas par pūšaminstrumentu mūzikas vispārīgajām stilistiskajām iezīmēm dažādos laikmetos;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spēja nosaukt svarīgākos pūšaminstrumentu skaņdarbus solo instrumentiem, ansambļiem, orķestrim un pūtēju orķestrim;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 xml:space="preserve">– viduvējas spējas dažādu vēsturisko periodu pūšaminstrumentu skaņdarbu partitūru analīzē; 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viduvēja spēja raksturot un salīdzināt pūšaminstrumentu mūzikas stilus un žanrus;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viduvēja spēja novērtēt pūšaminstrumentu mūzikas attīstības procesus kultūras kontekstā.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Gandrīz labi (6)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pietiekamas zināšanas par pūšaminstrumentu vēsturi;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vispārēja izpratne par svarīgākajām izmaiņām pūšaminstrumentu konstrukcijā noteiktā laika posmā;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pietiekamas zināšanas par pūšaminstrumentu izmantošanu dažādos laikmetos;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pietiekamas zināšanas par pūšaminstrumentu mūzikas vispārīgajām stilistiskajām iezīmēm dažādos laikmetos;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spēja nosaukt vairākus nozīmīgus skaņdarbus solo instrumentiem, ansambļiem, orķestrim un pūšamo orķestrim;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 xml:space="preserve">– apmierinošas spējas dažādu vēsturisko periodu pūšaminstrumentu skaņdarbu partitūru analīzē; 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pietiekama spēja raksturot un salīdzināt pūšaminstrumentu mūzikas stilus un žanrus;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apmierinoša spēja novērtēt pūšaminstrumentu mūzikas attīstības procesus kultūras kontekstā.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Viduvēji (5)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nepilnīgas zināšanas par pūšaminstrumentu vēsturi;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nepilnīga izpratne par svarīgākajām izmaiņām instrumentu konstrukcijā noteiktā laika posmā;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nepilnīgas zināšanas par pūšaminstrumentu izmantošanu dažādos laikmetos;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nepilnīgas zināšanas par pūšaminstrumentu mūzikas stilistiskajām iezīmēm dažādos laikmetos;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spēja nosaukt dažus skaņdarbus solo instrumentiem, ansambļiem, orķestrim un pūtēju orķestrim;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elementāras spējas analizēt partitūras ar pūšaminstrumentu iekļavumu dažādu vēsturisko periodu skaņdarbos;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viduvēja spēja raksturot un salīdzināt pūšaminstrumentu mūzikas stilus un žanrus;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daļēji apmierinoša spēja novērtēt pūšaminstrumentu mūzikas attīstības procesus kultūras kontekstā.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Gandrīz viduvēji (4)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zemas zināšanas par pūšaminstrumentu vēsturi;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nepietiekamas zināšanas par svarīgākajām izmaiņām pūšaminstrumentu konstrukcijā noteiktā laika posmā;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nepietiekamas zināšanas par pūšaminstrumentu izmantošanas veidu dažādos laikmetos;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nepietiekamas zināšanas par pūšaminstrumentu mūzikas stilistiskajām iezīmēm dažādos laikmetos;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spēja nosaukt ļoti maz skaņdarbu solo instrumentiem, ansambļiem, orķestrim un pūtēju orķestrim;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neapmierinošas spējas analizēt partitūras ar pūšaminstrumentu iekļāvumu dažādu vēsturisko periodu skaņdarbos;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neapmierinoša spēja raksturot un salīdzināt pūšaminstrumentu mūzikas stilus un žanrus;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nespēj novērtēt pūšamās mūzikas attīstības procesus kultūras kontekstā.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Vāji (3)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neapmierinošas zināšanas par pūšaminstrumentu vēsturi;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nav zināšanu par svarīgākajām izmaiņām instrumentu konstrukcijā noteiktā laika posmā;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trūkst zināšanu par pūšaminstrumentu izmantošanu dažādos laikmetos;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trūkst zināšanu par pūšaminstrumentu mūzikas stilistiskajām iezīmēm dažādos laikmetos;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nespēj nosaukt dažus skaņdarbus solo instrumentiem, ansambļiem, orķestrim un pūtēju orķestrim;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nespēj analizēt partitūras ar pūšaminstrumentu iekļāvumu dažādu vēsturisko periodu skaņdarbos;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nespēja raksturot un salīdzināt pūšaminstrumentu mūzikas stilus un žanrus;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nespēja novērtēt pūšaminstrumentu mūzikas attīstības procesus kultūras kontekstā.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Ļoti vāji (2)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zināšanas par pūšaminstrumentu vēsturi ir minimālas;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nav zināšanu par svarīgākajām izmaiņām instrumentu konstrukcijā noteiktā laika posmā;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trūkst zināšanu par pūšaminstrumentu izmantošanu dažādos laikmetos;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lastRenderedPageBreak/>
              <w:t>– trūkst zināšanu par pūšaminstrumentu mūzikas stilistiskajām iezīmēm dažādos laikmetos;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nespēj nosaukt nevienu kompozīciju solo instrumentiem, ansambļiem, orķestrim un pūtēju orķestrim;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nespēj analizēt partitūras ar pūšaminstrumentu iekļāvumu dažādu vēsturisko periodu skaņdarbos;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pilnīga dažādas stilistikas un žanru pūšaminstrumentu skaņdarbu nezināšana;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nespēj novērtēt pūšaminstrumentu mūzikas attīstības procesus kultūras kontekstā.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Ļoti, ļoti vāji (1)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– pilnīga zināšanu neesamība nevienā studiju priekšmeta sadaļā.</w:t>
            </w:r>
          </w:p>
          <w:p w:rsidR="006E440E" w:rsidRPr="00ED18EB" w:rsidRDefault="006E440E" w:rsidP="0078692D">
            <w:pPr>
              <w:shd w:val="clear" w:color="auto" w:fill="auto"/>
            </w:pPr>
          </w:p>
        </w:tc>
      </w:tr>
      <w:tr w:rsidR="006E440E" w:rsidRPr="00ED18EB" w:rsidTr="0078692D">
        <w:tc>
          <w:tcPr>
            <w:tcW w:w="9320" w:type="dxa"/>
          </w:tcPr>
          <w:p w:rsidR="006E440E" w:rsidRPr="00ED18EB" w:rsidRDefault="006E440E" w:rsidP="0078692D">
            <w:pPr>
              <w:pStyle w:val="Nosaukumi"/>
            </w:pPr>
            <w:r w:rsidRPr="00ED18EB">
              <w:lastRenderedPageBreak/>
              <w:t>Kursa saturs</w:t>
            </w:r>
          </w:p>
        </w:tc>
      </w:tr>
      <w:tr w:rsidR="006E440E" w:rsidRPr="00ED18EB" w:rsidTr="0078692D">
        <w:tc>
          <w:tcPr>
            <w:tcW w:w="9320" w:type="dxa"/>
          </w:tcPr>
          <w:p w:rsidR="006E440E" w:rsidRPr="00ED18EB" w:rsidRDefault="006E440E" w:rsidP="0078692D">
            <w:pPr>
              <w:shd w:val="clear" w:color="auto" w:fill="auto"/>
            </w:pPr>
            <w:r w:rsidRPr="00ED18EB">
              <w:t>II semestris</w:t>
            </w:r>
          </w:p>
          <w:p w:rsidR="006E440E" w:rsidRPr="00ED18EB" w:rsidRDefault="006E440E" w:rsidP="0078692D">
            <w:pPr>
              <w:shd w:val="clear" w:color="auto" w:fill="auto"/>
            </w:pP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1. Pūšaminstrumenti vidējā un vēlā romantisma komponistu daiļradē. Kameransambļi un viņu mūzika. Vēlīnā romantisma orķestris (G. Mālers un R. Štrauss).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2. Pūšaminstrumentu grupas instrumentācija 19.gs. Britu pūtēju orķestra parādīšanās un attīstība. Nozīmīgākie komponistu romantiķu skaņdarbi pūtēju orķestrim.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3. Pūšaminstrumentu izmantošanas stilistiskās iezīmes 20.gs. Pūšaminstrumenti 20.gs. komponistu orķestra darbos un kamermūzikā.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4. Pūšaminstrumentu grupu instrumentācijas, attīstības un darbības īpatnības dažādās valstīs 19.gs. beigās – 20.gs. sākumā. Jauna attieksme pret pūšaminstrumentiem 20.gs. pirmajā pusē.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5. Mūzikas kompozīcijas pūtēju orķestrim 20.gs.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6. Pūšaminstrumentu lietojums dažādās kompozīcijas tehnikās pēc Otrā pasaules kara.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7. Pūtēju orķestris kā mūziķu kopa nopietnās mūzikas atskaņošanai 20.gs. otrajā pusē ASV un citās valstīs. Frederika Fennela pūšaminstrumentu ansambļa koncepcija. Pūtēju orķestru skaņdarbi, repertuārs un darbības jomas.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8. Pūšaminstrumentu mūzika 21.gs. pirmajā ceturksnī.</w:t>
            </w:r>
          </w:p>
          <w:p w:rsidR="006E440E" w:rsidRPr="00ED18EB" w:rsidRDefault="006E440E" w:rsidP="0078692D">
            <w:pPr>
              <w:shd w:val="clear" w:color="auto" w:fill="auto"/>
            </w:pPr>
          </w:p>
        </w:tc>
      </w:tr>
      <w:tr w:rsidR="006E440E" w:rsidRPr="00ED18EB" w:rsidTr="0078692D">
        <w:tc>
          <w:tcPr>
            <w:tcW w:w="9320" w:type="dxa"/>
          </w:tcPr>
          <w:p w:rsidR="006E440E" w:rsidRPr="00ED18EB" w:rsidRDefault="006E440E" w:rsidP="0078692D">
            <w:pPr>
              <w:pStyle w:val="Nosaukumi"/>
            </w:pPr>
            <w:r w:rsidRPr="00ED18EB">
              <w:t>Obligāti izmantojamie informācijas avoti</w:t>
            </w:r>
          </w:p>
        </w:tc>
      </w:tr>
      <w:tr w:rsidR="006E440E" w:rsidRPr="00ED18EB" w:rsidTr="0078692D">
        <w:tc>
          <w:tcPr>
            <w:tcW w:w="9320" w:type="dxa"/>
          </w:tcPr>
          <w:p w:rsidR="006E440E" w:rsidRPr="00ED18EB" w:rsidRDefault="006E440E" w:rsidP="0078692D">
            <w:pPr>
              <w:shd w:val="clear" w:color="auto" w:fill="auto"/>
            </w:pPr>
            <w:r w:rsidRPr="00ED18EB">
              <w:t>A Guide to Medieval and Renaissance Instruments (2020). Iowa State University. http://www.music.iastate.edu/antiqua/instrumt.html.</w:t>
            </w:r>
          </w:p>
          <w:p w:rsidR="006E440E" w:rsidRPr="00ED18EB" w:rsidRDefault="006E440E" w:rsidP="0078692D">
            <w:pPr>
              <w:shd w:val="clear" w:color="auto" w:fill="auto"/>
              <w:rPr>
                <w:lang w:val="en-GB"/>
              </w:rPr>
            </w:pPr>
            <w:r w:rsidRPr="00ED18EB">
              <w:t xml:space="preserve">Geiringer, K. (1978). Instruments in the History of Western Music. New York: Oxford University Press </w:t>
            </w:r>
            <w:r w:rsidRPr="00ED18EB">
              <w:rPr>
                <w:lang w:val="en-GB"/>
              </w:rPr>
              <w:t>http://www.survivorlibrary.com/library/instruments_in_the_history_of_western_music_1978.pdf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http://www.ibiblio.org/guruguha/MusicResearchLibrary/Books–English/BkE–CurtSachs–TheHistoryofMusicalInstruments–1940–0015.pdf.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 xml:space="preserve">Rhodes S. L. A History of the Wind Band. </w:t>
            </w:r>
            <w:hyperlink r:id="rId5" w:history="1">
              <w:r w:rsidRPr="00ED18EB">
                <w:t>https://ww2.lipscomb.edu/windbandhistory/</w:t>
              </w:r>
            </w:hyperlink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The Grove dictionary of musical instruments / edited by Laurence Libin. (2014). Second edition. Vol. 1., 2., 3., 4. New York: Oxford University Press.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 xml:space="preserve">The History of the Wind Band. Historical Information. </w:t>
            </w:r>
          </w:p>
          <w:p w:rsidR="006E440E" w:rsidRPr="00ED18EB" w:rsidRDefault="006E440E" w:rsidP="0078692D">
            <w:pPr>
              <w:shd w:val="clear" w:color="auto" w:fill="auto"/>
            </w:pPr>
            <w:hyperlink r:id="rId6" w:history="1">
              <w:r w:rsidRPr="00ED18EB">
                <w:t>https://www.academia.edu/23432897/History_of_the_Wind_Band</w:t>
              </w:r>
            </w:hyperlink>
            <w:r w:rsidRPr="00ED18EB">
              <w:t>.</w:t>
            </w:r>
          </w:p>
          <w:p w:rsidR="006E440E" w:rsidRPr="00ED18EB" w:rsidRDefault="006E440E" w:rsidP="0078692D">
            <w:pPr>
              <w:shd w:val="clear" w:color="auto" w:fill="auto"/>
            </w:pPr>
          </w:p>
        </w:tc>
      </w:tr>
      <w:tr w:rsidR="006E440E" w:rsidRPr="00ED18EB" w:rsidTr="0078692D">
        <w:tc>
          <w:tcPr>
            <w:tcW w:w="9320" w:type="dxa"/>
          </w:tcPr>
          <w:p w:rsidR="006E440E" w:rsidRPr="00ED18EB" w:rsidRDefault="006E440E" w:rsidP="0078692D">
            <w:pPr>
              <w:pStyle w:val="Nosaukumi"/>
            </w:pPr>
            <w:r w:rsidRPr="00ED18EB">
              <w:t>Papildus informācijas avoti</w:t>
            </w:r>
          </w:p>
        </w:tc>
      </w:tr>
      <w:tr w:rsidR="006E440E" w:rsidRPr="00ED18EB" w:rsidTr="0078692D">
        <w:tc>
          <w:tcPr>
            <w:tcW w:w="9320" w:type="dxa"/>
          </w:tcPr>
          <w:p w:rsidR="006E440E" w:rsidRPr="00ED18EB" w:rsidRDefault="006E440E" w:rsidP="0078692D">
            <w:pPr>
              <w:shd w:val="clear" w:color="auto" w:fill="auto"/>
            </w:pPr>
            <w:r w:rsidRPr="00ED18EB">
              <w:t>Morgan, R. (1991). Twentieth–Century Music: A History of Musical Style in Modern Europe and America. New York: W. W. Norton &amp; Company.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Sachs, C. (1940). The History of Musical Instruments.</w:t>
            </w:r>
          </w:p>
          <w:p w:rsidR="006E440E" w:rsidRPr="00ED18EB" w:rsidRDefault="006E440E" w:rsidP="0078692D"/>
        </w:tc>
      </w:tr>
      <w:tr w:rsidR="006E440E" w:rsidRPr="00ED18EB" w:rsidTr="0078692D">
        <w:tc>
          <w:tcPr>
            <w:tcW w:w="9320" w:type="dxa"/>
          </w:tcPr>
          <w:p w:rsidR="006E440E" w:rsidRPr="00ED18EB" w:rsidRDefault="006E440E" w:rsidP="0078692D">
            <w:pPr>
              <w:pStyle w:val="Nosaukumi"/>
            </w:pPr>
            <w:r w:rsidRPr="00ED18EB">
              <w:t>Periodika un citi informācijas avoti</w:t>
            </w:r>
          </w:p>
        </w:tc>
      </w:tr>
      <w:tr w:rsidR="006E440E" w:rsidRPr="00ED18EB" w:rsidTr="0078692D">
        <w:tc>
          <w:tcPr>
            <w:tcW w:w="9320" w:type="dxa"/>
          </w:tcPr>
          <w:p w:rsidR="006E440E" w:rsidRPr="00ED18EB" w:rsidRDefault="006E440E" w:rsidP="0078692D">
            <w:pPr>
              <w:shd w:val="clear" w:color="auto" w:fill="auto"/>
            </w:pPr>
            <w:r w:rsidRPr="00ED18EB">
              <w:t>Žurnāli:</w:t>
            </w:r>
            <w:r w:rsidRPr="00ED18EB">
              <w:rPr>
                <w:lang w:val="en-GB" w:eastAsia="lv-LV"/>
              </w:rPr>
              <w:t xml:space="preserve"> 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 xml:space="preserve">Contemporary Music Review. </w:t>
            </w:r>
            <w:hyperlink r:id="rId7" w:history="1">
              <w:r w:rsidRPr="00ED18EB">
                <w:rPr>
                  <w:rStyle w:val="Hyperlink"/>
                </w:rPr>
                <w:t>https://www.tandfonline.com/loi/gcmr20</w:t>
              </w:r>
            </w:hyperlink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 xml:space="preserve">Early Music Performer. </w:t>
            </w:r>
            <w:hyperlink r:id="rId8" w:history="1">
              <w:r w:rsidRPr="00ED18EB">
                <w:rPr>
                  <w:rStyle w:val="Hyperlink"/>
                </w:rPr>
                <w:t>https://www.earlymusic.info/Performer.php/</w:t>
              </w:r>
            </w:hyperlink>
          </w:p>
          <w:p w:rsidR="006E440E" w:rsidRPr="00ED18EB" w:rsidRDefault="006E440E" w:rsidP="0078692D"/>
        </w:tc>
      </w:tr>
      <w:tr w:rsidR="006E440E" w:rsidRPr="00ED18EB" w:rsidTr="0078692D">
        <w:tc>
          <w:tcPr>
            <w:tcW w:w="9320" w:type="dxa"/>
          </w:tcPr>
          <w:p w:rsidR="006E440E" w:rsidRPr="00ED18EB" w:rsidRDefault="006E440E" w:rsidP="0078692D">
            <w:pPr>
              <w:pStyle w:val="Nosaukumi"/>
            </w:pPr>
            <w:r w:rsidRPr="00ED18EB">
              <w:t>Piezīmes</w:t>
            </w:r>
          </w:p>
        </w:tc>
      </w:tr>
      <w:tr w:rsidR="006E440E" w:rsidRPr="00ED18EB" w:rsidTr="0078692D">
        <w:tc>
          <w:tcPr>
            <w:tcW w:w="9320" w:type="dxa"/>
          </w:tcPr>
          <w:p w:rsidR="006E440E" w:rsidRPr="00ED18EB" w:rsidRDefault="006E440E" w:rsidP="0078692D">
            <w:pPr>
              <w:shd w:val="clear" w:color="auto" w:fill="auto"/>
            </w:pPr>
            <w:r w:rsidRPr="00ED18EB">
              <w:t>Profesionālās bakalaura studiju programmas ”Mūzika” B1 daļa.</w:t>
            </w:r>
          </w:p>
          <w:p w:rsidR="006E440E" w:rsidRPr="00ED18EB" w:rsidRDefault="006E440E" w:rsidP="0078692D">
            <w:pPr>
              <w:shd w:val="clear" w:color="auto" w:fill="auto"/>
            </w:pPr>
            <w:r w:rsidRPr="00ED18EB">
              <w:t>Kursu apgūst latviešu vai angļu valodā.</w:t>
            </w:r>
          </w:p>
          <w:p w:rsidR="006E440E" w:rsidRPr="00ED18EB" w:rsidRDefault="006E440E" w:rsidP="0078692D">
            <w:pPr>
              <w:shd w:val="clear" w:color="auto" w:fill="auto"/>
            </w:pPr>
          </w:p>
        </w:tc>
      </w:tr>
    </w:tbl>
    <w:p w:rsidR="006E440E" w:rsidRPr="00ED18EB" w:rsidRDefault="006E440E" w:rsidP="006E440E">
      <w:r w:rsidRPr="00ED18EB">
        <w:lastRenderedPageBreak/>
        <w:br w:type="page"/>
      </w:r>
    </w:p>
    <w:p w:rsidR="00ED36EA" w:rsidRDefault="00ED36EA"/>
    <w:sectPr w:rsidR="00ED36EA" w:rsidSect="006E440E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40E"/>
    <w:rsid w:val="006E440E"/>
    <w:rsid w:val="00ED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40E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E440E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6E440E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6E440E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6E4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E440E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E440E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6E440E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6E440E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6E440E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6E440E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6E440E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44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40E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40E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E440E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6E440E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6E440E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6E4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E440E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E440E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6E440E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6E440E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6E440E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6E440E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6E440E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44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40E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arlymusic.info/Performer.php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andfonline.com/loi/gcmr2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academia.edu/23432897/History_of_the_Wind_Band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2.lipscomb.edu/windbandhistory/" TargetMode="Externa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8642B85497A4D46855E7DD7C5B490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E818FE-C2CB-4A8E-8B12-9B9DC3136FEA}"/>
      </w:docPartPr>
      <w:docPartBody>
        <w:p w:rsidR="00000000" w:rsidRDefault="00034381" w:rsidP="00034381">
          <w:pPr>
            <w:pStyle w:val="08642B85497A4D46855E7DD7C5B490E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381"/>
    <w:rsid w:val="00034381"/>
    <w:rsid w:val="0041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34381"/>
    <w:rPr>
      <w:color w:val="808080"/>
    </w:rPr>
  </w:style>
  <w:style w:type="paragraph" w:customStyle="1" w:styleId="08642B85497A4D46855E7DD7C5B490E1">
    <w:name w:val="08642B85497A4D46855E7DD7C5B490E1"/>
    <w:rsid w:val="0003438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34381"/>
    <w:rPr>
      <w:color w:val="808080"/>
    </w:rPr>
  </w:style>
  <w:style w:type="paragraph" w:customStyle="1" w:styleId="08642B85497A4D46855E7DD7C5B490E1">
    <w:name w:val="08642B85497A4D46855E7DD7C5B490E1"/>
    <w:rsid w:val="000343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9510</Words>
  <Characters>5421</Characters>
  <Application>Microsoft Office Word</Application>
  <DocSecurity>0</DocSecurity>
  <Lines>45</Lines>
  <Paragraphs>29</Paragraphs>
  <ScaleCrop>false</ScaleCrop>
  <Company/>
  <LinksUpToDate>false</LinksUpToDate>
  <CharactersWithSpaces>14902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2023-07-13T11:19:00Z</dcterms:created>
  <dcterms:modified xsi:type="dcterms:W3CDTF">2023-07-13T11:19:00Z</dcterms:modified>
</cp:coreProperties>
</file>