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EA" w:rsidRDefault="00ED36EA"/>
    <w:p w:rsidR="00594839" w:rsidRPr="00ED18EB" w:rsidRDefault="00594839" w:rsidP="00594839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594839" w:rsidRPr="00ED18EB" w:rsidRDefault="00594839" w:rsidP="00594839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594839" w:rsidRPr="00ED18EB" w:rsidRDefault="00594839" w:rsidP="00594839"/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39" w:rsidRPr="00ED18EB" w:rsidRDefault="00594839" w:rsidP="0078692D">
            <w:pPr>
              <w:pStyle w:val="Style1"/>
              <w:framePr w:wrap="around"/>
            </w:pPr>
            <w:bookmarkStart w:id="0" w:name="_Toc103779949"/>
            <w:bookmarkStart w:id="1" w:name="_GoBack"/>
            <w:r w:rsidRPr="00ED18EB">
              <w:t>Pūšaminstrumentu vēsture, repertuārs un stilistika</w:t>
            </w:r>
            <w:bookmarkEnd w:id="0"/>
            <w:r>
              <w:t xml:space="preserve"> DP</w:t>
            </w:r>
            <w:bookmarkEnd w:id="1"/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MākZ1597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342012260"/>
            <w:placeholder>
              <w:docPart w:val="0F692C0F33D84A6A81831AE5B1A30B7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594839" w:rsidRPr="00ED18EB" w:rsidRDefault="00594839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  <w:r w:rsidRPr="00ED18EB">
              <w:t>4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6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  <w:r w:rsidRPr="00ED18EB">
              <w:t>64</w:t>
            </w:r>
          </w:p>
        </w:tc>
      </w:tr>
    </w:tbl>
    <w:tbl>
      <w:tblPr>
        <w:tblStyle w:val="TableGrid"/>
        <w:tblW w:w="9321" w:type="dxa"/>
        <w:tblLayout w:type="fixed"/>
        <w:tblLook w:val="04A0" w:firstRow="1" w:lastRow="0" w:firstColumn="1" w:lastColumn="0" w:noHBand="0" w:noVBand="1"/>
      </w:tblPr>
      <w:tblGrid>
        <w:gridCol w:w="4219"/>
        <w:gridCol w:w="5102"/>
      </w:tblGrid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48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16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594839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  <w:r w:rsidRPr="00ED18EB">
              <w:t>96</w:t>
            </w:r>
          </w:p>
        </w:tc>
      </w:tr>
    </w:tbl>
    <w:tbl>
      <w:tblPr>
        <w:tblStyle w:val="TableGrid"/>
        <w:tblW w:w="9320" w:type="dxa"/>
        <w:tblLayout w:type="fixed"/>
        <w:tblLook w:val="04A0" w:firstRow="1" w:lastRow="0" w:firstColumn="1" w:lastColumn="0" w:noHBand="0" w:noVBand="1"/>
      </w:tblPr>
      <w:tblGrid>
        <w:gridCol w:w="9320"/>
      </w:tblGrid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39" w:rsidRPr="00ED18EB" w:rsidRDefault="00594839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Kursa autors(–i)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Priekšzināšanas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Mūzikas vēstures kurss.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rPr>
          <w:trHeight w:val="90"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Kurss paredzēts profesionālās bakalaura studiju programmas "Mūzika" specializācijas moduļa “Pūšaminstrumenta spēle” studējošajiem.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KURSA MĒRĶIS – apgūt Eiropas profesionālās pūšaminstrumentu mūzikas tradīcijas vēsturi, pūšaminstrumentu attīstību, to darbības veidus, repertuāru, skaņdarbu stilistiku.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KURSA UZDEVUMI – apskats par ansambļu un pūtēju orķestru instrumentācijas īpatnībām, instrumentu konstrukcijas izmaiņām, mākslinieciskās izteiksmes specifiku.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Kursa struktūra: lekcijas (L) – 48 stundas; semināri (S) – 16 stundas; patstāvīgais darbs (Pd) – 96 stundas. 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Kontaktstundās paredzēts darbs ar teorētisko un praktisko materiālu – skaidrojumi, komentāri, powerpoint prezentācijas, dažādu stilu, žanru un kompozīcijas tehniku skaņdarbu analīzes vingrinājumi, radoši uzdevumi, dažādu metodisku paņēmienu pārbaudīšana praksē, interaktīvo metožu </w:t>
            </w:r>
            <w:r w:rsidRPr="00ED18EB">
              <w:lastRenderedPageBreak/>
              <w:t>pielietojums.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 semestris 2KP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Kursa struktūra: lekcijas (L) – 24 stundas; semināri (S) – 8 stundas; patstāvīgais darbs (Pd) – 48 stundas.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1. Pūšaminstrumenti viduslaiku un Renesanses mūzikā. L4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2. Baroka instrumenti un ansambļi. L2,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3. Koncertorķestra dibināšana vidējā un vēlā baroka laikā. L2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4. Pūšaminstrumentu konstrukcijas attīstība klasicisma periodā. L4,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5. Pūšaminstrumentu izmantošana klasicisma komponistu darbos. L4,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6. Lielās Franču revolūcijas un Napoleona perioda pūšaminstrumentu mūzika. L2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7. Pūšaminstrumenti romantismā. L4,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8. Pūšaminstrumenti Hektora Berlioza un Riharda Vāgnera mūzikā. L2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II semestris 2KP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Kursa struktūra: lekcijas (L) – 24 stundas; semināri (S) – 8 stundas; patstāvīgais darbs (Pd) – 48 stundas.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1. Pūšaminstrumenti vidējā un vēlā romantisma komponistu daiļradē. L4,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2. Pūtēju orķestri un to mūzika 19.gs. L2,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3. Pūšaminstrumentu izmantošana 20.gs. L2,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4. Pūšaminstrumentu mūzika 19.gs. beigās – 20. gadsimta sākumā. L4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5. Pirmās mākslas mūzikas kompozīcijas pūtēju orķestrim 20.gs. L4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6. Pūšaminstrumenti kompozīcijas tehnikā pēc Otrā pasaules kara. L2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7. Pūtēju orķestris kā vide nopietnas mūzikas mākslas atskaņošanai 20.gs. otrajā pusē. L4, S2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8. Pūšaminstrumentu mūzika 21.gs. pirmajā ceturksnī. L2 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zināšanas par svarīgākajām izmaiņām instrumentu konstrukcijā laika gaitā;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zināšanas par pūšaminstrumentu izmantošanas veidu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izpratne par pūšaminstrumentu spēles vispārīgajām stilistiskajām iezīmēm;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zināšanas par solo, ansambļa, orķestra un pūtēju orķestru repertuāra galvenajiem skaņdarbiem.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analizēt partitūras ar pūšaminstrumentu iekļāvumu dažādos vēsturiskos periodos;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noteikt pūšaminstrumentu īpatnības, klausoties priekšnesumu;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pielietot vēsturiskā konteksta zināšanas praksē.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atšķirt un salīdzināt stilus, žanrus, kompozīcijas un to interpretācijas;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identificēt un izvēlēties piemērotu solo izpildītāju repertuāru, ansambli, orķestri un pūtēju orķestri;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Studējošo patstāvīgais darbs (Pd) 96 stundas: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 semestris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Ieteicamās literatūras izpēte par pūšaminstrumentu lietojumu solo, ansambļos, orķestrī un pūtēju orķestrī laikposmā no viduslaikiem līdz vidējam romantismam. Klausīties atbilstošās mūzikas ierakstus, dažādas interpretācijas, salīdzināt un analizēt partitūras. Pd48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II semestris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Ieteicamās literatūras izpēte par pūšaminstrumentu lietojumu solo, ansambļos, orķestrī un pūtēju orķestrī laikposmā no vidējā romantisma līdz 21.gs. sākumam. Klausīties atbilstošās mūzikas ierakstus, dažādas interpretācijas, salīdzināt un analizēt partitūras. Pd48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lastRenderedPageBreak/>
              <w:t>Prasības kredītpunktu iegūšanai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</w:t>
            </w:r>
            <w:r w:rsidRPr="00ED18EB">
              <w:t xml:space="preserve"> – eksāmens.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Izmantojamās studiju formas – lekcijas, semināri, radošie patstāvīgie darbi, analītisks mutisks partitūru raksturojums no notīm, ieskaite ar atzīmi un eksāmens.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Ieskaite ar atzīmi 1. semestrī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Eksāmens 2. semestrī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pStyle w:val="Style2"/>
              <w:shd w:val="clear" w:color="auto" w:fill="auto"/>
            </w:pPr>
            <w:r w:rsidRPr="00ED18EB">
              <w:t xml:space="preserve">Pārbaudījumu prasības: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regulārs un aktīvs darbs semināros, demonstrējot instrumenta vēsturiskās evolūcijas būtības izpratni;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kvalitatīvi izpildīti kursa programmā norādītie patstāvīgie darbi: skaņdarba rakstiska analīze.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Studentu darbība studiju procesā šajā kursā tiek vērtēta pēc šādiem komponentiem: pūšaminstrumentu mūzika vēstures un repertuāra analīzes kompetence, teorijas un vēstures zināšanas. 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Vērtēšanas metodes: summatīvā (ar atzīmi)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Pārbaudījuma forma: rakstiska (skaņdarba analīze), mutiska (teorētiskās zināšanas ilustrējot ar praktiskiem piemēriem). 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Studentu spēju attīstības līkne tiek vērtēta vairākas reizes semestrī, proti, semināra stundās un katra semestra noslēguma pārbaudījumā – ieskaitē vai eksāmenā. Kopvērtējumu sastāda: semināru vērtējums – 40%, ieskaite vai eksāmens – 60%. Lai veicinātu zināšanu un prasmju vērtēšanas iemaņu attīstību, studenti tiek iesaistīti citu studentu kompetences rezultātu novērtēšanā.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594839" w:rsidRPr="00ED18EB" w:rsidRDefault="00594839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Vērtēšanas kritēriji: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visaptverošas zināšanas par pūšamo 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izpratne par pūšaminstrumentu vispārīgajām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zināmo solo, ansambļa, orķestra un pūtēju orķestru repertuāra skaņdarbu daudzums;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pūtēju instrumentu partitūru analīzes pamatīgums un dziļums dažādos vēsturiskos periodos;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precīzi raksturot un salīdzināt stilus, žanrus, kompozīcijas ar iesaistītajiem pūšaminstrumentiem;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pūšaminstrumentu mūzikas attīstības procesu novērtējuma pamatotība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Izcili (10)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izcilas zināšanas par pūšaminstrumentu vēsturi;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skaidra izpratne par svarīgākajām izmaiņām pūšaminstrumentu konstrukcijā noteiktā laika posmā;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teicamas zināšanas par pūšaminstrumentu izmantošanu dažādos laikmetos;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padziļinātas zināšanas par pūšaminstrumentu vispārīgajām stilistiskajām iezīmēm dažādos laikmetos;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spēja nosaukt neskaitāmas kompozīcijas solo instrumentiem, ansambļiem, orķestrim un pūtēju orķestrim;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lastRenderedPageBreak/>
              <w:t xml:space="preserve">– rūpīga un dziļa dažādu vēsturisko periodu skaņdarbu partitūru analīze;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Teicami (9)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visaptverošas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visaptverošas zināšanas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visaptverošas zināšanas par pūšaminstrumentu vispārīgajām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lielu skaitu skaņdarbu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dziļa dažādu vēsturisko periodu pūšaminstrumentu skaņdarbu partitūru analīze;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Ļoti labi (8)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labas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izpratne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labas zināšanas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labas zināšanas par pūšaminstrumentu vispārīgajām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ievērojamu skaitu skaņdarbu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laba dažādu vēsturisko periodu pūšaminstrumentu skaņdarbu partitūru analīze;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spēja precīzi raksturot un salīdzināt pūšaminstrumentu kompozīciju žanrus un stilus;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pūšaminstrumentu skaņdarbu attīstības procesu pamatots novērtējums mūzikas vēstures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Labi (7)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daļēja izpratne par svarīgākajām izmaiņām pūšaminstrumentu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viduvējas zināšanas par pūšaminstrumentu izmantošanas veidu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viduvējas zināšanas par pūšaminstrumentu mūzikas vispārīgajām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svarīgākos pūšaminstrumentu skaņdarbus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viduvējas spējas dažādu vēsturisko periodu pūšaminstrumentu skaņdarbu partitūru analīzē;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 spēja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Gandrīz labi (6)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pietiekamas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vispārēja izpratne par svarīgākajām izmaiņām pūšaminstrumentu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pietiekamas zināšanas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pietiekamas zināšanas par pūšaminstrumentu mūzikas vispārīgajām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vairākus nozīmīgus skaņdarbus solo instrumentiem, ansambļiem, orķestrim un pūšamo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– apmierinošas spējas dažādu vēsturisko periodu pūšaminstrumentu skaņdarbu partitūru analīzē;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pietiekama spēja raksturot un salīdzināt pūšaminstrumentu mūzikas stilus un žanrus;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apmierinoša spēja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Viduvēji (5)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nepilnīgas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nepilnīga izpratne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nepilnīgas zināšanas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nepilnīgas zināšanas par pūšaminstrumentu mūzikas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dažus skaņdarbus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elementāras spējas analizēt partitūras ar pūšaminstrumentu iekļavumu dažādu vēsturisko periodu skaņdarbos;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viduvēja spēja raksturot un salīdzināt pūšaminstrumentu mūzikas stilus un žanrus;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daļēji apmierinoša spēja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lastRenderedPageBreak/>
              <w:t>Gandrīz viduvēji (4)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zemas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nepietiekamas zināšanas par svarīgākajām izmaiņām pūšaminstrumentu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nepietiekamas zināšanas par pūšaminstrumentu izmantošanas veidu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nepietiekamas zināšanas par pūšaminstrumentu mūzikas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spēja nosaukt ļoti maz skaņdarbu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neapmierinošas spējas analizēt partitūras ar pūšaminstrumentu iekļāvumu dažādu vēsturisko periodu skaņdarbos;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neapmierinoša spēja raksturot un salīdzināt pūšaminstrumentu mūzikas stilus un žanrus;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novērtēt pūšamās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Vāji (3)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neapmierinošas zināšanas par pūšaminstrumentu vēsturi;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trūkst zināšanu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trūkst zināšanu par pūšaminstrumentu mūzikas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nosaukt dažus skaņdarbus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nespēja raksturot un salīdzināt pūšaminstrumentu mūzikas stilus un žanrus;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nespēja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Ļoti vāji (2)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zināšanas par pūšaminstrumentu vēsturi ir minimālas;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nav zināšanu par svarīgākajām izmaiņām instrumentu konstrukcijā noteiktā laika posmā;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trūkst zināšanu par pūšaminstrumentu izmantošanu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trūkst zināšanu par pūšaminstrumentu mūzikas stilistiskajām iezīmēm dažādos laikmetos;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nosaukt nevienu kompozīciju solo instrumentiem, ansambļiem, orķestrim un pūtēju orķestrim;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analizēt partitūras ar pūšaminstrumentu iekļāvumu dažādu vēsturisko periodu skaņdarbos;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pilnīga dažādas stilistikas un žanru pūšaminstrumentu skaņdarbu nezināšana;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nespēj novērtēt pūšaminstrumentu mūzikas attīstības procesus kultūras kontekstā.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Ļoti, ļoti vāji (1)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– pilnīga zināšanu neesamība nevienā studiju priekšmeta sadaļā.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I semestris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1. Pūšaminstrumenti viduslaiku un renesanses mūzikā. Pūšaminstrumentu veidi, to versijas, uzbūves īpatnības, ansambļu pielietojuma instrumentu specifika. Pūšaminstrumenti renesanses laika komponistu skaņdarbos.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2. Baroka instrumenti. Pūšaminstrumenti dažādos ansambļos. Pūšaminstrumentu izmantošana agrīnā un vidējā baroka komponistu darbos.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3. Koncertorķestra dibināšana 17.gs. otrajā pusē, pūšaminstrumentu lietošanas īpatnības. Misiņa instrumentu klarino stils. Pūšaminstrumentu izmantošana vēlā baroka laika komponistu darbos.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4. Pūšaminstrumentu konstrukcijas attīstība klasicisma periodā. Simfoniskais orķestris.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5. Pūšaminstrumentu izmantošana Vīnes klasiķu komponistu darbos. </w:t>
            </w:r>
            <w:r w:rsidRPr="00ED18EB">
              <w:rPr>
                <w:i/>
              </w:rPr>
              <w:t>Harmoniemusik</w:t>
            </w:r>
            <w:r w:rsidRPr="00ED18EB">
              <w:t>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6. Lielās Franču revolūcijas un Napoleona perioda pūšaminstrumentu mūzika. Pūšaminstrumentu grupas lielo jaukto instrumentāciju izveidošana.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7. Pūšaminstrumenti romantisma laikā. Instrumentu konstruēšanas attīstība. Hromatiskā misiņa mehānisma izgudrojums un tā attīstība 19.gs. Saksofons.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8. Jaunievedumi Hektora Berlioza un Riharda Vāgnera orķestros.</w:t>
            </w:r>
          </w:p>
          <w:p w:rsidR="00594839" w:rsidRPr="00ED18EB" w:rsidRDefault="00594839" w:rsidP="0078692D">
            <w:pPr>
              <w:shd w:val="clear" w:color="auto" w:fill="auto"/>
            </w:pP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II semestris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1. Pūšaminstrumenti vidējā un vēlā romantisma komponistu daiļradē. Kameransambļi un viņu mūzika. Vēlīnā romantisma orķestris </w:t>
            </w:r>
            <w:proofErr w:type="gramStart"/>
            <w:r w:rsidRPr="00ED18EB">
              <w:t>(</w:t>
            </w:r>
            <w:proofErr w:type="gramEnd"/>
            <w:r w:rsidRPr="00ED18EB">
              <w:t>G. Mālers un R. Štrauss).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2. Pūšaminstrumentu grupas instrumentācija 19.gs. Britu pūtēju orķestra parādīšanās un attīstība. Nozīmīgākie komponistu romantiķu skaņdarbi pūtēju orķestrim.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lastRenderedPageBreak/>
              <w:t>3. Pūšaminstrumentu izmantošanas stilistiskās iezīmes 20.gs. Pūšaminstrumenti 20.gs. komponistu orķestra darbos un kamermūzikā.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4. Pūšaminstrumentu grupu instrumentācijas, attīstības un darbības īpatnības dažādās valstīs 19.gs. beigās – 20.gs. sākumā. Jauna attieksme pret pūšaminstrumentiem 20.gs. pirmajā pusē.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5. Mūzikas kompozīcijas pūtēju orķestrim 20.gs.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6. Pūšaminstrumentu lietojums dažādās kompozīcijas tehnikās pēc Otrā pasaules kara.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7. Pūtēju orķestris kā mūziķu kopa nopietnās mūzikas atskaņošanai 20.gs. otrajā pusē ASV un citās valstīs. Frederika Fennela pūšaminstrumentu ansambļa koncepcija. Pūtēju orķestru skaņdarbi, repertuārs un darbības jomas.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8. Pūšaminstrumentu mūzika 21.gs. pirmajā ceturksnī.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A Guide to Medieval and Renaissance Instruments (2020). Iowa State University. http://www.music.iastate.edu/antiqua/instrumt.html.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Geiringer, K. (1978). Instruments in the History of Western Music. New York: Oxford University Press </w:t>
            </w:r>
            <w:hyperlink r:id="rId5" w:history="1">
              <w:r w:rsidRPr="00ED18EB">
                <w:rPr>
                  <w:rStyle w:val="Hyperlink"/>
                  <w:lang w:val="en-GB"/>
                </w:rPr>
                <w:t>http://www.survivorlibrary.com/library/instruments_in_the_history_of_western_music_1978.pdf</w:t>
              </w:r>
            </w:hyperlink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Rhodes S. L. A History of the Wind Band. </w:t>
            </w:r>
            <w:hyperlink r:id="rId6" w:history="1">
              <w:r w:rsidRPr="00ED18EB">
                <w:rPr>
                  <w:rStyle w:val="Hyperlink"/>
                </w:rPr>
                <w:t>https://ww2.lipscomb.edu/windbandhistory/</w:t>
              </w:r>
            </w:hyperlink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http://www.ibiblio.org/guruguha/MusicResearchLibrary/Books–English/BkE–CurtSachs–TheHistoryofMusicalInstruments–1940–0015.pdf.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The History of the Wind Band. Historical Information. </w:t>
            </w:r>
          </w:p>
          <w:p w:rsidR="00594839" w:rsidRPr="00ED18EB" w:rsidRDefault="00594839" w:rsidP="0078692D">
            <w:pPr>
              <w:shd w:val="clear" w:color="auto" w:fill="auto"/>
            </w:pPr>
            <w:hyperlink r:id="rId7" w:history="1">
              <w:r w:rsidRPr="00ED18EB">
                <w:rPr>
                  <w:rStyle w:val="Hyperlink"/>
                </w:rPr>
                <w:t>https://www.academia.edu/23432897/History_of_the_Wind_Band</w:t>
              </w:r>
            </w:hyperlink>
            <w:r w:rsidRPr="00ED18EB">
              <w:t>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The Grove dictionary of musical instruments / edited by Laurence Libin. (2014). Second edition. Vol. 1., 2., 3., 4. New York: Oxford University Press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W.W. Norton &amp; Company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Sachs, C. (1940). The History of Musical Instruments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Contemporary Music Review. </w:t>
            </w:r>
            <w:hyperlink r:id="rId8" w:history="1">
              <w:r w:rsidRPr="00ED18EB">
                <w:rPr>
                  <w:rStyle w:val="Hyperlink"/>
                </w:rPr>
                <w:t>https://www.tandfonline.com/loi/gcmr20</w:t>
              </w:r>
            </w:hyperlink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 xml:space="preserve">Early Music Performer. </w:t>
            </w:r>
            <w:hyperlink r:id="rId9" w:history="1">
              <w:r w:rsidRPr="00ED18EB">
                <w:rPr>
                  <w:rStyle w:val="Hyperlink"/>
                </w:rPr>
                <w:t>https://www.earlymusic.info/Performer.php/</w:t>
              </w:r>
            </w:hyperlink>
          </w:p>
          <w:p w:rsidR="00594839" w:rsidRPr="00ED18EB" w:rsidRDefault="00594839" w:rsidP="0078692D">
            <w:pPr>
              <w:shd w:val="clear" w:color="auto" w:fill="auto"/>
            </w:pP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pStyle w:val="Nosaukumi"/>
            </w:pPr>
            <w:r w:rsidRPr="00ED18EB">
              <w:t>Piezīmes</w:t>
            </w:r>
          </w:p>
        </w:tc>
      </w:tr>
      <w:tr w:rsidR="00594839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39" w:rsidRPr="00ED18EB" w:rsidRDefault="00594839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594839" w:rsidRPr="00ED18EB" w:rsidRDefault="00594839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594839" w:rsidRPr="00ED18EB" w:rsidRDefault="00594839" w:rsidP="0078692D">
            <w:pPr>
              <w:shd w:val="clear" w:color="auto" w:fill="auto"/>
            </w:pPr>
          </w:p>
        </w:tc>
      </w:tr>
    </w:tbl>
    <w:p w:rsidR="00594839" w:rsidRPr="00ED18EB" w:rsidRDefault="00594839" w:rsidP="00594839">
      <w:pPr>
        <w:shd w:val="clear" w:color="auto" w:fill="auto"/>
        <w:rPr>
          <w:szCs w:val="22"/>
        </w:rPr>
        <w:sectPr w:rsidR="00594839" w:rsidRPr="00ED18EB" w:rsidSect="00CE578A">
          <w:pgSz w:w="11906" w:h="16838" w:code="9"/>
          <w:pgMar w:top="1418" w:right="1418" w:bottom="1418" w:left="1701" w:header="720" w:footer="720" w:gutter="0"/>
          <w:pgNumType w:start="478"/>
          <w:cols w:space="720"/>
          <w:docGrid w:linePitch="360"/>
        </w:sectPr>
      </w:pPr>
    </w:p>
    <w:p w:rsidR="00594839" w:rsidRDefault="00594839"/>
    <w:sectPr w:rsidR="00594839" w:rsidSect="00594839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39"/>
    <w:rsid w:val="00594839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3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9483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59483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9483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59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3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94839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94839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9483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9483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9483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9483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3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39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94839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594839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594839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59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839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94839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594839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594839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594839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594839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594839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39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loi/gcmr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ademia.edu/23432897/History_of_the_Wind_Ba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2.lipscomb.edu/windbandhistory/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://www.survivorlibrary.com/library/instruments_in_the_history_of_western_music_1978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arlymusic.info/Performer.php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F692C0F33D84A6A81831AE5B1A30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EB698-6C63-4461-93A2-355C6F2EF8F6}"/>
      </w:docPartPr>
      <w:docPartBody>
        <w:p w:rsidR="00000000" w:rsidRDefault="00072D9B" w:rsidP="00072D9B">
          <w:pPr>
            <w:pStyle w:val="0F692C0F33D84A6A81831AE5B1A30B7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9B"/>
    <w:rsid w:val="00072D9B"/>
    <w:rsid w:val="0014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D9B"/>
    <w:rPr>
      <w:color w:val="808080"/>
    </w:rPr>
  </w:style>
  <w:style w:type="paragraph" w:customStyle="1" w:styleId="0F692C0F33D84A6A81831AE5B1A30B77">
    <w:name w:val="0F692C0F33D84A6A81831AE5B1A30B77"/>
    <w:rsid w:val="00072D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D9B"/>
    <w:rPr>
      <w:color w:val="808080"/>
    </w:rPr>
  </w:style>
  <w:style w:type="paragraph" w:customStyle="1" w:styleId="0F692C0F33D84A6A81831AE5B1A30B77">
    <w:name w:val="0F692C0F33D84A6A81831AE5B1A30B77"/>
    <w:rsid w:val="00072D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10939</Words>
  <Characters>6236</Characters>
  <Application>Microsoft Office Word</Application>
  <DocSecurity>0</DocSecurity>
  <Lines>51</Lines>
  <Paragraphs>34</Paragraphs>
  <ScaleCrop>false</ScaleCrop>
  <Company/>
  <LinksUpToDate>false</LinksUpToDate>
  <CharactersWithSpaces>17141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2023-07-13T11:17:00Z</dcterms:created>
  <dcterms:modified xsi:type="dcterms:W3CDTF">2023-07-13T11:18:00Z</dcterms:modified>
</cp:coreProperties>
</file>