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B63" w:rsidRPr="00ED18EB" w:rsidRDefault="00ED3B63" w:rsidP="00ED3B63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ED3B63" w:rsidRPr="00ED18EB" w:rsidRDefault="00ED3B63" w:rsidP="00ED3B63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ED3B63" w:rsidRPr="00ED18EB" w:rsidRDefault="00ED3B63" w:rsidP="00ED3B63">
      <w:pPr>
        <w:shd w:val="clear" w:color="auto" w:fill="auto"/>
        <w:rPr>
          <w:szCs w:val="22"/>
        </w:rPr>
      </w:pPr>
    </w:p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ED3B6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63" w:rsidRPr="00ED18EB" w:rsidRDefault="00ED3B63" w:rsidP="0078692D">
            <w:pPr>
              <w:pStyle w:val="Style1"/>
              <w:framePr w:wrap="around"/>
            </w:pPr>
            <w:bookmarkStart w:id="0" w:name="_Toc103779987"/>
            <w:bookmarkStart w:id="1" w:name="_GoBack"/>
            <w:r w:rsidRPr="00ED18EB">
              <w:t>Pūšaminstrumenta spēle (saksofons) VII</w:t>
            </w:r>
            <w:bookmarkEnd w:id="0"/>
            <w:bookmarkEnd w:id="1"/>
          </w:p>
        </w:tc>
      </w:tr>
      <w:tr w:rsidR="00ED3B6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B63" w:rsidRPr="00ED18EB" w:rsidRDefault="00ED3B63" w:rsidP="0078692D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MākZ4493</w:t>
            </w:r>
          </w:p>
        </w:tc>
      </w:tr>
      <w:tr w:rsidR="00ED3B6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</w:rPr>
            <w:id w:val="745772553"/>
            <w:placeholder>
              <w:docPart w:val="24F431FEA7A04C30A83F5E52CAB7244D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D3B63" w:rsidRPr="00ED18EB" w:rsidRDefault="00ED3B63" w:rsidP="0078692D">
                <w:pPr>
                  <w:shd w:val="clear" w:color="auto" w:fill="auto"/>
                  <w:rPr>
                    <w:b/>
                    <w:vanish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ED3B6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shd w:val="clear" w:color="auto" w:fill="auto"/>
              <w:rPr>
                <w:lang w:eastAsia="lv-LV"/>
              </w:rPr>
            </w:pPr>
            <w:r w:rsidRPr="00ED18EB">
              <w:t>4.</w:t>
            </w:r>
          </w:p>
        </w:tc>
      </w:tr>
      <w:tr w:rsidR="00ED3B6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63" w:rsidRPr="00ED18EB" w:rsidRDefault="00ED3B63" w:rsidP="0078692D">
            <w:pPr>
              <w:shd w:val="clear" w:color="auto" w:fill="auto"/>
              <w:rPr>
                <w:lang w:eastAsia="lv-LV"/>
              </w:rPr>
            </w:pPr>
            <w:r w:rsidRPr="00ED18EB">
              <w:t>3</w:t>
            </w:r>
          </w:p>
        </w:tc>
      </w:tr>
      <w:tr w:rsidR="00ED3B6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shd w:val="clear" w:color="auto" w:fill="auto"/>
            </w:pPr>
            <w:r w:rsidRPr="00ED18EB">
              <w:t>4.5</w:t>
            </w:r>
          </w:p>
        </w:tc>
      </w:tr>
      <w:tr w:rsidR="00ED3B6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63" w:rsidRPr="00ED18EB" w:rsidRDefault="00ED3B63" w:rsidP="0078692D">
            <w:pPr>
              <w:shd w:val="clear" w:color="auto" w:fill="auto"/>
              <w:rPr>
                <w:lang w:eastAsia="lv-LV"/>
              </w:rPr>
            </w:pPr>
            <w:r w:rsidRPr="00ED18EB">
              <w:t>36</w:t>
            </w:r>
          </w:p>
        </w:tc>
      </w:tr>
    </w:tbl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ED3B6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ED3B6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ED3B6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ED3B6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shd w:val="clear" w:color="auto" w:fill="auto"/>
            </w:pPr>
            <w:r w:rsidRPr="00ED18EB">
              <w:t>36 (uz katru studējošo)</w:t>
            </w:r>
          </w:p>
        </w:tc>
      </w:tr>
      <w:tr w:rsidR="00ED3B63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B63" w:rsidRPr="00ED18EB" w:rsidRDefault="00ED3B63" w:rsidP="0078692D">
            <w:pPr>
              <w:shd w:val="clear" w:color="auto" w:fill="auto"/>
              <w:rPr>
                <w:lang w:eastAsia="lv-LV"/>
              </w:rPr>
            </w:pPr>
            <w:r w:rsidRPr="00ED18EB">
              <w:t>84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9320"/>
      </w:tblGrid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63" w:rsidRPr="00ED18EB" w:rsidRDefault="00ED3B63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"/>
            </w:pPr>
            <w:r w:rsidRPr="00ED18EB">
              <w:t>Kursa autors(–i)</w:t>
            </w: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63" w:rsidRPr="00ED18EB" w:rsidRDefault="00ED3B63" w:rsidP="0078692D">
            <w:pPr>
              <w:shd w:val="clear" w:color="auto" w:fill="auto"/>
            </w:pPr>
            <w:r w:rsidRPr="00ED18EB">
              <w:t>Dr. art., viesprofesors Rytis Urniežius</w:t>
            </w:r>
          </w:p>
          <w:p w:rsidR="00ED3B63" w:rsidRPr="00ED18EB" w:rsidRDefault="00ED3B63" w:rsidP="0078692D">
            <w:pPr>
              <w:shd w:val="clear" w:color="auto" w:fill="auto"/>
            </w:pP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"/>
            </w:pPr>
            <w:r w:rsidRPr="00ED18EB">
              <w:t>Kursa docētājs(–i)</w:t>
            </w: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63" w:rsidRPr="00ED18EB" w:rsidRDefault="00ED3B63" w:rsidP="0078692D">
            <w:pPr>
              <w:shd w:val="clear" w:color="auto" w:fill="auto"/>
            </w:pPr>
            <w:r w:rsidRPr="00ED18EB">
              <w:t>Dr.art., viesprofesors Rišards Kšištofs Žoledzevskis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Mg.art., docents Vasilijs Šušerts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Mg.art., viesasistents Ruslans Margevičs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 xml:space="preserve"> Mg.art., docents Dainis Vuškāns</w:t>
            </w:r>
          </w:p>
          <w:p w:rsidR="00ED3B63" w:rsidRPr="00ED18EB" w:rsidRDefault="00ED3B63" w:rsidP="0078692D">
            <w:pPr>
              <w:shd w:val="clear" w:color="auto" w:fill="auto"/>
            </w:pP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"/>
            </w:pPr>
            <w:r w:rsidRPr="00ED18EB">
              <w:t>Priekšzināšanas</w:t>
            </w: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63" w:rsidRPr="00ED18EB" w:rsidRDefault="00ED3B63" w:rsidP="0078692D">
            <w:pPr>
              <w:shd w:val="clear" w:color="auto" w:fill="auto"/>
            </w:pPr>
            <w:r w:rsidRPr="00ED18EB">
              <w:t>MākZ1591 Pūšaminstrumenta spēle (saksofons) I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MākZ1592 Pūšaminstrumenta spēle (saksofons) II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MākZ2642 Pūšaminstrumenta spēle (saksofons) III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MākZ2643 Pūšaminstrumenta spēle (saksofons) IV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MākZ3550 Pūšaminstrumenta spēle (saksofons) V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MākZ3551 Pūšaminstrumenta spēle (saksofons) VI</w:t>
            </w:r>
          </w:p>
          <w:p w:rsidR="00ED3B63" w:rsidRPr="00ED18EB" w:rsidRDefault="00ED3B63" w:rsidP="0078692D">
            <w:pPr>
              <w:shd w:val="clear" w:color="auto" w:fill="auto"/>
            </w:pP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"/>
            </w:pPr>
            <w:r w:rsidRPr="00ED18EB">
              <w:t xml:space="preserve">Studiju kursa anotācija </w:t>
            </w: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63" w:rsidRPr="00ED18EB" w:rsidRDefault="00ED3B63" w:rsidP="0078692D">
            <w:pPr>
              <w:shd w:val="clear" w:color="auto" w:fill="auto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specializācijas moduļa “Pūšaminstrumenta spēle” atbilstošā pūšaminstrumenta spēles moduļa “Pūšaminstrumenta spēle (saksofons)” studējošajiem.</w:t>
            </w:r>
          </w:p>
          <w:p w:rsidR="00ED3B63" w:rsidRPr="00ED18EB" w:rsidRDefault="00ED3B63" w:rsidP="0078692D">
            <w:pPr>
              <w:shd w:val="clear" w:color="auto" w:fill="auto"/>
              <w:rPr>
                <w:rStyle w:val="Style2Char"/>
              </w:rPr>
            </w:pP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rPr>
                <w:rStyle w:val="Style2Char"/>
              </w:rPr>
              <w:t>KURSA MĒRĶIS</w:t>
            </w:r>
            <w:r w:rsidRPr="00ED18EB">
              <w:t xml:space="preserve"> – sagatavot profesionālu saksofonistu, kurš spētu atskaņot dažādas sarežģītības skaņdarbus gan kā solists, gan ansamblī un orķestrī; veidot izglītotu mūziķi, kurš spēj novērtēt atskaņojuma interpretācijas tehnisko un māksliniecisko līmeni.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rPr>
                <w:rStyle w:val="Style2Char"/>
              </w:rPr>
              <w:t>KURSA UZDEVUMI</w:t>
            </w:r>
            <w:r w:rsidRPr="00ED18EB">
              <w:t xml:space="preserve"> – instrumenta spēles un māksliniecisko prasmju pilnveide un dažādu stilu repertuāra apguve.</w:t>
            </w:r>
          </w:p>
          <w:p w:rsidR="00ED3B63" w:rsidRPr="00ED18EB" w:rsidRDefault="00ED3B63" w:rsidP="0078692D">
            <w:pPr>
              <w:shd w:val="clear" w:color="auto" w:fill="auto"/>
            </w:pP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"/>
            </w:pPr>
            <w:r w:rsidRPr="00ED18EB">
              <w:t>Studiju kursa kalendārais plāns</w:t>
            </w: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63" w:rsidRPr="00ED18EB" w:rsidRDefault="00ED3B63" w:rsidP="0078692D">
            <w:pPr>
              <w:shd w:val="clear" w:color="auto" w:fill="auto"/>
            </w:pPr>
            <w:r w:rsidRPr="00ED18EB">
              <w:t>VII semestris 3KP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 xml:space="preserve">Kursa struktūra: individuālās praktiskās nodarbības (Ip) – 36 stundas (uz katru studējošo), patstāvīgais </w:t>
            </w:r>
            <w:r w:rsidRPr="00ED18EB">
              <w:lastRenderedPageBreak/>
              <w:t>darbs (Pd) – 84 stundas.</w:t>
            </w:r>
          </w:p>
          <w:p w:rsidR="00ED3B63" w:rsidRPr="00ED18EB" w:rsidRDefault="00ED3B63" w:rsidP="0078692D">
            <w:pPr>
              <w:shd w:val="clear" w:color="auto" w:fill="auto"/>
            </w:pP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Kontrolstunda.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Akadēmiskais koncerts.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Kolokvijs.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Ieskaite ar atzīmi.</w:t>
            </w:r>
          </w:p>
          <w:p w:rsidR="00ED3B63" w:rsidRPr="00ED18EB" w:rsidRDefault="00ED3B63" w:rsidP="0078692D">
            <w:pPr>
              <w:shd w:val="clear" w:color="auto" w:fill="auto"/>
            </w:pP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63" w:rsidRPr="00ED18EB" w:rsidRDefault="00ED3B63" w:rsidP="0078692D">
            <w:pPr>
              <w:shd w:val="clear" w:color="auto" w:fill="auto"/>
            </w:pPr>
            <w:r w:rsidRPr="00ED18EB">
              <w:t>ZINĀŠANAS</w:t>
            </w:r>
            <w:r w:rsidRPr="00ED18EB">
              <w:rPr>
                <w:lang w:eastAsia="ru-RU"/>
              </w:rPr>
              <w:t xml:space="preserve"> 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visaptverošas zināšanas par pūšaminstrumentu (īpaši saksofona) tehnoloģiju un atskaņojuma specifiku;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saksofona koncertrepertuāra skaņdarbu pārzināšana;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zināšanas par dažādiem pūšaminstrumentu mūzikas stiliem un žanriem;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mūzikas formveides vispārīgo principu izpratne.</w:t>
            </w:r>
          </w:p>
          <w:p w:rsidR="00ED3B63" w:rsidRPr="00ED18EB" w:rsidRDefault="00ED3B63" w:rsidP="0078692D">
            <w:pPr>
              <w:shd w:val="clear" w:color="auto" w:fill="auto"/>
            </w:pP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PRASMES</w:t>
            </w:r>
            <w:r w:rsidRPr="00ED18EB">
              <w:rPr>
                <w:lang w:eastAsia="ru-RU"/>
              </w:rPr>
              <w:t xml:space="preserve"> 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patstāvīgi atskaņot un interpretēt pūšaminstrumentu skaņdarbus;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izvēlēties un piemērot savā atskaņojumā piemērotus mūzikas izteiksmes līdzekļus;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izvēlēties koncertrepertuāru;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novērtēt citu mūziķu atskaņotā skaņdarba māksliniecisko interpretācijas līmeni;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atpazīt, analizēt, klasificēt, salīdzināt un pielietot atbilstošos mūzikas izteiksmes līdzekļus;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prasme lasīšanā no lapas.</w:t>
            </w:r>
          </w:p>
          <w:p w:rsidR="00ED3B63" w:rsidRPr="00ED18EB" w:rsidRDefault="00ED3B63" w:rsidP="0078692D">
            <w:pPr>
              <w:shd w:val="clear" w:color="auto" w:fill="auto"/>
            </w:pP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KOMPETENCE</w:t>
            </w:r>
            <w:r w:rsidRPr="00ED18EB">
              <w:rPr>
                <w:lang w:eastAsia="ru-RU"/>
              </w:rPr>
              <w:t xml:space="preserve"> 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spēja identificēt un analizēt teorētiskās un praktiskās problēmas, kas rodas, spēlējot saksofonu, un rast risinājumus;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spēja integrēt dažādu mūzikas priekšmetu zināšanas;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spēja izvēlēties un izmantot savā profesionālajā darbībā gan tradicionālās, gan jaunās informācijas tehnoloģijas;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spēja analizēt dažādus pūšaminstrumentu stilus un žanrus;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spēja ievērot profesionālo ētiku;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spēja komunicēt par pūšaminstrumentu atskaņotājmākslu.</w:t>
            </w:r>
          </w:p>
          <w:p w:rsidR="00ED3B63" w:rsidRPr="00ED18EB" w:rsidRDefault="00ED3B63" w:rsidP="0078692D">
            <w:pPr>
              <w:shd w:val="clear" w:color="auto" w:fill="auto"/>
            </w:pP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63" w:rsidRPr="00ED18EB" w:rsidRDefault="00ED3B63" w:rsidP="0078692D">
            <w:pPr>
              <w:shd w:val="clear" w:color="auto" w:fill="auto"/>
            </w:pPr>
            <w:r w:rsidRPr="00ED18EB">
              <w:t>Studējošo patstāvīgais darbs (Pd) 84 stundas tiek organizēts individuāli.</w:t>
            </w:r>
          </w:p>
          <w:p w:rsidR="00ED3B63" w:rsidRPr="00ED18EB" w:rsidRDefault="00ED3B63" w:rsidP="0078692D">
            <w:pPr>
              <w:shd w:val="clear" w:color="auto" w:fill="auto"/>
            </w:pP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Patstāvīgie uzdevumi: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instrumenta spēles tehniskās meistarības pilnveide;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lasīšanas no lapas prasmes pilnveide;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obligāti izmantojamo informācijas avotu studēšana;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dažādu interpretāciju video un audio materiālu salīdzināšana un izvērtēšana;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kolokvija jautājumu sagatavošana.</w:t>
            </w:r>
          </w:p>
          <w:p w:rsidR="00ED3B63" w:rsidRPr="00ED18EB" w:rsidRDefault="00ED3B63" w:rsidP="0078692D">
            <w:pPr>
              <w:shd w:val="clear" w:color="auto" w:fill="auto"/>
            </w:pP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"/>
            </w:pPr>
            <w:r w:rsidRPr="00ED18EB">
              <w:t>Prasības kredītpunktu iegūšanai</w:t>
            </w: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63" w:rsidRPr="00ED18EB" w:rsidRDefault="00ED3B63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Pārbaudes veids –</w:t>
            </w:r>
            <w:r w:rsidRPr="00ED18EB">
              <w:t xml:space="preserve"> ieskaite ar atzīmi.</w:t>
            </w:r>
          </w:p>
          <w:p w:rsidR="00ED3B63" w:rsidRPr="00ED18EB" w:rsidRDefault="00ED3B63" w:rsidP="0078692D">
            <w:pPr>
              <w:shd w:val="clear" w:color="auto" w:fill="auto"/>
            </w:pP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Izmantojamās studiju formas – individuālās praktiskās nodarbības, starppārbaudījumi – kontrolstundas, akadēmiskie koncerti, kolokviji, ieskaite ar atzīmi.</w:t>
            </w:r>
          </w:p>
          <w:p w:rsidR="00ED3B63" w:rsidRPr="00ED18EB" w:rsidRDefault="00ED3B63" w:rsidP="0078692D">
            <w:pPr>
              <w:shd w:val="clear" w:color="auto" w:fill="auto"/>
            </w:pP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Studiju kursa apguves pārbaudes formas: kontrolstunda, akadēmiskais koncerts – 25%, kolokvijs – 25%, ieskaite ar atzīmi – 50%. Regulārs nodarbību apmeklējums.</w:t>
            </w:r>
          </w:p>
          <w:p w:rsidR="00ED3B63" w:rsidRPr="00ED18EB" w:rsidRDefault="00ED3B63" w:rsidP="0078692D">
            <w:pPr>
              <w:shd w:val="clear" w:color="auto" w:fill="auto"/>
            </w:pP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rPr>
                <w:rStyle w:val="Style2Char"/>
              </w:rPr>
              <w:lastRenderedPageBreak/>
              <w:t>PĀRBAUDĪJUMU PRASĪBAS:</w:t>
            </w:r>
            <w:r w:rsidRPr="00ED18EB">
              <w:t xml:space="preserve"> 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atskaņot no galvas ieskaites ar atzīmi programmu.</w:t>
            </w:r>
          </w:p>
          <w:p w:rsidR="00ED3B63" w:rsidRPr="00ED18EB" w:rsidRDefault="00ED3B63" w:rsidP="0078692D">
            <w:pPr>
              <w:shd w:val="clear" w:color="auto" w:fill="auto"/>
            </w:pP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VII semestris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 xml:space="preserve">Kontrolstunda: 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etīde pēc izvēles.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Akadēmiskais koncerts: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viens skaņdarbs no noslēguma programmas (pēc notīm).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Kolokvijs.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Ieskaite ar atzīmi: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sym w:font="Symbol" w:char="F02D"/>
            </w:r>
            <w:r w:rsidRPr="00ED18EB">
              <w:t xml:space="preserve"> viens skaņdarbs no noslēguma programmas (no galvas).</w:t>
            </w:r>
          </w:p>
          <w:p w:rsidR="00ED3B63" w:rsidRPr="00ED18EB" w:rsidRDefault="00ED3B63" w:rsidP="0078692D">
            <w:pPr>
              <w:shd w:val="clear" w:color="auto" w:fill="auto"/>
            </w:pP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Pārbaudījuma forma: praktiska (programmas skaņdarbu atskaņošana).</w:t>
            </w:r>
          </w:p>
          <w:p w:rsidR="00ED3B63" w:rsidRPr="00ED18EB" w:rsidRDefault="00ED3B63" w:rsidP="0078692D">
            <w:pPr>
              <w:shd w:val="clear" w:color="auto" w:fill="auto"/>
            </w:pPr>
          </w:p>
          <w:p w:rsidR="00ED3B63" w:rsidRPr="00ED18EB" w:rsidRDefault="00ED3B63" w:rsidP="0078692D">
            <w:pPr>
              <w:pStyle w:val="Style2"/>
              <w:shd w:val="clear" w:color="auto" w:fill="auto"/>
            </w:pPr>
            <w:r w:rsidRPr="00ED18EB">
              <w:t>STUDIJU REZULTĀTU VĒRTĒŠANAS KRITĒRIJI</w:t>
            </w:r>
          </w:p>
          <w:p w:rsidR="00ED3B63" w:rsidRPr="00ED18EB" w:rsidRDefault="00ED3B63" w:rsidP="0078692D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 xml:space="preserve">apstiprināts DU Senāta sēdē 17.12.2018., protokols Nr. 15), vadoties pēc šādiem kritērijiem: iegūto zināšanu apjoms un kvalitāte, iegūtās prasmes un kompetence atbilstoši plānotajiem studiju rezultātiem. </w:t>
            </w:r>
          </w:p>
          <w:p w:rsidR="00ED3B63" w:rsidRPr="00ED18EB" w:rsidRDefault="00ED3B63" w:rsidP="0078692D">
            <w:pPr>
              <w:shd w:val="clear" w:color="auto" w:fill="auto"/>
            </w:pP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Studenta kompetenci kontrolstundā, akadēmiskajā koncertā, kolokvijā, ieskaitē ar atzīmi vērtē 10 ballu skalā.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Lai vērtētu studentu individuālo uzstāšanos, piemēroti sekojoši izvērtēšanas pamatkritēriji: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precīzs muzikālā teksta atskaņojums;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skaņas kvalitāte;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pareiza intonācija;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elastīga un droša tehnika;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pareiza dinamika un frāzes;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pareizi tempi un loģiska agoģika;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– skaņdarba interpretācija atbilstoši vēsturiskā perioda stila īpatnībām;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 xml:space="preserve">– mūzikas formas un dramaturģijas izpratne. </w:t>
            </w:r>
          </w:p>
          <w:p w:rsidR="00ED3B63" w:rsidRPr="00ED18EB" w:rsidRDefault="00ED3B63" w:rsidP="0078692D">
            <w:pPr>
              <w:shd w:val="clear" w:color="auto" w:fill="auto"/>
            </w:pPr>
          </w:p>
          <w:p w:rsidR="00ED3B63" w:rsidRPr="00ED18EB" w:rsidRDefault="00ED3B63" w:rsidP="0078692D">
            <w:pPr>
              <w:pStyle w:val="Style2"/>
              <w:shd w:val="clear" w:color="auto" w:fill="auto"/>
            </w:pPr>
            <w:r w:rsidRPr="00ED18EB">
              <w:t>STUDIJU REZULTĀTU VĒRTĒŠANA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10 (izcili) – zināšanas un prasmes pārsniedz studiju programmas prasības, prot tās patstāvīgi, radoši mākslinieciski lietot dažādās situācijās;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9 (teicami) – pilnā mērā apgūtas studiju programmas prasības, iegūta prasme patstāvīgi realizēt iemācīto, radoša pieeja;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8 (ļoti labi) – pilnā mērā apgūtas studiju programmas prasības, taču reizēm trūkst prasmes patstāvīgi radoši tās lietot;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7 (labi) – labi apgūtas studiju programmas prasības, taču vienlaikus konstatējami arī atsevišķi mazāk svarīgi trūkumi zināšanu un prasmju apguvē;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6 (gandrīz labi) – apgūtas studiju programmas prasības, taču atsevišķas nozīmīgas zināšanu un prasmju jomas ir nepietiekami stabilas un pārliecinošas;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5 (viduvēji) – visumā apgūtas studiju programmas prasības, kaut arī konstatējama vairāku būtisku zināšanu un iemaņu jomu nepietiekoša stabilitāte un pārvaldīšana;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3 (vāji) – zināšanas, prasmes un iemaņas ir ļoti minimālas, nav spēju tās praktiski lietot;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2 (ļoti vāji) – izrāda zināmu interesi, apgūtas atsevišķas zināšanas, prasmes un iemaņas, taču kopumā trūkst orientācijas un līmeņa;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1 (ļoti, ļoti vāji) – nav izpratnes par studiju kursa būtību un iemaņām tajā.</w:t>
            </w:r>
          </w:p>
          <w:p w:rsidR="00ED3B63" w:rsidRPr="00ED18EB" w:rsidRDefault="00ED3B63" w:rsidP="0078692D">
            <w:pPr>
              <w:shd w:val="clear" w:color="auto" w:fill="auto"/>
            </w:pP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"/>
            </w:pPr>
            <w:r w:rsidRPr="00ED18EB">
              <w:lastRenderedPageBreak/>
              <w:t>Kursa saturs</w:t>
            </w: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63" w:rsidRPr="00ED18EB" w:rsidRDefault="00ED3B63" w:rsidP="0078692D">
            <w:pPr>
              <w:shd w:val="clear" w:color="auto" w:fill="auto"/>
            </w:pPr>
            <w:r w:rsidRPr="00ED18EB">
              <w:t>Pūšaminstrumenta saksofons spēles tehnikas apguve.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Mūzikas izteiksmes līdzekļu padziļināta apguve.</w:t>
            </w:r>
          </w:p>
          <w:p w:rsidR="00ED3B63" w:rsidRPr="00ED18EB" w:rsidRDefault="00ED3B63" w:rsidP="0078692D">
            <w:pPr>
              <w:shd w:val="clear" w:color="auto" w:fill="auto"/>
            </w:pPr>
            <w:proofErr w:type="gramStart"/>
            <w:r w:rsidRPr="00ED18EB">
              <w:t>Dažādu stilu un žanru skaņdarbu saksofonam apguve</w:t>
            </w:r>
            <w:proofErr w:type="gramEnd"/>
            <w:r w:rsidRPr="00ED18EB">
              <w:t>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Lasīšanai no lapas nepieciešamo iemaņu pilnveide.</w:t>
            </w:r>
          </w:p>
          <w:p w:rsidR="00ED3B63" w:rsidRPr="00ED18EB" w:rsidRDefault="00ED3B63" w:rsidP="0078692D">
            <w:pPr>
              <w:shd w:val="clear" w:color="auto" w:fill="auto"/>
            </w:pP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63" w:rsidRPr="00ED18EB" w:rsidRDefault="00ED3B63" w:rsidP="0078692D">
            <w:pPr>
              <w:shd w:val="clear" w:color="auto" w:fill="auto"/>
            </w:pPr>
            <w:r w:rsidRPr="00ED18EB">
              <w:t>Etīdes: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Bozza, E. (2005). 12 Etudes–Caprices For Saxophone. ID: AL20313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Ferling, F. W. (2019). 48 études, op. 31, vol. 1: pour saxophone alto et piano. Billaudot.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Harris, P. (2016). More Graded Studies for Saxophone Book 1. Faber Music.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Harris, P. (2016). More Graded Studies for Saxophone Book 2. Faber Music.</w:t>
            </w:r>
          </w:p>
          <w:p w:rsidR="00ED3B63" w:rsidRPr="00ED18EB" w:rsidRDefault="00ED3B63" w:rsidP="0078692D">
            <w:pPr>
              <w:shd w:val="clear" w:color="auto" w:fill="auto"/>
            </w:pP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Sonātes, cikliskas kompozīcijas: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Bach, J. S. (2010). Sonata in G minor BWV1020. Edition for saxophone and piano. Universal edition.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Creston, P. (2019). Sonata for E–flat alto saxophone and piano. AST Publications.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Handel. G. F. (2005). Five famous Handel violin sonatas: for alto saxophone and keyboard. Carl Fischer Music.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Maurine, P. (1990). Tableux de Provanse. Editions Henry Lemoine.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Rueff, J. (2005). Sonate pour Alto Saxophone seul. Alphonse Ledu.c.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Tcherepnine, A. (2005). Sonatine sportive. Alphonse Ledu.c.</w:t>
            </w:r>
          </w:p>
          <w:p w:rsidR="00ED3B63" w:rsidRPr="00ED18EB" w:rsidRDefault="00ED3B63" w:rsidP="0078692D">
            <w:pPr>
              <w:shd w:val="clear" w:color="auto" w:fill="auto"/>
            </w:pP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Koncerti: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Arnold M. (2005). Concerto for Alto Saxophone and String Orchestra. Tewkesbury: Goodmusic.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Debussy, C. (2004). Rapsodie Pour Orchestre et Saxophone. Reduction for Alto Saxophone and Piano. Durand Editions Musicales.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Glazunov, A. (2010). Concerto in E–flat major for Alto Saxophone and String Orchestra. Piano Reduction. Bärenreiter.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Husa, K. (1972). Concerto for Alto Saxophone and Concert Band. New York: Associated Music Publishers.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Maslanka, D. (1999). Concerto for Alto Saxophone and Wind Ensemble. Piano Reduction. Carl Fischer Music.</w:t>
            </w:r>
          </w:p>
          <w:p w:rsidR="00ED3B63" w:rsidRPr="00ED18EB" w:rsidRDefault="00ED3B63" w:rsidP="0078692D">
            <w:pPr>
              <w:shd w:val="clear" w:color="auto" w:fill="auto"/>
            </w:pP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Solo skaņdarbi: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Bonneau, P. (1990). Suite pour saxophone alto et piano. Alphonse Ledu.c.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Bozza, E. (2002). Fantaisie Italienne pour saxophone alto et piano. Alphonse Ledu.c.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Classical Saxophone solos (1986). Ed. Both, Heinz. Schott.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Corelli, A. (2005). Adagio (Classiques No.49). Saxophone–Alto &amp; Piano. Alphonse Ledu.c.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Denisov, E. (1978). Deux pièces pour saxophone alto et piano. Alphonse Ledu.c.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Dukas, P. (1999). Alla Gitana for alto saxophone. Masters Music.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Friedmann, M. (2000). Classical solos: 12 pieces based on famous themes / Alto saxophone. De Haske.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Mendelssohn Bartholdy, F. (2005). Chanson de Printemps Op. 62 No. 6 in A major. Alphonse Ledu.c.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Quate, A. (1987). Light of Sothis for Alto Saxophone and Piano.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Ritter George, T. (1978). Introduction and Dance. San Antonio, Tex.: Southern Music. 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Rueff, J. (2005). Chanson &amp; Passepied. Alphonse Ledu.c.</w:t>
            </w:r>
          </w:p>
          <w:p w:rsidR="00ED3B63" w:rsidRPr="00ED18EB" w:rsidRDefault="00ED3B63" w:rsidP="0078692D">
            <w:pPr>
              <w:shd w:val="clear" w:color="auto" w:fill="auto"/>
            </w:pP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63" w:rsidRPr="00ED18EB" w:rsidRDefault="00ED3B63" w:rsidP="0078692D">
            <w:pPr>
              <w:pStyle w:val="Style2"/>
              <w:shd w:val="clear" w:color="auto" w:fill="auto"/>
            </w:pPr>
            <w:r w:rsidRPr="00ED18EB">
              <w:t>Ieteicamais repertuārs:</w:t>
            </w:r>
          </w:p>
          <w:p w:rsidR="00ED3B63" w:rsidRPr="00ED18EB" w:rsidRDefault="00ED3B63" w:rsidP="0078692D">
            <w:pPr>
              <w:shd w:val="clear" w:color="auto" w:fill="auto"/>
            </w:pP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VII semestris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Husa, K. Koncerts altsaksofonam un koncertgrupai.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Rufs, J. Sonāte altsaksofonam.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Arnolda M. Koncerts altsaksofonam un stīgu orķestrim.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Maslanka, D. Koncerts altsaksofonam un pūšamo ansamblim.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lastRenderedPageBreak/>
              <w:t>Debisī, C. Rapsodija saksofonam un orķestrim.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Maurīne, P. Tableux de Provanse.</w:t>
            </w:r>
          </w:p>
          <w:p w:rsidR="00ED3B63" w:rsidRPr="00ED18EB" w:rsidRDefault="00ED3B63" w:rsidP="0078692D">
            <w:pPr>
              <w:shd w:val="clear" w:color="auto" w:fill="auto"/>
            </w:pP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"/>
            </w:pPr>
            <w:r w:rsidRPr="00ED18EB">
              <w:lastRenderedPageBreak/>
              <w:t>Papildus informācijas avoti</w:t>
            </w: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63" w:rsidRPr="00ED18EB" w:rsidRDefault="00ED3B63" w:rsidP="0078692D">
            <w:pPr>
              <w:shd w:val="clear" w:color="auto" w:fill="auto"/>
            </w:pPr>
            <w:r w:rsidRPr="00ED18EB">
              <w:t xml:space="preserve">Harvey, P. (2001). Saxophone. Yehudi Menuhin Music Guides.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Heavner, T. L. (2013). Saxophone Secrets: 60 Performance Strategies for the Advanced Saxophonist. Scarecrow Press.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Morgan, R. (1991). Twentieth–Century Music: A History of Musical Style in Modern Europe and America. New York: W. W. Norton &amp; Company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 xml:space="preserve">Skinner D. (2013). The Saxophone Handbook: Complete Guide to Tone, Technique, and Performance. Berklee Press.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 xml:space="preserve">The Woodwind Player's Cookbook (2008). Edited by Charles West. Meredith Music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Weisberg, A (2007). The Art of Wind Playing. Meredith Music.</w:t>
            </w:r>
          </w:p>
          <w:p w:rsidR="00ED3B63" w:rsidRPr="00ED18EB" w:rsidRDefault="00ED3B63" w:rsidP="0078692D">
            <w:pPr>
              <w:shd w:val="clear" w:color="auto" w:fill="auto"/>
            </w:pP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"/>
            </w:pPr>
            <w:r w:rsidRPr="00ED18EB">
              <w:t>Periodika un citi informācijas avoti</w:t>
            </w: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63" w:rsidRPr="00ED18EB" w:rsidRDefault="00ED3B63" w:rsidP="0078692D">
            <w:pPr>
              <w:shd w:val="clear" w:color="auto" w:fill="auto"/>
            </w:pPr>
            <w:r w:rsidRPr="00ED18EB">
              <w:t>Žurnāli:</w:t>
            </w:r>
            <w:r w:rsidRPr="00ED18EB">
              <w:rPr>
                <w:lang w:val="en-GB" w:eastAsia="lv-LV"/>
              </w:rPr>
              <w:t xml:space="preserve"> 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 xml:space="preserve">Clarinet &amp; Saxophone Society of Great Britain. https://www.cassgb.org 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Contemporary Music Review. https://www.tandfonline.com/loi/gcmr20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Journal of Research in Music Education.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https://journals.sagepub.com/doi/abs/10.1177/0022429415583474?journalCode=jrmas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Performance Practice Review. https://scholarship.claremont.edu/ppr/</w:t>
            </w:r>
          </w:p>
          <w:p w:rsidR="00ED3B63" w:rsidRPr="00ED18EB" w:rsidRDefault="00ED3B63" w:rsidP="0078692D">
            <w:pPr>
              <w:shd w:val="clear" w:color="auto" w:fill="auto"/>
            </w:pP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63" w:rsidRPr="00ED18EB" w:rsidRDefault="00ED3B63" w:rsidP="0078692D">
            <w:pPr>
              <w:pStyle w:val="Nosaukumi"/>
            </w:pPr>
            <w:r w:rsidRPr="00ED18EB">
              <w:t>Piezīmes</w:t>
            </w:r>
          </w:p>
        </w:tc>
      </w:tr>
      <w:tr w:rsidR="00ED3B63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63" w:rsidRPr="00ED18EB" w:rsidRDefault="00ED3B63" w:rsidP="0078692D">
            <w:pPr>
              <w:shd w:val="clear" w:color="auto" w:fill="auto"/>
            </w:pPr>
            <w:r w:rsidRPr="00ED18EB">
              <w:t>Profesionālās bakalaura studiju programmas ”Mūzika” B1 daļa.</w:t>
            </w:r>
          </w:p>
          <w:p w:rsidR="00ED3B63" w:rsidRPr="00ED18EB" w:rsidRDefault="00ED3B63" w:rsidP="0078692D">
            <w:pPr>
              <w:shd w:val="clear" w:color="auto" w:fill="auto"/>
            </w:pPr>
            <w:r w:rsidRPr="00ED18EB">
              <w:t>Kursu apgūst latviešu vai angļu valodā.</w:t>
            </w:r>
          </w:p>
          <w:p w:rsidR="00ED3B63" w:rsidRPr="00ED18EB" w:rsidRDefault="00ED3B63" w:rsidP="0078692D">
            <w:pPr>
              <w:shd w:val="clear" w:color="auto" w:fill="auto"/>
              <w:jc w:val="both"/>
            </w:pPr>
            <w:r w:rsidRPr="00ED18EB">
              <w:t>Individuālo praktisko nodarbību kontaktstundas paredzētas katram studentam.</w:t>
            </w:r>
          </w:p>
          <w:p w:rsidR="00ED3B63" w:rsidRPr="00ED18EB" w:rsidRDefault="00ED3B63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  <w:r w:rsidRPr="00ED18EB">
              <w:rPr>
                <w:rFonts w:eastAsiaTheme="minorHAnsi"/>
                <w:bCs w:val="0"/>
                <w:iCs w:val="0"/>
              </w:rPr>
              <w:t>Koncertmeistara dalība individuālās nodarbībās 50%.</w:t>
            </w:r>
          </w:p>
          <w:p w:rsidR="00ED3B63" w:rsidRPr="00ED18EB" w:rsidRDefault="00ED3B63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</w:p>
        </w:tc>
      </w:tr>
    </w:tbl>
    <w:p w:rsidR="00ED3B63" w:rsidRPr="00ED18EB" w:rsidRDefault="00ED3B63" w:rsidP="00ED3B63">
      <w:pPr>
        <w:shd w:val="clear" w:color="auto" w:fill="auto"/>
        <w:autoSpaceDE/>
        <w:adjustRightInd/>
        <w:spacing w:after="160" w:line="256" w:lineRule="auto"/>
        <w:rPr>
          <w:b/>
          <w:i/>
          <w:szCs w:val="22"/>
        </w:rPr>
      </w:pPr>
      <w:r w:rsidRPr="00ED18EB">
        <w:rPr>
          <w:b/>
          <w:i/>
          <w:szCs w:val="22"/>
        </w:rPr>
        <w:br w:type="page"/>
      </w:r>
    </w:p>
    <w:p w:rsidR="00ED36EA" w:rsidRDefault="00ED36EA"/>
    <w:sectPr w:rsidR="00ED36E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63"/>
    <w:rsid w:val="00ED36EA"/>
    <w:rsid w:val="00ED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B63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link w:val="NosaukumiChar"/>
    <w:autoRedefine/>
    <w:qFormat/>
    <w:rsid w:val="00ED3B63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ED3B63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ED3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3B63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D3B63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ED3B63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ED3B63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ED3B63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ED3B63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ED3B63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B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B63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B63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link w:val="NosaukumiChar"/>
    <w:autoRedefine/>
    <w:qFormat/>
    <w:rsid w:val="00ED3B63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ED3B63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ED3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3B63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D3B63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ED3B63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ED3B63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ED3B63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ED3B63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ED3B63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B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B63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4F431FEA7A04C30A83F5E52CAB724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9103B-6B39-4DA6-97AF-1D4E04FFB2A1}"/>
      </w:docPartPr>
      <w:docPartBody>
        <w:p w:rsidR="00000000" w:rsidRDefault="004F4FDE" w:rsidP="004F4FDE">
          <w:pPr>
            <w:pStyle w:val="24F431FEA7A04C30A83F5E52CAB7244D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DE"/>
    <w:rsid w:val="001953AE"/>
    <w:rsid w:val="004F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4FDE"/>
    <w:rPr>
      <w:color w:val="808080"/>
    </w:rPr>
  </w:style>
  <w:style w:type="paragraph" w:customStyle="1" w:styleId="24F431FEA7A04C30A83F5E52CAB7244D">
    <w:name w:val="24F431FEA7A04C30A83F5E52CAB7244D"/>
    <w:rsid w:val="004F4F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4FDE"/>
    <w:rPr>
      <w:color w:val="808080"/>
    </w:rPr>
  </w:style>
  <w:style w:type="paragraph" w:customStyle="1" w:styleId="24F431FEA7A04C30A83F5E52CAB7244D">
    <w:name w:val="24F431FEA7A04C30A83F5E52CAB7244D"/>
    <w:rsid w:val="004F4F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6954</Words>
  <Characters>3965</Characters>
  <Application>Microsoft Office Word</Application>
  <DocSecurity>0</DocSecurity>
  <Lines>33</Lines>
  <Paragraphs>21</Paragraphs>
  <ScaleCrop>false</ScaleCrop>
  <Company/>
  <LinksUpToDate>false</LinksUpToDate>
  <CharactersWithSpaces>10898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2023-07-13T11:43:00Z</dcterms:created>
  <dcterms:modified xsi:type="dcterms:W3CDTF">2023-07-13T11:44:00Z</dcterms:modified>
</cp:coreProperties>
</file>