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ED" w:rsidRPr="00ED18EB" w:rsidRDefault="00AE6AED" w:rsidP="00AE6AE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E6AED" w:rsidRPr="00ED18EB" w:rsidRDefault="00AE6AED" w:rsidP="00AE6AE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E6AED" w:rsidRPr="00ED18EB" w:rsidRDefault="00AE6AED" w:rsidP="00AE6AED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pStyle w:val="Style1"/>
              <w:framePr w:wrap="around"/>
            </w:pPr>
            <w:bookmarkStart w:id="0" w:name="_Toc94194671"/>
            <w:bookmarkStart w:id="1" w:name="_Toc94237328"/>
            <w:bookmarkStart w:id="2" w:name="_Toc103773826"/>
            <w:bookmarkStart w:id="3" w:name="_Toc103779806"/>
            <w:proofErr w:type="spellStart"/>
            <w:r w:rsidRPr="00ED18EB">
              <w:t>Kamerdziedāšana</w:t>
            </w:r>
            <w:proofErr w:type="spellEnd"/>
            <w:r w:rsidRPr="00ED18EB">
              <w:t xml:space="preserve"> II</w:t>
            </w:r>
            <w:bookmarkEnd w:id="0"/>
            <w:bookmarkEnd w:id="1"/>
            <w:bookmarkEnd w:id="2"/>
            <w:bookmarkEnd w:id="3"/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MākZ3523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-804932401"/>
            <w:placeholder>
              <w:docPart w:val="11D7600546B14FB4A45EBDD3C9B1598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AE6AED" w:rsidRPr="00ED18EB" w:rsidRDefault="00AE6AED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3.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1,5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12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12 (uz katru studējošo)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28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MākZ2615 Kamerdziedāšana I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“Akadēmiskā dziedāšana” studentiem.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pilnveidot teorētiskās zināšanas un attīstīt praktiskās iemaņas, kuras ir nepieciešamas solo dziedātājam kamermūzikas atskaņošanā.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dažādu laikmetu, stilu, žanru dziesmu iepazīšanu un apguvi, muzikālās gaumes izkopšanu, melodiskās valodas loģikas apguvi, vokālo skaņdarbu formas izjūtas attīstību, kā arī studenta individuālo izpildītāja īpašību veidošanos un attīstību.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rPr>
          <w:trHeight w:val="50"/>
        </w:trPr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12 stundas uz katru studējošo,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28 stundas.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AE6AED" w:rsidRPr="00ED18EB" w:rsidTr="005E54E7">
              <w:tc>
                <w:tcPr>
                  <w:tcW w:w="9101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 semestris (12 stundas)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Krievu romance un tās atskaņošanas īpatnības) (</w:t>
                  </w:r>
                  <w:r w:rsidRPr="00ED18EB">
                    <w:t xml:space="preserve">M.Glinka, </w:t>
                  </w:r>
                  <w:proofErr w:type="spellStart"/>
                  <w:r w:rsidRPr="00ED18EB">
                    <w:t>A.Dargomižskis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lastRenderedPageBreak/>
                    <w:t>M.Balakirevs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A.Borodins</w:t>
                  </w:r>
                  <w:proofErr w:type="spellEnd"/>
                  <w:r w:rsidRPr="00ED18EB">
                    <w:t>, M.Musorgskis, N.Rimskis–Korsakovs, P.Čaikovskis u.c.).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lastRenderedPageBreak/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romances.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Emocionāli izteiksmīga un tembrāli </w:t>
                  </w:r>
                  <w:r w:rsidRPr="00ED18EB">
                    <w:lastRenderedPageBreak/>
                    <w:t xml:space="preserve">izlīdzināta skanējuma apguve, dziesmu apguve no galvas.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Mūzikas izteiksmes līdzekļu analīze un sižetiskās līnijas attīstības raksturojums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Mūzikas izteiksmes līdzekļu apguve skaņdarba satura un mākslinieciskā tēla atklāsmei un stilistiskai izpratnei (J.Brāmss, </w:t>
                  </w:r>
                  <w:proofErr w:type="spellStart"/>
                  <w:r w:rsidRPr="00ED18EB">
                    <w:t>Monjuško</w:t>
                  </w:r>
                  <w:proofErr w:type="spellEnd"/>
                  <w:r w:rsidRPr="00ED18EB">
                    <w:t xml:space="preserve">, A.Dvoržaks, H.Volfs, R.Štrauss, R.Vāgners, </w:t>
                  </w:r>
                  <w:proofErr w:type="spellStart"/>
                  <w:r w:rsidRPr="00ED18EB">
                    <w:t>A.Borodins</w:t>
                  </w:r>
                  <w:proofErr w:type="spellEnd"/>
                  <w:r w:rsidRPr="00ED18EB">
                    <w:t>, M.Gļinka, M.Musorgskis u.c.)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solodziesmas.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Emocionāli izteiksmīga un tembrāli izlīdzināta skanējuma apguve, dziesmu apguve no galvas.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Salīdzināt un izvērtēt vismaz trīs jebkura komponista brīvi izvēlēta viena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interpretācijas.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  <w:tabs>
                      <w:tab w:val="left" w:pos="561"/>
                    </w:tabs>
                    <w:ind w:right="43"/>
                  </w:pPr>
                  <w:r w:rsidRPr="00ED18EB">
                    <w:t xml:space="preserve">Ieskaite ar atzīmi: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ind w:left="357" w:hanging="357"/>
                  </w:pPr>
                  <w:r w:rsidRPr="00ED18EB">
                    <w:t>– krievu romance;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ind w:left="357" w:hanging="357"/>
                  </w:pPr>
                  <w:r w:rsidRPr="00ED18EB">
                    <w:t>– Rietumeiropas komponista solodziesma.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</w:tbl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AE6AED" w:rsidRPr="00ED18EB" w:rsidRDefault="00AE6AED" w:rsidP="005E54E7">
            <w:r w:rsidRPr="00ED18EB">
              <w:t>– demonstrē zināšanas par vokālās tehnikas elementiem, to izmantošanu dažādu stilu un žanru skaņdarbu atskaņošanā;</w:t>
            </w:r>
          </w:p>
          <w:p w:rsidR="00AE6AED" w:rsidRPr="00ED18EB" w:rsidRDefault="00AE6AED" w:rsidP="005E54E7">
            <w:r w:rsidRPr="00ED18EB">
              <w:t>– formulē galvenos partitūras analīzes aspektus;</w:t>
            </w:r>
          </w:p>
          <w:p w:rsidR="00AE6AED" w:rsidRPr="00ED18EB" w:rsidRDefault="00AE6AED" w:rsidP="005E54E7">
            <w:r w:rsidRPr="00ED18EB">
              <w:t>– raksturo būtiskākās iestudējamā skaņdarba stila un laikmeta iezīmes.</w:t>
            </w:r>
          </w:p>
          <w:p w:rsidR="00AE6AED" w:rsidRPr="00ED18EB" w:rsidRDefault="00AE6AED" w:rsidP="005E54E7">
            <w:r w:rsidRPr="00ED18EB">
              <w:t>– raksturo dikcijas, artikulācijas un ortoēpijas pamatnostādnes.</w:t>
            </w:r>
          </w:p>
          <w:p w:rsidR="00AE6AED" w:rsidRPr="00ED18EB" w:rsidRDefault="00AE6AED" w:rsidP="005E54E7">
            <w:pPr>
              <w:shd w:val="clear" w:color="auto" w:fill="auto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Prasmes </w:t>
            </w:r>
          </w:p>
          <w:p w:rsidR="00AE6AED" w:rsidRPr="00ED18EB" w:rsidRDefault="00AE6AED" w:rsidP="005E54E7">
            <w:r w:rsidRPr="00ED18EB">
              <w:t>– dzied dažādu laikmetu un stilu manierē;</w:t>
            </w:r>
          </w:p>
          <w:p w:rsidR="00AE6AED" w:rsidRPr="00ED18EB" w:rsidRDefault="00AE6AED" w:rsidP="005E54E7">
            <w:r w:rsidRPr="00ED18EB">
              <w:t>– variē izpildījuma manieri, nianses;</w:t>
            </w:r>
          </w:p>
          <w:p w:rsidR="00AE6AED" w:rsidRPr="00ED18EB" w:rsidRDefault="00AE6AED" w:rsidP="005E54E7">
            <w:r w:rsidRPr="00ED18EB">
              <w:t>– analizē vokālās grūtības un atrod to pārvarēšanas iespējas;</w:t>
            </w:r>
          </w:p>
          <w:p w:rsidR="00AE6AED" w:rsidRPr="00ED18EB" w:rsidRDefault="00AE6AED" w:rsidP="005E54E7">
            <w:r w:rsidRPr="00ED18EB">
              <w:t>– analizē vokālā skaņdarba izpildījumu.</w:t>
            </w:r>
          </w:p>
          <w:p w:rsidR="00AE6AED" w:rsidRPr="00ED18EB" w:rsidRDefault="00AE6AED" w:rsidP="005E54E7">
            <w:pPr>
              <w:pStyle w:val="Style2"/>
              <w:shd w:val="clear" w:color="auto" w:fill="auto"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AE6AED" w:rsidRPr="00ED18EB" w:rsidRDefault="00AE6AED" w:rsidP="005E54E7">
            <w:r w:rsidRPr="00ED18EB">
              <w:t>– veic skaņdarba māksliniecisko analīzi;</w:t>
            </w:r>
          </w:p>
          <w:p w:rsidR="00AE6AED" w:rsidRPr="00ED18EB" w:rsidRDefault="00AE6AED" w:rsidP="005E54E7">
            <w:r w:rsidRPr="00ED18EB">
              <w:t>– veido koncertprogrammas atbilstoši izvirzītajam mērķim, mērķauditorijai, muzikālo un vokālo spēju līmenim;</w:t>
            </w:r>
          </w:p>
          <w:p w:rsidR="00AE6AED" w:rsidRPr="00ED18EB" w:rsidRDefault="00AE6AED" w:rsidP="005E54E7">
            <w:r w:rsidRPr="00ED18EB">
              <w:t>– veido skaņdarba māksliniecisko izpildījumu adekvāti komponista iecerei;</w:t>
            </w:r>
          </w:p>
          <w:p w:rsidR="00AE6AED" w:rsidRPr="00ED18EB" w:rsidRDefault="00AE6AED" w:rsidP="005E54E7">
            <w:r w:rsidRPr="00ED18EB">
              <w:t>– veic repertuāra atlasi atbilstoši vokālajām iemaņām un muzikālajām spējām.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28 stundas tiek organizēts individuāli: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AE6AED" w:rsidRPr="00ED18EB" w:rsidRDefault="00AE6AED" w:rsidP="005E54E7">
            <w:r w:rsidRPr="00ED18EB">
              <w:t>– programmas skaņdarbu patstāvīga analīze un apguve; Pd18</w:t>
            </w:r>
          </w:p>
          <w:p w:rsidR="00AE6AED" w:rsidRPr="00ED18EB" w:rsidRDefault="00AE6AED" w:rsidP="005E54E7">
            <w:r w:rsidRPr="00ED18EB">
              <w:t>– tehniskās meistarības pilnveide; Pd5</w:t>
            </w:r>
          </w:p>
          <w:p w:rsidR="00AE6AED" w:rsidRPr="00ED18EB" w:rsidRDefault="00AE6AED" w:rsidP="005E54E7">
            <w:r w:rsidRPr="00ED18EB">
              <w:t>– lasīšana no lapas; Pd2</w:t>
            </w:r>
          </w:p>
          <w:p w:rsidR="00AE6AED" w:rsidRPr="00ED18EB" w:rsidRDefault="00AE6AED" w:rsidP="005E54E7">
            <w:r w:rsidRPr="00ED18EB">
              <w:t>– iepazīšanās ar dažādām interpretācijām, izmantojot video un audio materiālus, to salīdzināšana un izvērtēšana. Pd3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ieskaite ar atzīmi.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lastRenderedPageBreak/>
              <w:t>normatīvajiem aktiem un atbilstoši "Nolikumam par studijām Daugavpils Universitātē" (apstiprināts DU Senāta sēdē 17.12.2018.,  protokols Nr. 15).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V semestris: 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Ieskaite ar atzīmi: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Atskaņot no galvas:</w:t>
            </w:r>
          </w:p>
          <w:p w:rsidR="00AE6AED" w:rsidRPr="00ED18EB" w:rsidRDefault="00AE6AED" w:rsidP="005E54E7">
            <w:pPr>
              <w:shd w:val="clear" w:color="auto" w:fill="auto"/>
              <w:ind w:left="357" w:hanging="357"/>
            </w:pPr>
            <w:r w:rsidRPr="00ED18EB">
              <w:t>– krievu romance;</w:t>
            </w:r>
          </w:p>
          <w:p w:rsidR="00AE6AED" w:rsidRPr="00ED18EB" w:rsidRDefault="00AE6AED" w:rsidP="005E54E7">
            <w:pPr>
              <w:shd w:val="clear" w:color="auto" w:fill="auto"/>
              <w:ind w:left="357" w:hanging="357"/>
            </w:pPr>
            <w:r w:rsidRPr="00ED18EB">
              <w:t>– Rietumeiropas komponista solodziesma.</w:t>
            </w:r>
          </w:p>
          <w:p w:rsidR="00AE6AED" w:rsidRPr="00ED18EB" w:rsidRDefault="00AE6AED" w:rsidP="005E54E7">
            <w:pPr>
              <w:shd w:val="clear" w:color="auto" w:fill="auto"/>
              <w:contextualSpacing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AE6AED" w:rsidRPr="00ED18EB" w:rsidRDefault="00AE6AED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ieskaitē un eksāmenā vērtē 10 ballu skalā.</w:t>
            </w:r>
          </w:p>
          <w:p w:rsidR="00AE6AED" w:rsidRPr="00ED18EB" w:rsidRDefault="00AE6AED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AE6AED" w:rsidRPr="00ED18EB" w:rsidRDefault="00AE6AED" w:rsidP="005E54E7">
            <w:r w:rsidRPr="00ED18EB">
              <w:t>– repertuāra atbilstība studiju kursa programmas prasībām;</w:t>
            </w:r>
          </w:p>
          <w:p w:rsidR="00AE6AED" w:rsidRPr="00ED18EB" w:rsidRDefault="00AE6AED" w:rsidP="005E54E7">
            <w:r w:rsidRPr="00ED18EB">
              <w:t>– uzstāšanās kultūra (uzvedība, stāja un artistiskums);</w:t>
            </w:r>
          </w:p>
          <w:p w:rsidR="00AE6AED" w:rsidRPr="00ED18EB" w:rsidRDefault="00AE6AED" w:rsidP="005E54E7">
            <w:r w:rsidRPr="00ED18EB">
              <w:t>– skaņdarba teksts;</w:t>
            </w:r>
          </w:p>
          <w:p w:rsidR="00AE6AED" w:rsidRPr="00ED18EB" w:rsidRDefault="00AE6AED" w:rsidP="005E54E7">
            <w:r w:rsidRPr="00ED18EB">
              <w:t>– stils un žanrs;</w:t>
            </w:r>
          </w:p>
          <w:p w:rsidR="00AE6AED" w:rsidRPr="00ED18EB" w:rsidRDefault="00AE6AED" w:rsidP="005E54E7">
            <w:r w:rsidRPr="00ED18EB">
              <w:t>– 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AE6AED" w:rsidRPr="00ED18EB" w:rsidRDefault="00AE6AED" w:rsidP="005E54E7">
            <w:r w:rsidRPr="00ED18EB">
              <w:t>– atskaņojuma mākslinieciskais sniegums (saturs, tēls, forma, dinamika, frāzējums, oriģinalitāte u.c.).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Dažāda rakstura skaņdarbu apguve.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izteiksmes līdzekļu apguve skaņdarba satura un mākslinieciskā tēla atklāsmei.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Sarežģītākas muzikālās struktūras </w:t>
            </w:r>
            <w:proofErr w:type="spellStart"/>
            <w:r w:rsidRPr="00ED18EB">
              <w:t>kamerskaņdarbu</w:t>
            </w:r>
            <w:proofErr w:type="spellEnd"/>
            <w:r w:rsidRPr="00ED18EB">
              <w:t xml:space="preserve"> – dziesmu un romanču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Latviešu un ārzemju kamermūzikas literatūras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  <w:vAlign w:val="center"/>
          </w:tcPr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Amon</w:t>
            </w:r>
            <w:proofErr w:type="spellEnd"/>
            <w:r w:rsidRPr="00ED18EB">
              <w:t xml:space="preserve">, I. (2004). </w:t>
            </w:r>
            <w:proofErr w:type="spellStart"/>
            <w:r w:rsidRPr="00ED18EB">
              <w:rPr>
                <w:i/>
              </w:rPr>
              <w:t>Die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Macht</w:t>
            </w:r>
            <w:proofErr w:type="spellEnd"/>
            <w:r w:rsidRPr="00ED18EB">
              <w:rPr>
                <w:i/>
              </w:rPr>
              <w:t xml:space="preserve"> der </w:t>
            </w:r>
            <w:proofErr w:type="spellStart"/>
            <w:r w:rsidRPr="00ED18EB">
              <w:rPr>
                <w:i/>
              </w:rPr>
              <w:t>Stimme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Frankfurt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Redline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Wirtschaft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Gailīte, I. (2005). </w:t>
            </w:r>
            <w:hyperlink r:id="rId8" w:history="1">
              <w:r w:rsidRPr="00ED18EB">
                <w:rPr>
                  <w:i/>
                  <w:u w:val="single"/>
                </w:rPr>
                <w:t>Darbs ar bērnu kori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proofErr w:type="gramStart"/>
            <w:r w:rsidRPr="00ED18EB">
              <w:rPr>
                <w:i/>
              </w:rPr>
              <w:t xml:space="preserve">  </w:t>
            </w:r>
            <w:proofErr w:type="spellStart"/>
            <w:proofErr w:type="gramEnd"/>
            <w:r w:rsidRPr="00ED18EB">
              <w:t>RaKa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Krūmiņš, A. (1988). </w:t>
            </w:r>
            <w:hyperlink r:id="rId9" w:history="1">
              <w:r w:rsidRPr="00ED18EB">
                <w:rPr>
                  <w:i/>
                  <w:u w:val="single"/>
                </w:rPr>
                <w:t>Kora dziedāšanas teorijas jautājumi</w:t>
              </w:r>
            </w:hyperlink>
            <w:r w:rsidRPr="00ED18EB">
              <w:rPr>
                <w:i/>
              </w:rPr>
              <w:t xml:space="preserve"> II.</w:t>
            </w:r>
            <w:r w:rsidRPr="00ED18EB">
              <w:t xml:space="preserve"> Rīga: Mācību iestāžu metodiskais kabinets</w:t>
            </w:r>
          </w:p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Reid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Cornelius</w:t>
            </w:r>
            <w:proofErr w:type="spellEnd"/>
            <w:r w:rsidRPr="00ED18EB">
              <w:t xml:space="preserve">, L. (2003). </w:t>
            </w:r>
            <w:proofErr w:type="spellStart"/>
            <w:r w:rsidRPr="00ED18EB">
              <w:rPr>
                <w:i/>
              </w:rPr>
              <w:t>Funktionale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Stimmentwicklung</w:t>
            </w:r>
            <w:proofErr w:type="spellEnd"/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Mainz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Schott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Musik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10" w:history="1">
              <w:r w:rsidRPr="00ED18EB">
                <w:rPr>
                  <w:i/>
                  <w:u w:val="single"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AE6AED" w:rsidRPr="00ED18EB" w:rsidRDefault="00AE6AED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lang w:val="en-US"/>
              </w:rPr>
              <w:t>The New Grove dictionary of opera</w:t>
            </w:r>
            <w:r w:rsidRPr="00ED18EB">
              <w:rPr>
                <w:lang w:val="en-US"/>
              </w:rPr>
              <w:t xml:space="preserve"> / edited by Stanley Sadie. Vol. </w:t>
            </w:r>
            <w:proofErr w:type="gramStart"/>
            <w:r w:rsidRPr="00ED18EB">
              <w:rPr>
                <w:lang w:val="en-US"/>
              </w:rPr>
              <w:t>1.,</w:t>
            </w:r>
            <w:proofErr w:type="gramEnd"/>
            <w:r w:rsidRPr="00ED18EB">
              <w:rPr>
                <w:lang w:val="en-US"/>
              </w:rPr>
              <w:t xml:space="preserve"> 2., 3., 4. A–Z. – New York: Oxford University Press, 1997.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Zvirgzdiņa, E. (1986). </w:t>
            </w:r>
            <w:hyperlink r:id="rId11" w:history="1">
              <w:r w:rsidRPr="00ED18EB">
                <w:rPr>
                  <w:i/>
                  <w:u w:val="single"/>
                </w:rPr>
                <w:t>Par vokālo mākslu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r w:rsidRPr="00ED18EB">
              <w:rPr>
                <w:i/>
              </w:rPr>
              <w:t xml:space="preserve"> </w:t>
            </w:r>
            <w:r w:rsidRPr="00ED18EB">
              <w:t>Zvaigzne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Kemp, A (2000). </w:t>
            </w:r>
            <w:hyperlink r:id="rId12" w:history="1">
              <w:proofErr w:type="spellStart"/>
              <w:r w:rsidRPr="00ED18EB">
                <w:rPr>
                  <w:rStyle w:val="Hyperlink"/>
                  <w:bCs w:val="0"/>
                  <w:i/>
                </w:rPr>
                <w:t>The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Musical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Temperament</w:t>
              </w:r>
              <w:proofErr w:type="spellEnd"/>
            </w:hyperlink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University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Beginnings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Origins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Development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of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Competence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(2000). / </w:t>
            </w:r>
            <w:proofErr w:type="spellStart"/>
            <w:r w:rsidRPr="00ED18EB">
              <w:t>Edited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Irene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Deliege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John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Sloboda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rPr>
                <w:rStyle w:val="Hyperlink"/>
              </w:rPr>
              <w:t>Oxford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University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Press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Джильи</w:t>
            </w:r>
            <w:proofErr w:type="spellEnd"/>
            <w:r w:rsidRPr="00ED18EB">
              <w:t xml:space="preserve">, Б. (1967). </w:t>
            </w:r>
            <w:proofErr w:type="spellStart"/>
            <w:r w:rsidRPr="00ED18EB">
              <w:rPr>
                <w:i/>
              </w:rPr>
              <w:t>Воспоминания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Доминго</w:t>
            </w:r>
            <w:proofErr w:type="spellEnd"/>
            <w:r w:rsidRPr="00ED18EB">
              <w:t xml:space="preserve">, П. (1989). </w:t>
            </w:r>
            <w:proofErr w:type="spellStart"/>
            <w:r w:rsidRPr="00ED18EB">
              <w:rPr>
                <w:i/>
              </w:rPr>
              <w:t>Мои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первые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сорок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лет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Радуга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Лаури</w:t>
            </w:r>
            <w:proofErr w:type="spellEnd"/>
            <w:r w:rsidRPr="00ED18EB">
              <w:t>–</w:t>
            </w:r>
            <w:proofErr w:type="spellStart"/>
            <w:r w:rsidRPr="00ED18EB">
              <w:t>Вольпи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Дж</w:t>
            </w:r>
            <w:proofErr w:type="spellEnd"/>
            <w:r w:rsidRPr="00ED18EB">
              <w:t xml:space="preserve">. (1972). </w:t>
            </w:r>
            <w:proofErr w:type="spellStart"/>
            <w:r w:rsidRPr="00ED18EB">
              <w:rPr>
                <w:i/>
              </w:rPr>
              <w:t>Вокальные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параллели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Луканин</w:t>
            </w:r>
            <w:proofErr w:type="spellEnd"/>
            <w:r w:rsidRPr="00ED18EB">
              <w:t xml:space="preserve">, В. (1972). </w:t>
            </w:r>
            <w:proofErr w:type="spellStart"/>
            <w:r w:rsidRPr="00ED18EB">
              <w:rPr>
                <w:i/>
              </w:rPr>
              <w:t>Мой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метод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работы</w:t>
            </w:r>
            <w:proofErr w:type="spellEnd"/>
            <w:r w:rsidRPr="00ED18EB">
              <w:rPr>
                <w:i/>
              </w:rPr>
              <w:t xml:space="preserve"> с </w:t>
            </w:r>
            <w:proofErr w:type="spellStart"/>
            <w:r w:rsidRPr="00ED18EB">
              <w:rPr>
                <w:i/>
              </w:rPr>
              <w:t>певцами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Мильштейн</w:t>
            </w:r>
            <w:proofErr w:type="spellEnd"/>
            <w:r w:rsidRPr="00ED18EB">
              <w:t xml:space="preserve">, А. (1981). </w:t>
            </w:r>
            <w:proofErr w:type="spellStart"/>
            <w:r w:rsidRPr="00ED18EB">
              <w:rPr>
                <w:i/>
              </w:rPr>
              <w:t>Исполнительское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зарубежных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стран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Mорозов</w:t>
            </w:r>
            <w:proofErr w:type="spellEnd"/>
            <w:r w:rsidRPr="00ED18EB">
              <w:t xml:space="preserve"> В. (2002). </w:t>
            </w:r>
            <w:proofErr w:type="spellStart"/>
            <w:r w:rsidRPr="00ED18EB">
              <w:t>Исскуство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резонансного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Могомаев</w:t>
            </w:r>
            <w:proofErr w:type="spellEnd"/>
            <w:r w:rsidRPr="00ED18EB">
              <w:t xml:space="preserve">, М. (1993). </w:t>
            </w:r>
            <w:proofErr w:type="spellStart"/>
            <w:r w:rsidRPr="00ED18EB">
              <w:rPr>
                <w:i/>
              </w:rPr>
              <w:t>Великий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Ланца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Юссон</w:t>
            </w:r>
            <w:proofErr w:type="spellEnd"/>
            <w:r w:rsidRPr="00ED18EB">
              <w:t xml:space="preserve">, Р. (1974). </w:t>
            </w:r>
            <w:proofErr w:type="spellStart"/>
            <w:r w:rsidRPr="00ED18EB">
              <w:t>Певческий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голос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Ярославцева</w:t>
            </w:r>
            <w:proofErr w:type="spellEnd"/>
            <w:r w:rsidRPr="00ED18EB">
              <w:t xml:space="preserve">, Л. (1976). </w:t>
            </w:r>
            <w:r w:rsidRPr="00ED18EB">
              <w:rPr>
                <w:i/>
              </w:rPr>
              <w:t xml:space="preserve">О </w:t>
            </w:r>
            <w:proofErr w:type="spellStart"/>
            <w:r w:rsidRPr="00ED18EB">
              <w:rPr>
                <w:i/>
              </w:rPr>
              <w:t>способах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регуляции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певческого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выдоха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Вопросы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вокальной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lastRenderedPageBreak/>
              <w:t>педагогики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Вып</w:t>
            </w:r>
            <w:proofErr w:type="spellEnd"/>
            <w:r w:rsidRPr="00ED18EB">
              <w:t xml:space="preserve">. 5.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Žurnāli:</w:t>
            </w:r>
          </w:p>
          <w:p w:rsidR="00AE6AED" w:rsidRPr="00ED18EB" w:rsidRDefault="00AE6AED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Krājumi: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Latvju mūzika. Periodisks rakstu krājums.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Praxial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  <w:i/>
              </w:rPr>
            </w:pPr>
            <w:r w:rsidRPr="00ED18EB">
              <w:t>Individuālo praktisko nodarbību kontaktstundas paredzētas katram studentam.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Koncertmeistara dalība individuālās nodarbībās 50%.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</w:tbl>
    <w:p w:rsidR="00AE6AED" w:rsidRPr="00ED18EB" w:rsidRDefault="00AE6AED" w:rsidP="00AE6AED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476ACE" w:rsidRDefault="00476ACE">
      <w:bookmarkStart w:id="4" w:name="_GoBack"/>
      <w:bookmarkEnd w:id="4"/>
    </w:p>
    <w:sectPr w:rsidR="00476ACE" w:rsidSect="00AE6AED">
      <w:footerReference w:type="default" r:id="rId13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61B" w:rsidRDefault="00C3561B" w:rsidP="00AE6AED">
      <w:r>
        <w:separator/>
      </w:r>
    </w:p>
  </w:endnote>
  <w:endnote w:type="continuationSeparator" w:id="0">
    <w:p w:rsidR="00C3561B" w:rsidRDefault="00C3561B" w:rsidP="00AE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ED" w:rsidRDefault="00AE6AED">
    <w:pPr>
      <w:pStyle w:val="Footer"/>
      <w:jc w:val="right"/>
    </w:pPr>
  </w:p>
  <w:p w:rsidR="00AE6AED" w:rsidRDefault="00AE6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61B" w:rsidRDefault="00C3561B" w:rsidP="00AE6AED">
      <w:r>
        <w:separator/>
      </w:r>
    </w:p>
  </w:footnote>
  <w:footnote w:type="continuationSeparator" w:id="0">
    <w:p w:rsidR="00C3561B" w:rsidRDefault="00C3561B" w:rsidP="00AE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ED"/>
    <w:rsid w:val="00476ACE"/>
    <w:rsid w:val="004B18C3"/>
    <w:rsid w:val="005D6AA6"/>
    <w:rsid w:val="006E4C8A"/>
    <w:rsid w:val="00AE6AED"/>
    <w:rsid w:val="00C3561B"/>
    <w:rsid w:val="00C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18010&amp;ident=1007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D7600546B14FB4A45EBDD3C9B15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BB99E-1B2B-432D-A400-2379D408046B}"/>
      </w:docPartPr>
      <w:docPartBody>
        <w:p w:rsidR="00AB0AFC" w:rsidRDefault="003176A5" w:rsidP="003176A5">
          <w:pPr>
            <w:pStyle w:val="11D7600546B14FB4A45EBDD3C9B1598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A5"/>
    <w:rsid w:val="003176A5"/>
    <w:rsid w:val="005A2A96"/>
    <w:rsid w:val="00AB0AFC"/>
    <w:rsid w:val="00E45771"/>
    <w:rsid w:val="00F1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4949</Words>
  <Characters>2822</Characters>
  <Application>Microsoft Office Word</Application>
  <DocSecurity>0</DocSecurity>
  <Lines>23</Lines>
  <Paragraphs>15</Paragraphs>
  <ScaleCrop>false</ScaleCrop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2023-07-13T09:05:00Z</dcterms:created>
  <dcterms:modified xsi:type="dcterms:W3CDTF">2023-07-13T09:09:00Z</dcterms:modified>
</cp:coreProperties>
</file>