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p w:rsidR="00F040F7" w:rsidRPr="00ED18EB" w:rsidRDefault="00F040F7" w:rsidP="00F040F7">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F040F7" w:rsidRPr="00ED18EB" w:rsidRDefault="00F040F7" w:rsidP="00F040F7">
      <w:pPr>
        <w:jc w:val="center"/>
        <w:rPr>
          <w:b/>
          <w:sz w:val="32"/>
          <w:szCs w:val="32"/>
          <w:lang w:val="de-DE"/>
        </w:rPr>
      </w:pPr>
      <w:r w:rsidRPr="00ED18EB">
        <w:rPr>
          <w:b/>
          <w:sz w:val="32"/>
          <w:szCs w:val="32"/>
        </w:rPr>
        <w:t>STUDIJU KURSA APRAKSTS</w:t>
      </w:r>
    </w:p>
    <w:p w:rsidR="00F040F7" w:rsidRPr="00ED18EB" w:rsidRDefault="00F040F7" w:rsidP="00F040F7">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F040F7" w:rsidRPr="00ED18EB" w:rsidTr="005E54E7">
        <w:tc>
          <w:tcPr>
            <w:tcW w:w="4219" w:type="dxa"/>
          </w:tcPr>
          <w:p w:rsidR="00F040F7" w:rsidRPr="00ED18EB" w:rsidRDefault="00F040F7"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F040F7" w:rsidRPr="00ED18EB" w:rsidRDefault="00F040F7" w:rsidP="005E54E7">
            <w:pPr>
              <w:pStyle w:val="Style1"/>
              <w:framePr w:wrap="around"/>
            </w:pPr>
            <w:bookmarkStart w:id="0" w:name="_Toc94237376"/>
            <w:bookmarkStart w:id="1" w:name="_Toc103773879"/>
            <w:bookmarkStart w:id="2" w:name="_Toc103779859"/>
            <w:bookmarkStart w:id="3" w:name="_GoBack"/>
            <w:r w:rsidRPr="00ED18EB">
              <w:t>Ansambļa organizēšanas un vadības mācība</w:t>
            </w:r>
            <w:bookmarkEnd w:id="0"/>
            <w:bookmarkEnd w:id="1"/>
            <w:bookmarkEnd w:id="2"/>
            <w:bookmarkEnd w:id="3"/>
          </w:p>
        </w:tc>
      </w:tr>
      <w:tr w:rsidR="00F040F7" w:rsidRPr="00ED18EB" w:rsidTr="005E54E7">
        <w:tc>
          <w:tcPr>
            <w:tcW w:w="4219" w:type="dxa"/>
          </w:tcPr>
          <w:p w:rsidR="00F040F7" w:rsidRPr="00ED18EB" w:rsidRDefault="00F040F7" w:rsidP="005E54E7">
            <w:pPr>
              <w:pStyle w:val="Nosaukumi"/>
            </w:pPr>
            <w:r w:rsidRPr="00ED18EB">
              <w:t>Studiju kursa kods (DUIS)</w:t>
            </w:r>
          </w:p>
        </w:tc>
        <w:tc>
          <w:tcPr>
            <w:tcW w:w="5102" w:type="dxa"/>
            <w:vAlign w:val="center"/>
          </w:tcPr>
          <w:p w:rsidR="00F040F7" w:rsidRPr="00ED18EB" w:rsidRDefault="00F040F7" w:rsidP="005E54E7">
            <w:pPr>
              <w:shd w:val="clear" w:color="auto" w:fill="auto"/>
              <w:rPr>
                <w:lang w:eastAsia="lv-LV"/>
              </w:rPr>
            </w:pPr>
            <w:r w:rsidRPr="00ED18EB">
              <w:rPr>
                <w:lang w:eastAsia="lv-LV"/>
              </w:rPr>
              <w:t>MākZ1612</w:t>
            </w:r>
          </w:p>
        </w:tc>
      </w:tr>
      <w:tr w:rsidR="00F040F7" w:rsidRPr="00ED18EB" w:rsidTr="005E54E7">
        <w:tc>
          <w:tcPr>
            <w:tcW w:w="4219" w:type="dxa"/>
          </w:tcPr>
          <w:p w:rsidR="00F040F7" w:rsidRPr="00ED18EB" w:rsidRDefault="00F040F7" w:rsidP="005E54E7">
            <w:pPr>
              <w:pStyle w:val="Nosaukumi"/>
            </w:pPr>
            <w:r w:rsidRPr="00ED18EB">
              <w:t>Zinātnes nozare</w:t>
            </w:r>
          </w:p>
        </w:tc>
        <w:sdt>
          <w:sdtPr>
            <w:rPr>
              <w:b/>
              <w:vanish/>
            </w:rPr>
            <w:id w:val="764119959"/>
            <w:placeholder>
              <w:docPart w:val="9A5E335B65B84E9B9B5C147CD042640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F040F7" w:rsidRPr="00ED18EB" w:rsidRDefault="00F040F7" w:rsidP="005E54E7">
                <w:pPr>
                  <w:shd w:val="clear" w:color="auto" w:fill="auto"/>
                  <w:rPr>
                    <w:b/>
                  </w:rPr>
                </w:pPr>
                <w:r w:rsidRPr="00ED18EB">
                  <w:rPr>
                    <w:b/>
                    <w:vanish/>
                  </w:rPr>
                  <w:t>Mākslas zinātne</w:t>
                </w:r>
              </w:p>
            </w:tc>
          </w:sdtContent>
        </w:sdt>
      </w:tr>
      <w:tr w:rsidR="00F040F7" w:rsidRPr="00ED18EB" w:rsidTr="005E54E7">
        <w:tc>
          <w:tcPr>
            <w:tcW w:w="4219" w:type="dxa"/>
          </w:tcPr>
          <w:p w:rsidR="00F040F7" w:rsidRPr="00ED18EB" w:rsidRDefault="00F040F7" w:rsidP="005E54E7">
            <w:pPr>
              <w:pStyle w:val="Nosaukumi"/>
            </w:pPr>
            <w:r w:rsidRPr="00ED18EB">
              <w:t>Kursa līmenis</w:t>
            </w:r>
          </w:p>
        </w:tc>
        <w:tc>
          <w:tcPr>
            <w:tcW w:w="5102" w:type="dxa"/>
          </w:tcPr>
          <w:p w:rsidR="00F040F7" w:rsidRPr="00ED18EB" w:rsidRDefault="00F040F7" w:rsidP="005E54E7">
            <w:pPr>
              <w:shd w:val="clear" w:color="auto" w:fill="auto"/>
              <w:rPr>
                <w:lang w:eastAsia="lv-LV"/>
              </w:rPr>
            </w:pPr>
            <w:r w:rsidRPr="00ED18EB">
              <w:t>1.</w:t>
            </w:r>
          </w:p>
        </w:tc>
      </w:tr>
      <w:tr w:rsidR="00F040F7" w:rsidRPr="00ED18EB" w:rsidTr="005E54E7">
        <w:tc>
          <w:tcPr>
            <w:tcW w:w="4219" w:type="dxa"/>
          </w:tcPr>
          <w:p w:rsidR="00F040F7" w:rsidRPr="00ED18EB" w:rsidRDefault="00F040F7" w:rsidP="005E54E7">
            <w:pPr>
              <w:pStyle w:val="Nosaukumi"/>
              <w:rPr>
                <w:u w:val="single"/>
              </w:rPr>
            </w:pPr>
            <w:r w:rsidRPr="00ED18EB">
              <w:t>Kredītpunkti</w:t>
            </w:r>
          </w:p>
        </w:tc>
        <w:tc>
          <w:tcPr>
            <w:tcW w:w="5102" w:type="dxa"/>
            <w:vAlign w:val="center"/>
          </w:tcPr>
          <w:p w:rsidR="00F040F7" w:rsidRPr="00ED18EB" w:rsidRDefault="00F040F7" w:rsidP="005E54E7">
            <w:pPr>
              <w:shd w:val="clear" w:color="auto" w:fill="auto"/>
              <w:rPr>
                <w:lang w:eastAsia="lv-LV"/>
              </w:rPr>
            </w:pPr>
            <w:r w:rsidRPr="00ED18EB">
              <w:t>2</w:t>
            </w:r>
          </w:p>
        </w:tc>
      </w:tr>
      <w:tr w:rsidR="00F040F7" w:rsidRPr="00ED18EB" w:rsidTr="005E54E7">
        <w:tc>
          <w:tcPr>
            <w:tcW w:w="4219" w:type="dxa"/>
          </w:tcPr>
          <w:p w:rsidR="00F040F7" w:rsidRPr="00ED18EB" w:rsidRDefault="00F040F7" w:rsidP="005E54E7">
            <w:pPr>
              <w:pStyle w:val="Nosaukumi"/>
              <w:rPr>
                <w:u w:val="single"/>
              </w:rPr>
            </w:pPr>
            <w:r w:rsidRPr="00ED18EB">
              <w:t>ECTS kredītpunkti</w:t>
            </w:r>
          </w:p>
        </w:tc>
        <w:tc>
          <w:tcPr>
            <w:tcW w:w="5102" w:type="dxa"/>
          </w:tcPr>
          <w:p w:rsidR="00F040F7" w:rsidRPr="00ED18EB" w:rsidRDefault="00F040F7" w:rsidP="005E54E7">
            <w:pPr>
              <w:shd w:val="clear" w:color="auto" w:fill="auto"/>
            </w:pPr>
            <w:r w:rsidRPr="00ED18EB">
              <w:t>3</w:t>
            </w:r>
          </w:p>
        </w:tc>
      </w:tr>
      <w:tr w:rsidR="00F040F7" w:rsidRPr="00ED18EB" w:rsidTr="005E54E7">
        <w:tc>
          <w:tcPr>
            <w:tcW w:w="4219" w:type="dxa"/>
          </w:tcPr>
          <w:p w:rsidR="00F040F7" w:rsidRPr="00ED18EB" w:rsidRDefault="00F040F7" w:rsidP="005E54E7">
            <w:pPr>
              <w:pStyle w:val="Nosaukumi"/>
            </w:pPr>
            <w:r w:rsidRPr="00ED18EB">
              <w:t>Kopējais kontaktstundu skaits</w:t>
            </w:r>
          </w:p>
        </w:tc>
        <w:tc>
          <w:tcPr>
            <w:tcW w:w="5102" w:type="dxa"/>
            <w:vAlign w:val="center"/>
          </w:tcPr>
          <w:p w:rsidR="00F040F7" w:rsidRPr="00ED18EB" w:rsidRDefault="00F040F7"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F040F7" w:rsidRPr="00ED18EB" w:rsidTr="005E54E7">
        <w:tc>
          <w:tcPr>
            <w:tcW w:w="4219" w:type="dxa"/>
          </w:tcPr>
          <w:p w:rsidR="00F040F7" w:rsidRPr="00ED18EB" w:rsidRDefault="00F040F7" w:rsidP="005E54E7">
            <w:pPr>
              <w:pStyle w:val="Nosaukumi2"/>
              <w:framePr w:wrap="around"/>
            </w:pPr>
            <w:r w:rsidRPr="00ED18EB">
              <w:t>Lekciju stundu skaits</w:t>
            </w:r>
          </w:p>
        </w:tc>
        <w:tc>
          <w:tcPr>
            <w:tcW w:w="5102" w:type="dxa"/>
          </w:tcPr>
          <w:p w:rsidR="00F040F7" w:rsidRPr="00ED18EB" w:rsidRDefault="00F040F7" w:rsidP="005E54E7">
            <w:pPr>
              <w:shd w:val="clear" w:color="auto" w:fill="auto"/>
            </w:pPr>
            <w:r w:rsidRPr="00ED18EB">
              <w:t>24</w:t>
            </w:r>
          </w:p>
        </w:tc>
      </w:tr>
      <w:tr w:rsidR="00F040F7" w:rsidRPr="00ED18EB" w:rsidTr="005E54E7">
        <w:tc>
          <w:tcPr>
            <w:tcW w:w="4219" w:type="dxa"/>
          </w:tcPr>
          <w:p w:rsidR="00F040F7" w:rsidRPr="00ED18EB" w:rsidRDefault="00F040F7" w:rsidP="005E54E7">
            <w:pPr>
              <w:pStyle w:val="Nosaukumi2"/>
              <w:framePr w:wrap="around"/>
            </w:pPr>
            <w:r w:rsidRPr="00ED18EB">
              <w:t>Semināru stundu skaits</w:t>
            </w:r>
          </w:p>
        </w:tc>
        <w:tc>
          <w:tcPr>
            <w:tcW w:w="5102" w:type="dxa"/>
          </w:tcPr>
          <w:p w:rsidR="00F040F7" w:rsidRPr="00ED18EB" w:rsidRDefault="00F040F7" w:rsidP="005E54E7">
            <w:pPr>
              <w:shd w:val="clear" w:color="auto" w:fill="auto"/>
            </w:pPr>
            <w:r w:rsidRPr="00ED18EB">
              <w:t>8</w:t>
            </w:r>
          </w:p>
        </w:tc>
      </w:tr>
      <w:tr w:rsidR="00F040F7" w:rsidRPr="00ED18EB" w:rsidTr="005E54E7">
        <w:tc>
          <w:tcPr>
            <w:tcW w:w="4219" w:type="dxa"/>
          </w:tcPr>
          <w:p w:rsidR="00F040F7" w:rsidRPr="00ED18EB" w:rsidRDefault="00F040F7" w:rsidP="005E54E7">
            <w:pPr>
              <w:pStyle w:val="Nosaukumi2"/>
              <w:framePr w:wrap="around"/>
            </w:pPr>
            <w:r w:rsidRPr="00ED18EB">
              <w:t>Praktisko darbu stundu skaits</w:t>
            </w:r>
          </w:p>
        </w:tc>
        <w:tc>
          <w:tcPr>
            <w:tcW w:w="5102" w:type="dxa"/>
          </w:tcPr>
          <w:p w:rsidR="00F040F7" w:rsidRPr="00ED18EB" w:rsidRDefault="00F040F7" w:rsidP="005E54E7">
            <w:pPr>
              <w:shd w:val="clear" w:color="auto" w:fill="auto"/>
            </w:pPr>
            <w:r w:rsidRPr="00ED18EB">
              <w:t>–</w:t>
            </w:r>
          </w:p>
        </w:tc>
      </w:tr>
      <w:tr w:rsidR="00F040F7" w:rsidRPr="00ED18EB" w:rsidTr="005E54E7">
        <w:tc>
          <w:tcPr>
            <w:tcW w:w="4219" w:type="dxa"/>
          </w:tcPr>
          <w:p w:rsidR="00F040F7" w:rsidRPr="00ED18EB" w:rsidRDefault="00F040F7" w:rsidP="005E54E7">
            <w:pPr>
              <w:pStyle w:val="Nosaukumi2"/>
              <w:framePr w:wrap="around"/>
            </w:pPr>
            <w:r w:rsidRPr="00ED18EB">
              <w:t>Individuālo darbu stundu skaits</w:t>
            </w:r>
          </w:p>
        </w:tc>
        <w:tc>
          <w:tcPr>
            <w:tcW w:w="5102" w:type="dxa"/>
          </w:tcPr>
          <w:p w:rsidR="00F040F7" w:rsidRPr="00ED18EB" w:rsidRDefault="00F040F7" w:rsidP="005E54E7">
            <w:pPr>
              <w:shd w:val="clear" w:color="auto" w:fill="auto"/>
            </w:pPr>
            <w:r w:rsidRPr="00ED18EB">
              <w:t>–</w:t>
            </w:r>
          </w:p>
        </w:tc>
      </w:tr>
      <w:tr w:rsidR="00F040F7" w:rsidRPr="00ED18EB" w:rsidTr="005E54E7">
        <w:tc>
          <w:tcPr>
            <w:tcW w:w="4219" w:type="dxa"/>
          </w:tcPr>
          <w:p w:rsidR="00F040F7" w:rsidRPr="00ED18EB" w:rsidRDefault="00F040F7" w:rsidP="005E54E7">
            <w:pPr>
              <w:pStyle w:val="Nosaukumi2"/>
              <w:framePr w:wrap="around"/>
              <w:rPr>
                <w:lang w:eastAsia="lv-LV"/>
              </w:rPr>
            </w:pPr>
            <w:r w:rsidRPr="00ED18EB">
              <w:rPr>
                <w:lang w:eastAsia="lv-LV"/>
              </w:rPr>
              <w:t>Studējošā patstāvīgā darba stundu skaits</w:t>
            </w:r>
          </w:p>
        </w:tc>
        <w:tc>
          <w:tcPr>
            <w:tcW w:w="5102" w:type="dxa"/>
            <w:vAlign w:val="center"/>
          </w:tcPr>
          <w:p w:rsidR="00F040F7" w:rsidRPr="00ED18EB" w:rsidRDefault="00F040F7" w:rsidP="005E54E7">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F040F7" w:rsidRPr="00ED18EB" w:rsidTr="005E54E7">
        <w:tc>
          <w:tcPr>
            <w:tcW w:w="9320" w:type="dxa"/>
          </w:tcPr>
          <w:p w:rsidR="00F040F7" w:rsidRPr="00ED18EB" w:rsidRDefault="00F040F7" w:rsidP="005E54E7">
            <w:pPr>
              <w:shd w:val="clear" w:color="auto" w:fill="auto"/>
              <w:rPr>
                <w:lang w:eastAsia="lv-LV"/>
              </w:rPr>
            </w:pPr>
          </w:p>
        </w:tc>
      </w:tr>
      <w:tr w:rsidR="00F040F7" w:rsidRPr="00ED18EB" w:rsidTr="005E54E7">
        <w:tc>
          <w:tcPr>
            <w:tcW w:w="9320" w:type="dxa"/>
          </w:tcPr>
          <w:p w:rsidR="00F040F7" w:rsidRPr="00ED18EB" w:rsidRDefault="00F040F7" w:rsidP="005E54E7">
            <w:pPr>
              <w:pStyle w:val="Nosaukumi"/>
            </w:pPr>
            <w:r w:rsidRPr="00ED18EB">
              <w:t>Kursa autors(–i)</w:t>
            </w:r>
          </w:p>
        </w:tc>
      </w:tr>
      <w:tr w:rsidR="00F040F7" w:rsidRPr="00ED18EB" w:rsidTr="005E54E7">
        <w:tc>
          <w:tcPr>
            <w:tcW w:w="9320" w:type="dxa"/>
          </w:tcPr>
          <w:p w:rsidR="00F040F7" w:rsidRPr="00ED18EB" w:rsidRDefault="00F040F7" w:rsidP="005E54E7">
            <w:pPr>
              <w:shd w:val="clear" w:color="auto" w:fill="auto"/>
            </w:pPr>
            <w:r w:rsidRPr="00ED18EB">
              <w:t>Mg.art., vieasistents Maksims Bendelstons</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Kursa docētājs(–i)</w:t>
            </w:r>
          </w:p>
        </w:tc>
      </w:tr>
      <w:tr w:rsidR="00F040F7" w:rsidRPr="00ED18EB" w:rsidTr="005E54E7">
        <w:tc>
          <w:tcPr>
            <w:tcW w:w="9320" w:type="dxa"/>
          </w:tcPr>
          <w:p w:rsidR="00F040F7" w:rsidRPr="00ED18EB" w:rsidRDefault="00F040F7" w:rsidP="005E54E7">
            <w:pPr>
              <w:shd w:val="clear" w:color="auto" w:fill="auto"/>
            </w:pPr>
            <w:r w:rsidRPr="00ED18EB">
              <w:t xml:space="preserve">Mg.art., viesasistents Maksims Bendelstons, </w:t>
            </w:r>
          </w:p>
          <w:p w:rsidR="00F040F7" w:rsidRPr="00ED18EB" w:rsidRDefault="00F040F7" w:rsidP="005E54E7">
            <w:pPr>
              <w:shd w:val="clear" w:color="auto" w:fill="auto"/>
            </w:pPr>
            <w:r w:rsidRPr="00ED18EB">
              <w:t>Dr.paed. viesdocents Tālis Gžibovskis</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Priekšzināšanas</w:t>
            </w:r>
          </w:p>
        </w:tc>
      </w:tr>
      <w:tr w:rsidR="00F040F7" w:rsidRPr="00ED18EB" w:rsidTr="005E54E7">
        <w:tc>
          <w:tcPr>
            <w:tcW w:w="9320" w:type="dxa"/>
          </w:tcPr>
          <w:p w:rsidR="00F040F7" w:rsidRPr="00ED18EB" w:rsidRDefault="00F040F7" w:rsidP="005E54E7">
            <w:pPr>
              <w:shd w:val="clear" w:color="auto" w:fill="auto"/>
              <w:jc w:val="both"/>
            </w:pPr>
            <w:r w:rsidRPr="00ED18EB">
              <w:t>Ģitāras spēles prasmes, kas iegūtas atbilstoši mūzikas profesionālās bakalaura studiju programmas 1. semestra prasībām.</w:t>
            </w:r>
          </w:p>
          <w:p w:rsidR="00F040F7" w:rsidRPr="00ED18EB" w:rsidRDefault="00F040F7" w:rsidP="005E54E7">
            <w:pPr>
              <w:shd w:val="clear" w:color="auto" w:fill="auto"/>
              <w:jc w:val="both"/>
            </w:pPr>
            <w:r w:rsidRPr="00ED18EB">
              <w:t>MākZ1553 Ģitāras spēle I</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 xml:space="preserve">Studiju kursa anotācija </w:t>
            </w:r>
          </w:p>
        </w:tc>
      </w:tr>
      <w:tr w:rsidR="00F040F7" w:rsidRPr="00ED18EB" w:rsidTr="005E54E7">
        <w:tc>
          <w:tcPr>
            <w:tcW w:w="9320" w:type="dxa"/>
          </w:tcPr>
          <w:p w:rsidR="00F040F7" w:rsidRPr="00ED18EB" w:rsidRDefault="00F040F7" w:rsidP="005E54E7">
            <w:pPr>
              <w:shd w:val="clear" w:color="auto" w:fill="auto"/>
            </w:pPr>
            <w:r w:rsidRPr="00ED18EB">
              <w:t>Kurss paredzēts profesionālās bakalaura studiju programmas “Mūzika” studējošajiem.</w:t>
            </w:r>
          </w:p>
          <w:p w:rsidR="00F040F7" w:rsidRPr="00ED18EB" w:rsidRDefault="00F040F7" w:rsidP="005E54E7">
            <w:pPr>
              <w:shd w:val="clear" w:color="auto" w:fill="auto"/>
              <w:rPr>
                <w:rStyle w:val="Style2Char"/>
              </w:rPr>
            </w:pPr>
          </w:p>
          <w:p w:rsidR="00F040F7" w:rsidRPr="00ED18EB" w:rsidRDefault="00F040F7" w:rsidP="005E54E7">
            <w:pPr>
              <w:shd w:val="clear" w:color="auto" w:fill="auto"/>
            </w:pPr>
            <w:r w:rsidRPr="00ED18EB">
              <w:rPr>
                <w:rStyle w:val="Style2Char"/>
              </w:rPr>
              <w:t>KURSA MĒRĶIS</w:t>
            </w:r>
            <w:r w:rsidRPr="00ED18EB">
              <w:t xml:space="preserve">: iegūt prasmi dažāda veida ansambļu organizēšanā un vadīšanā, mākslinieciski radošo projektu sagatavošanā un novadīšanā. </w:t>
            </w:r>
          </w:p>
          <w:p w:rsidR="00F040F7" w:rsidRPr="00ED18EB" w:rsidRDefault="00F040F7" w:rsidP="005E54E7">
            <w:pPr>
              <w:shd w:val="clear" w:color="auto" w:fill="auto"/>
            </w:pPr>
            <w:r w:rsidRPr="00ED18EB">
              <w:rPr>
                <w:rStyle w:val="Style2Char"/>
              </w:rPr>
              <w:t>KURSA UZDEVUMI:</w:t>
            </w:r>
            <w:r w:rsidRPr="00ED18EB">
              <w:t xml:space="preserve"> attīstīt studentu mākslinieciski radošo darbību, realizēt to eksponējot plašākai sabiedrībai, dažādām koncertorganizācijām, nodrošināt radošā kolektīva funkcionēšanas iespēju, sociāli–finansiālo plānojumu, iegūtās mārketinga zināšanas lietot mākslas jomas menedžmentā.</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Studiju kursa kalendārais plāns</w:t>
            </w:r>
          </w:p>
        </w:tc>
      </w:tr>
      <w:tr w:rsidR="00F040F7" w:rsidRPr="00ED18EB" w:rsidTr="005E54E7">
        <w:tc>
          <w:tcPr>
            <w:tcW w:w="9320" w:type="dxa"/>
          </w:tcPr>
          <w:p w:rsidR="00F040F7" w:rsidRPr="00ED18EB" w:rsidRDefault="00F040F7" w:rsidP="005E54E7">
            <w:pPr>
              <w:shd w:val="clear" w:color="auto" w:fill="auto"/>
            </w:pPr>
            <w:r w:rsidRPr="00ED18EB">
              <w:t>Kursa struktūra: lekcijas (L) – 24 stundas, semināri (S) – 8 stundas, patstāvīgais darbs (Pd) – 48 stundas.</w:t>
            </w:r>
          </w:p>
          <w:p w:rsidR="00F040F7" w:rsidRPr="00ED18EB" w:rsidRDefault="00F040F7" w:rsidP="005E54E7">
            <w:pPr>
              <w:shd w:val="clear" w:color="auto" w:fill="auto"/>
            </w:pPr>
          </w:p>
          <w:p w:rsidR="00F040F7" w:rsidRPr="00ED18EB" w:rsidRDefault="00F040F7" w:rsidP="005E54E7">
            <w:pPr>
              <w:shd w:val="clear" w:color="auto" w:fill="auto"/>
            </w:pPr>
            <w:r w:rsidRPr="00ED18EB">
              <w:t xml:space="preserve">Lekcijas: </w:t>
            </w:r>
          </w:p>
          <w:p w:rsidR="00F040F7" w:rsidRPr="00ED18EB" w:rsidRDefault="00F040F7" w:rsidP="005E54E7">
            <w:pPr>
              <w:shd w:val="clear" w:color="auto" w:fill="auto"/>
            </w:pPr>
            <w:r w:rsidRPr="00ED18EB">
              <w:t>1. Ansambļa veidi un tipi. L2</w:t>
            </w:r>
          </w:p>
          <w:p w:rsidR="00F040F7" w:rsidRPr="00ED18EB" w:rsidRDefault="00F040F7" w:rsidP="005E54E7">
            <w:pPr>
              <w:shd w:val="clear" w:color="auto" w:fill="auto"/>
            </w:pPr>
            <w:r w:rsidRPr="00ED18EB">
              <w:t>2. Ansambļa organizēšanas metodikas pamatprincipi. L2</w:t>
            </w:r>
          </w:p>
          <w:p w:rsidR="00F040F7" w:rsidRPr="00ED18EB" w:rsidRDefault="00F040F7" w:rsidP="005E54E7">
            <w:pPr>
              <w:shd w:val="clear" w:color="auto" w:fill="auto"/>
            </w:pPr>
            <w:r w:rsidRPr="00ED18EB">
              <w:t>3. Ansambļa vadības principi. L2</w:t>
            </w:r>
          </w:p>
          <w:p w:rsidR="00F040F7" w:rsidRPr="00ED18EB" w:rsidRDefault="00F040F7" w:rsidP="005E54E7">
            <w:pPr>
              <w:shd w:val="clear" w:color="auto" w:fill="auto"/>
            </w:pPr>
            <w:r w:rsidRPr="00ED18EB">
              <w:lastRenderedPageBreak/>
              <w:t>4. Ansambļa repertuāra analīze un izvēle. L2</w:t>
            </w:r>
          </w:p>
          <w:p w:rsidR="00F040F7" w:rsidRPr="00ED18EB" w:rsidRDefault="00F040F7" w:rsidP="005E54E7">
            <w:pPr>
              <w:shd w:val="clear" w:color="auto" w:fill="auto"/>
            </w:pPr>
            <w:r w:rsidRPr="00ED18EB">
              <w:t>5. Koncertprogrammas sastādīšana, analīze un izvērtējums. L2</w:t>
            </w:r>
          </w:p>
          <w:p w:rsidR="00F040F7" w:rsidRPr="00ED18EB" w:rsidRDefault="00F040F7" w:rsidP="005E54E7">
            <w:pPr>
              <w:shd w:val="clear" w:color="auto" w:fill="auto"/>
            </w:pPr>
            <w:r w:rsidRPr="00ED18EB">
              <w:t>6. Ansambļa mūziķu spēles kompetence. L2</w:t>
            </w:r>
          </w:p>
          <w:p w:rsidR="00F040F7" w:rsidRPr="00ED18EB" w:rsidRDefault="00F040F7" w:rsidP="005E54E7">
            <w:pPr>
              <w:shd w:val="clear" w:color="auto" w:fill="auto"/>
            </w:pPr>
            <w:r w:rsidRPr="00ED18EB">
              <w:t>7. Spēles tehnikas attīstības metodes un metodiskie paņēmieni. L2</w:t>
            </w:r>
          </w:p>
          <w:p w:rsidR="00F040F7" w:rsidRPr="00ED18EB" w:rsidRDefault="00F040F7" w:rsidP="005E54E7">
            <w:pPr>
              <w:shd w:val="clear" w:color="auto" w:fill="auto"/>
            </w:pPr>
            <w:r w:rsidRPr="00ED18EB">
              <w:t>8. Dažāda veida ansambļu vadīšana. L2</w:t>
            </w:r>
          </w:p>
          <w:p w:rsidR="00F040F7" w:rsidRPr="00ED18EB" w:rsidRDefault="00F040F7" w:rsidP="005E54E7">
            <w:pPr>
              <w:shd w:val="clear" w:color="auto" w:fill="auto"/>
            </w:pPr>
            <w:r w:rsidRPr="00ED18EB">
              <w:t>9. Individuālas ansambļa koncertprogrammas atbilstoši ansambļa veidam, iespējām un funkcionālai piesaistei sastādīšana. L2</w:t>
            </w:r>
          </w:p>
          <w:p w:rsidR="00F040F7" w:rsidRPr="00ED18EB" w:rsidRDefault="00F040F7" w:rsidP="005E54E7">
            <w:pPr>
              <w:shd w:val="clear" w:color="auto" w:fill="auto"/>
            </w:pPr>
            <w:r w:rsidRPr="00ED18EB">
              <w:t>10. Koncertprogrammas apguve. L2</w:t>
            </w:r>
          </w:p>
          <w:p w:rsidR="00F040F7" w:rsidRPr="00ED18EB" w:rsidRDefault="00F040F7" w:rsidP="005E54E7">
            <w:pPr>
              <w:shd w:val="clear" w:color="auto" w:fill="auto"/>
            </w:pPr>
            <w:r w:rsidRPr="00ED18EB">
              <w:t>11. Pareizu metožu izvēle ansambļa kvalitatīvai vadībai. L2</w:t>
            </w:r>
          </w:p>
          <w:p w:rsidR="00F040F7" w:rsidRPr="00ED18EB" w:rsidRDefault="00F040F7" w:rsidP="005E54E7">
            <w:pPr>
              <w:shd w:val="clear" w:color="auto" w:fill="auto"/>
            </w:pPr>
            <w:r w:rsidRPr="00ED18EB">
              <w:t>12. Ansambļa mūziķu ētika. L2</w:t>
            </w:r>
          </w:p>
          <w:p w:rsidR="00F040F7" w:rsidRPr="00ED18EB" w:rsidRDefault="00F040F7" w:rsidP="005E54E7">
            <w:pPr>
              <w:shd w:val="clear" w:color="auto" w:fill="auto"/>
            </w:pPr>
          </w:p>
          <w:p w:rsidR="00F040F7" w:rsidRPr="00ED18EB" w:rsidRDefault="00F040F7" w:rsidP="005E54E7">
            <w:pPr>
              <w:shd w:val="clear" w:color="auto" w:fill="auto"/>
            </w:pPr>
            <w:r w:rsidRPr="00ED18EB">
              <w:t xml:space="preserve">Semināri: </w:t>
            </w:r>
          </w:p>
          <w:p w:rsidR="00F040F7" w:rsidRPr="00ED18EB" w:rsidRDefault="00F040F7" w:rsidP="005E54E7">
            <w:pPr>
              <w:shd w:val="clear" w:color="auto" w:fill="auto"/>
            </w:pPr>
            <w:r w:rsidRPr="00ED18EB">
              <w:t>1. Ansambļa veidi un tipi. S2</w:t>
            </w:r>
          </w:p>
          <w:p w:rsidR="00F040F7" w:rsidRPr="00ED18EB" w:rsidRDefault="00F040F7" w:rsidP="005E54E7">
            <w:pPr>
              <w:shd w:val="clear" w:color="auto" w:fill="auto"/>
            </w:pPr>
            <w:r w:rsidRPr="00ED18EB">
              <w:t>2. Ansambļa organizēšanas metodikas pamatprincipi. S2</w:t>
            </w:r>
          </w:p>
          <w:p w:rsidR="00F040F7" w:rsidRPr="00ED18EB" w:rsidRDefault="00F040F7" w:rsidP="005E54E7">
            <w:pPr>
              <w:shd w:val="clear" w:color="auto" w:fill="auto"/>
            </w:pPr>
            <w:r w:rsidRPr="00ED18EB">
              <w:t>3. Ansambļa vadības principi. S2</w:t>
            </w:r>
          </w:p>
          <w:p w:rsidR="00F040F7" w:rsidRPr="00ED18EB" w:rsidRDefault="00F040F7" w:rsidP="005E54E7">
            <w:pPr>
              <w:shd w:val="clear" w:color="auto" w:fill="auto"/>
            </w:pPr>
            <w:r w:rsidRPr="00ED18EB">
              <w:t>4. Ansambļa repertuāra izvēle. Koncertprogrammas sastādīšana. S2</w:t>
            </w:r>
          </w:p>
          <w:p w:rsidR="00F040F7" w:rsidRPr="00ED18EB" w:rsidRDefault="00F040F7" w:rsidP="005E54E7">
            <w:pPr>
              <w:shd w:val="clear" w:color="auto" w:fill="auto"/>
            </w:pPr>
          </w:p>
          <w:p w:rsidR="00F040F7" w:rsidRPr="00ED18EB" w:rsidRDefault="00F040F7" w:rsidP="005E54E7">
            <w:pPr>
              <w:shd w:val="clear" w:color="auto" w:fill="auto"/>
            </w:pPr>
            <w:r w:rsidRPr="00ED18EB">
              <w:t>Patstāvīgais darbs:</w:t>
            </w:r>
          </w:p>
          <w:p w:rsidR="00F040F7" w:rsidRPr="00ED18EB" w:rsidRDefault="00F040F7" w:rsidP="00F040F7">
            <w:pPr>
              <w:pStyle w:val="ListParagraph"/>
            </w:pPr>
            <w:r w:rsidRPr="00ED18EB">
              <w:t>apgūt docētāja norādītos literatūras avotus;</w:t>
            </w:r>
          </w:p>
          <w:p w:rsidR="00F040F7" w:rsidRPr="00ED18EB" w:rsidRDefault="00F040F7" w:rsidP="00F040F7">
            <w:pPr>
              <w:pStyle w:val="ListParagraph"/>
            </w:pPr>
            <w:r w:rsidRPr="00ED18EB">
              <w:t>norādītu skaņdarbu partitūru analīze;</w:t>
            </w:r>
          </w:p>
          <w:p w:rsidR="00F040F7" w:rsidRPr="00ED18EB" w:rsidRDefault="00F040F7" w:rsidP="00F040F7">
            <w:pPr>
              <w:pStyle w:val="ListParagraph"/>
            </w:pPr>
            <w:r w:rsidRPr="00ED18EB">
              <w:t>pēc lekcijā sniegtajiem kritērijiem analizēt norādītos skaņdarbus;</w:t>
            </w:r>
          </w:p>
          <w:p w:rsidR="00F040F7" w:rsidRPr="00ED18EB" w:rsidRDefault="00F040F7" w:rsidP="00F040F7">
            <w:pPr>
              <w:pStyle w:val="ListParagraph"/>
            </w:pPr>
            <w:r w:rsidRPr="00ED18EB">
              <w:t>mūzikas terminu apguve. Pd48</w:t>
            </w:r>
          </w:p>
          <w:p w:rsidR="00F040F7" w:rsidRPr="00ED18EB" w:rsidRDefault="00F040F7" w:rsidP="005E54E7">
            <w:pPr>
              <w:shd w:val="clear" w:color="auto" w:fill="auto"/>
            </w:pPr>
          </w:p>
          <w:p w:rsidR="00F040F7" w:rsidRPr="00ED18EB" w:rsidRDefault="00F040F7" w:rsidP="005E54E7">
            <w:pPr>
              <w:shd w:val="clear" w:color="auto" w:fill="auto"/>
            </w:pPr>
            <w:r w:rsidRPr="00ED18EB">
              <w:t>Lekcijās un semināros paredzēts praktiskais darbs ar teorētisko un praktisko materiālu – skaidrojumi, komentāri, powerpoint prezentācijas, dažādu ansambļa veidu un tipu organizēšanas un vadīšanas metodikas vingrinājumi, radoši uzdevumi, dažādu metodisku paņēmienu pārbaudīšana praksē.</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lastRenderedPageBreak/>
              <w:t>Studiju rezultāti</w:t>
            </w:r>
          </w:p>
        </w:tc>
      </w:tr>
      <w:tr w:rsidR="00F040F7" w:rsidRPr="00ED18EB" w:rsidTr="005E54E7">
        <w:tc>
          <w:tcPr>
            <w:tcW w:w="9320" w:type="dxa"/>
          </w:tcPr>
          <w:p w:rsidR="00F040F7" w:rsidRPr="00ED18EB" w:rsidRDefault="00F040F7" w:rsidP="005E54E7">
            <w:pPr>
              <w:pStyle w:val="Style2"/>
              <w:shd w:val="clear" w:color="auto" w:fill="auto"/>
            </w:pPr>
            <w:r w:rsidRPr="00ED18EB">
              <w:t xml:space="preserve">ZINĀŠANAS </w:t>
            </w:r>
          </w:p>
          <w:p w:rsidR="00F040F7" w:rsidRPr="00ED18EB" w:rsidRDefault="00F040F7" w:rsidP="005E54E7">
            <w:pPr>
              <w:shd w:val="clear" w:color="auto" w:fill="auto"/>
            </w:pPr>
            <w:r w:rsidRPr="00ED18EB">
              <w:t>– par konkrēta ansambļa veidiem un tipiem;</w:t>
            </w:r>
          </w:p>
          <w:p w:rsidR="00F040F7" w:rsidRPr="00ED18EB" w:rsidRDefault="00F040F7" w:rsidP="005E54E7">
            <w:pPr>
              <w:shd w:val="clear" w:color="auto" w:fill="auto"/>
            </w:pPr>
            <w:r w:rsidRPr="00ED18EB">
              <w:t>– par ansambļa organizēšanas metodēm;</w:t>
            </w:r>
          </w:p>
          <w:p w:rsidR="00F040F7" w:rsidRPr="00ED18EB" w:rsidRDefault="00F040F7" w:rsidP="005E54E7">
            <w:pPr>
              <w:shd w:val="clear" w:color="auto" w:fill="auto"/>
            </w:pPr>
            <w:r w:rsidRPr="00ED18EB">
              <w:t>– par būtiskākajiem ansambļa vadības principiem.</w:t>
            </w:r>
          </w:p>
          <w:p w:rsidR="00F040F7" w:rsidRPr="00ED18EB" w:rsidRDefault="00F040F7" w:rsidP="005E54E7">
            <w:pPr>
              <w:pStyle w:val="Style2"/>
              <w:shd w:val="clear" w:color="auto" w:fill="auto"/>
            </w:pPr>
          </w:p>
          <w:p w:rsidR="00F040F7" w:rsidRPr="00ED18EB" w:rsidRDefault="00F040F7" w:rsidP="005E54E7">
            <w:pPr>
              <w:pStyle w:val="Style2"/>
              <w:shd w:val="clear" w:color="auto" w:fill="auto"/>
            </w:pPr>
            <w:r w:rsidRPr="00ED18EB">
              <w:t>PRASMES</w:t>
            </w:r>
          </w:p>
          <w:p w:rsidR="00F040F7" w:rsidRPr="00ED18EB" w:rsidRDefault="00F040F7" w:rsidP="005E54E7">
            <w:pPr>
              <w:shd w:val="clear" w:color="auto" w:fill="auto"/>
            </w:pPr>
            <w:r w:rsidRPr="00ED18EB">
              <w:t>– spēja nodot ansambļa dalībniekiem pareizu informāciju;</w:t>
            </w:r>
          </w:p>
          <w:p w:rsidR="00F040F7" w:rsidRPr="00ED18EB" w:rsidRDefault="00F040F7" w:rsidP="005E54E7">
            <w:pPr>
              <w:shd w:val="clear" w:color="auto" w:fill="auto"/>
            </w:pPr>
            <w:r w:rsidRPr="00ED18EB">
              <w:t>– spēja ievērot mūziķa spēles trūkumus un pozitīvās iezīmes, vajadzības gadījumā labojot;</w:t>
            </w:r>
          </w:p>
          <w:p w:rsidR="00F040F7" w:rsidRPr="00ED18EB" w:rsidRDefault="00F040F7" w:rsidP="005E54E7">
            <w:pPr>
              <w:shd w:val="clear" w:color="auto" w:fill="auto"/>
            </w:pPr>
            <w:r w:rsidRPr="00ED18EB">
              <w:t>– spēja identificēt un izvēlēties ansamblim atbilstošo repertuāru.</w:t>
            </w:r>
          </w:p>
          <w:p w:rsidR="00F040F7" w:rsidRPr="00ED18EB" w:rsidRDefault="00F040F7" w:rsidP="005E54E7">
            <w:pPr>
              <w:pStyle w:val="Style2"/>
              <w:shd w:val="clear" w:color="auto" w:fill="auto"/>
            </w:pPr>
          </w:p>
          <w:p w:rsidR="00F040F7" w:rsidRPr="00ED18EB" w:rsidRDefault="00F040F7" w:rsidP="005E54E7">
            <w:pPr>
              <w:pStyle w:val="Style2"/>
              <w:shd w:val="clear" w:color="auto" w:fill="auto"/>
            </w:pPr>
            <w:r w:rsidRPr="00ED18EB">
              <w:t xml:space="preserve">KOMPETENCE </w:t>
            </w:r>
          </w:p>
          <w:p w:rsidR="00F040F7" w:rsidRPr="00ED18EB" w:rsidRDefault="00F040F7" w:rsidP="005E54E7">
            <w:pPr>
              <w:shd w:val="clear" w:color="auto" w:fill="auto"/>
            </w:pPr>
            <w:r w:rsidRPr="00ED18EB">
              <w:t>– spēja organizēt un vadīt dažāda veida ansambļus;</w:t>
            </w:r>
          </w:p>
          <w:p w:rsidR="00F040F7" w:rsidRPr="00ED18EB" w:rsidRDefault="00F040F7" w:rsidP="005E54E7">
            <w:pPr>
              <w:shd w:val="clear" w:color="auto" w:fill="auto"/>
            </w:pPr>
            <w:r w:rsidRPr="00ED18EB">
              <w:t>– spēja analizēt un novērtēt ansambļa repertuāru;</w:t>
            </w:r>
          </w:p>
          <w:p w:rsidR="00F040F7" w:rsidRPr="00ED18EB" w:rsidRDefault="00F040F7" w:rsidP="005E54E7">
            <w:pPr>
              <w:shd w:val="clear" w:color="auto" w:fill="auto"/>
            </w:pPr>
            <w:r w:rsidRPr="00ED18EB">
              <w:t>– spēja sastādīt individuālu ansambļa koncertprogrammu atbilstoši ansambļa veidam, iespējām un funkcionālai piesaistei;</w:t>
            </w:r>
          </w:p>
          <w:p w:rsidR="00F040F7" w:rsidRPr="00ED18EB" w:rsidRDefault="00F040F7" w:rsidP="005E54E7">
            <w:pPr>
              <w:shd w:val="clear" w:color="auto" w:fill="auto"/>
            </w:pPr>
            <w:r w:rsidRPr="00ED18EB">
              <w:t>– spēja sagatavot ansambļa koncertprogrammu mākslinieciski radošā projekta veikšanai;</w:t>
            </w:r>
          </w:p>
          <w:p w:rsidR="00F040F7" w:rsidRPr="00ED18EB" w:rsidRDefault="00F040F7" w:rsidP="005E54E7">
            <w:pPr>
              <w:shd w:val="clear" w:color="auto" w:fill="auto"/>
            </w:pPr>
            <w:r w:rsidRPr="00ED18EB">
              <w:t>– spēja izvēlēties atbilstošas metodes ansambļa kvalitatīvai vadībai.</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rPr>
                <w:lang w:val="lv-LV"/>
              </w:rPr>
            </w:pPr>
            <w:r w:rsidRPr="00ED18EB">
              <w:rPr>
                <w:lang w:val="lv-LV"/>
              </w:rPr>
              <w:t>Studējošo patstāvīgo darbu organizācijas un uzdevumu raksturojums</w:t>
            </w:r>
          </w:p>
        </w:tc>
      </w:tr>
      <w:tr w:rsidR="00F040F7" w:rsidRPr="00ED18EB" w:rsidTr="005E54E7">
        <w:tc>
          <w:tcPr>
            <w:tcW w:w="9320" w:type="dxa"/>
          </w:tcPr>
          <w:p w:rsidR="00F040F7" w:rsidRPr="00ED18EB" w:rsidRDefault="00F040F7" w:rsidP="005E54E7">
            <w:pPr>
              <w:shd w:val="clear" w:color="auto" w:fill="auto"/>
            </w:pPr>
            <w:r w:rsidRPr="00ED18EB">
              <w:t>Studējošo patstāvīgais darbs (Pd) 48 stundas.</w:t>
            </w:r>
          </w:p>
          <w:p w:rsidR="00F040F7" w:rsidRPr="00ED18EB" w:rsidRDefault="00F040F7" w:rsidP="005E54E7">
            <w:pPr>
              <w:shd w:val="clear" w:color="auto" w:fill="auto"/>
            </w:pPr>
          </w:p>
          <w:p w:rsidR="00F040F7" w:rsidRPr="00ED18EB" w:rsidRDefault="00F040F7" w:rsidP="005E54E7">
            <w:pPr>
              <w:shd w:val="clear" w:color="auto" w:fill="auto"/>
            </w:pPr>
            <w:r w:rsidRPr="00ED18EB">
              <w:t xml:space="preserve">Patstāvīgajā darbā students nostiprina kontaktstundās apgūtās zināšanas un prasmes, izvērš teorētiskās zināšanas studiju projektu izstrādei, analizē, izvērtē un vispārina dažādu zinātnisko avotu informāciju par ansambļa vadīšanas metodiku. Veic ansambļa spēles sākotnējā apguves posma īpatnību izpēti, iepazīstas ar metodiskajiem paņēmieniem dažāda stila repertuāra apguvi, koncertu organizēšanas un </w:t>
            </w:r>
            <w:r w:rsidRPr="00ED18EB">
              <w:lastRenderedPageBreak/>
              <w:t xml:space="preserve">koncertprogrammas sastādīšanas pamatprincipiem. </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lastRenderedPageBreak/>
              <w:t>Prasības kredītpunktu iegūšanai</w:t>
            </w:r>
          </w:p>
        </w:tc>
      </w:tr>
      <w:tr w:rsidR="00F040F7" w:rsidRPr="00ED18EB" w:rsidTr="005E54E7">
        <w:tc>
          <w:tcPr>
            <w:tcW w:w="9320" w:type="dxa"/>
          </w:tcPr>
          <w:p w:rsidR="00F040F7" w:rsidRPr="00ED18EB" w:rsidRDefault="00F040F7" w:rsidP="005E54E7">
            <w:pPr>
              <w:shd w:val="clear" w:color="auto" w:fill="auto"/>
            </w:pPr>
            <w:r w:rsidRPr="00ED18EB">
              <w:t xml:space="preserve">Studiju kursa apguves </w:t>
            </w:r>
            <w:r w:rsidRPr="00ED18EB">
              <w:rPr>
                <w:rStyle w:val="Style2Char"/>
              </w:rPr>
              <w:t>pārbaudes formas:</w:t>
            </w:r>
            <w:r w:rsidRPr="00ED18EB">
              <w:t xml:space="preserve"> 2. semestrī ieskaite ar atzīmi.</w:t>
            </w:r>
          </w:p>
          <w:p w:rsidR="00F040F7" w:rsidRPr="00ED18EB" w:rsidRDefault="00F040F7" w:rsidP="005E54E7">
            <w:pPr>
              <w:shd w:val="clear" w:color="auto" w:fill="auto"/>
            </w:pPr>
          </w:p>
          <w:p w:rsidR="00F040F7" w:rsidRPr="00ED18EB" w:rsidRDefault="00F040F7" w:rsidP="005E54E7">
            <w:pPr>
              <w:shd w:val="clear" w:color="auto" w:fill="auto"/>
              <w:jc w:val="both"/>
            </w:pPr>
            <w:r w:rsidRPr="00ED18EB">
              <w:t>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rsidR="00F040F7" w:rsidRPr="00ED18EB" w:rsidRDefault="00F040F7" w:rsidP="005E54E7">
            <w:pPr>
              <w:shd w:val="clear" w:color="auto" w:fill="auto"/>
            </w:pPr>
          </w:p>
          <w:p w:rsidR="00F040F7" w:rsidRPr="00ED18EB" w:rsidRDefault="00F040F7" w:rsidP="005E54E7">
            <w:pPr>
              <w:shd w:val="clear" w:color="auto" w:fill="auto"/>
            </w:pPr>
            <w:r w:rsidRPr="00ED18EB">
              <w:t>Izmantojamās studiju formas: lekcijas, starppārbaudījumi–semināri, radošie patstāvīgie darbi, analītisks mutisks stāstījums (koncertprogrammas izvēle), ieskaite ar atzīmi.</w:t>
            </w:r>
          </w:p>
          <w:p w:rsidR="00F040F7" w:rsidRPr="00ED18EB" w:rsidRDefault="00F040F7" w:rsidP="005E54E7">
            <w:pPr>
              <w:shd w:val="clear" w:color="auto" w:fill="auto"/>
            </w:pPr>
          </w:p>
          <w:p w:rsidR="00F040F7" w:rsidRPr="00ED18EB" w:rsidRDefault="00F040F7" w:rsidP="005E54E7">
            <w:pPr>
              <w:pStyle w:val="Style2"/>
              <w:shd w:val="clear" w:color="auto" w:fill="auto"/>
            </w:pPr>
            <w:r w:rsidRPr="00ED18EB">
              <w:t xml:space="preserve">PĀRBAUDĪJUMU PRASĪBAS: </w:t>
            </w:r>
          </w:p>
          <w:p w:rsidR="00F040F7" w:rsidRPr="00ED18EB" w:rsidRDefault="00F040F7" w:rsidP="00F040F7">
            <w:pPr>
              <w:pStyle w:val="ListParagraph"/>
            </w:pPr>
            <w:r w:rsidRPr="00ED18EB">
              <w:t>regulārs un aktīvs darbs semināros, demonstrējot ansambļa organizēšanas un vadības metodikas būtības izpratni;</w:t>
            </w:r>
          </w:p>
          <w:p w:rsidR="00F040F7" w:rsidRPr="00ED18EB" w:rsidRDefault="00F040F7" w:rsidP="00F040F7">
            <w:pPr>
              <w:pStyle w:val="ListParagraph"/>
            </w:pPr>
            <w:r w:rsidRPr="00ED18EB">
              <w:t>kvalitatīvi izpildīti kursa programmā norādītie patstāvīgie darbi: koncertprogrammas atbilstošai funkcionālai piesaistei sastādīšana un pamatojums.</w:t>
            </w:r>
          </w:p>
          <w:p w:rsidR="00F040F7" w:rsidRPr="00ED18EB" w:rsidRDefault="00F040F7" w:rsidP="005E54E7">
            <w:pPr>
              <w:shd w:val="clear" w:color="auto" w:fill="auto"/>
            </w:pPr>
          </w:p>
          <w:p w:rsidR="00F040F7" w:rsidRPr="00ED18EB" w:rsidRDefault="00F040F7" w:rsidP="005E54E7">
            <w:pPr>
              <w:shd w:val="clear" w:color="auto" w:fill="auto"/>
            </w:pPr>
            <w:r w:rsidRPr="00ED18EB">
              <w:t xml:space="preserve">Studentu darbība studiju procesā šajā kursā tiek vērtēta pēc šādiem komponentiem: ansambļa repertuāra analīzes kompetence, ansambļa organizēšanas un vadības metodikas zināšanas. </w:t>
            </w:r>
          </w:p>
          <w:p w:rsidR="00F040F7" w:rsidRPr="00ED18EB" w:rsidRDefault="00F040F7" w:rsidP="005E54E7">
            <w:pPr>
              <w:shd w:val="clear" w:color="auto" w:fill="auto"/>
            </w:pPr>
          </w:p>
          <w:p w:rsidR="00F040F7" w:rsidRPr="00ED18EB" w:rsidRDefault="00F040F7" w:rsidP="005E54E7">
            <w:pPr>
              <w:pStyle w:val="Style2"/>
              <w:shd w:val="clear" w:color="auto" w:fill="auto"/>
            </w:pPr>
            <w:r w:rsidRPr="00ED18EB">
              <w:t>VĒRTĒŠANAS KRITĒRIJI:</w:t>
            </w:r>
          </w:p>
          <w:p w:rsidR="00F040F7" w:rsidRPr="00ED18EB" w:rsidRDefault="00F040F7" w:rsidP="005E54E7">
            <w:pPr>
              <w:shd w:val="clear" w:color="auto" w:fill="auto"/>
            </w:pPr>
            <w:r w:rsidRPr="00ED18EB">
              <w:t>Studentu zināšanas un prasmes tiek vērtētas vairākas reizes semestrī, proti, semināra stundās un katra semestra noslēguma pārbaudījumā – ieskaitē. Kopvērtējumu sastāda: semināru vērtējums – 40%, ieskaite ar atzīmi– 60%. Lai veicinātu zināšanu un prasmju vērtēšanas iemaņu attīstību studenti tiek iesaistīti citu studentu kompetences rezultātu novērtēšanā.</w:t>
            </w:r>
          </w:p>
          <w:p w:rsidR="00F040F7" w:rsidRPr="00ED18EB" w:rsidRDefault="00F040F7" w:rsidP="005E54E7">
            <w:pPr>
              <w:shd w:val="clear" w:color="auto" w:fill="auto"/>
            </w:pPr>
          </w:p>
          <w:p w:rsidR="00F040F7" w:rsidRPr="00ED18EB" w:rsidRDefault="00F040F7" w:rsidP="005E54E7">
            <w:pPr>
              <w:shd w:val="clear" w:color="auto" w:fill="auto"/>
            </w:pPr>
            <w:r w:rsidRPr="00ED18EB">
              <w:t>Vērtēšanas kritēriji:</w:t>
            </w:r>
          </w:p>
          <w:p w:rsidR="00F040F7" w:rsidRPr="00ED18EB" w:rsidRDefault="00F040F7" w:rsidP="005E54E7">
            <w:pPr>
              <w:shd w:val="clear" w:color="auto" w:fill="auto"/>
            </w:pPr>
            <w:r w:rsidRPr="00ED18EB">
              <w:t>– zināšanas par ansambļa veidiem, tipiem, organizēšanu;</w:t>
            </w:r>
          </w:p>
          <w:p w:rsidR="00F040F7" w:rsidRPr="00ED18EB" w:rsidRDefault="00F040F7" w:rsidP="005E54E7">
            <w:pPr>
              <w:shd w:val="clear" w:color="auto" w:fill="auto"/>
            </w:pPr>
            <w:r w:rsidRPr="00ED18EB">
              <w:t>– spēja nosaukt ansambļa vadīšanas nozīmīgākās metodes;</w:t>
            </w:r>
          </w:p>
          <w:p w:rsidR="00F040F7" w:rsidRPr="00ED18EB" w:rsidRDefault="00F040F7" w:rsidP="005E54E7">
            <w:pPr>
              <w:shd w:val="clear" w:color="auto" w:fill="auto"/>
            </w:pPr>
            <w:r w:rsidRPr="00ED18EB">
              <w:t>– ansambļa koncertrepertuāra pārzināšana;</w:t>
            </w:r>
          </w:p>
          <w:p w:rsidR="00F040F7" w:rsidRPr="00ED18EB" w:rsidRDefault="00F040F7" w:rsidP="005E54E7">
            <w:pPr>
              <w:shd w:val="clear" w:color="auto" w:fill="auto"/>
            </w:pPr>
            <w:r w:rsidRPr="00ED18EB">
              <w:t>– spēja analizēt un novērtēt koncertrepertuāru konkrēta ansambļa veidam;</w:t>
            </w:r>
          </w:p>
          <w:p w:rsidR="00F040F7" w:rsidRPr="00ED18EB" w:rsidRDefault="00F040F7" w:rsidP="005E54E7">
            <w:pPr>
              <w:shd w:val="clear" w:color="auto" w:fill="auto"/>
            </w:pPr>
            <w:r w:rsidRPr="00ED18EB">
              <w:t>– komunikācijas prasmju izpausme, kas nepieciešama ansambļa vadīšanai;</w:t>
            </w:r>
          </w:p>
          <w:p w:rsidR="00F040F7" w:rsidRPr="00ED18EB" w:rsidRDefault="00F040F7" w:rsidP="005E54E7">
            <w:pPr>
              <w:shd w:val="clear" w:color="auto" w:fill="auto"/>
            </w:pPr>
            <w:r w:rsidRPr="00ED18EB">
              <w:t>– spēja sastādīt individuālu koncertprogrammu atbilstoši ansambļa dalībnieku iespējām.</w:t>
            </w:r>
          </w:p>
          <w:p w:rsidR="00F040F7" w:rsidRPr="00ED18EB" w:rsidRDefault="00F040F7" w:rsidP="005E54E7">
            <w:pPr>
              <w:shd w:val="clear" w:color="auto" w:fill="auto"/>
            </w:pPr>
          </w:p>
          <w:p w:rsidR="00F040F7" w:rsidRPr="00ED18EB" w:rsidRDefault="00F040F7" w:rsidP="005E54E7">
            <w:pPr>
              <w:pStyle w:val="Style2"/>
              <w:shd w:val="clear" w:color="auto" w:fill="auto"/>
            </w:pPr>
            <w:r w:rsidRPr="00ED18EB">
              <w:t>STUDIJU REZULTĀTU VĒRTĒŠANA</w:t>
            </w:r>
          </w:p>
          <w:p w:rsidR="00F040F7" w:rsidRPr="00ED18EB" w:rsidRDefault="00F040F7" w:rsidP="005E54E7">
            <w:pPr>
              <w:shd w:val="clear" w:color="auto" w:fill="auto"/>
            </w:pPr>
            <w:r w:rsidRPr="00ED18EB">
              <w:t>Izcili (10):</w:t>
            </w:r>
          </w:p>
          <w:p w:rsidR="00F040F7" w:rsidRPr="00ED18EB" w:rsidRDefault="00F040F7" w:rsidP="005E54E7">
            <w:pPr>
              <w:shd w:val="clear" w:color="auto" w:fill="auto"/>
            </w:pPr>
            <w:r w:rsidRPr="00ED18EB">
              <w:t>– izcilas zināšanas ansambļa organizēšanā un vadīšanā;</w:t>
            </w:r>
          </w:p>
          <w:p w:rsidR="00F040F7" w:rsidRPr="00ED18EB" w:rsidRDefault="00F040F7" w:rsidP="005E54E7">
            <w:pPr>
              <w:shd w:val="clear" w:color="auto" w:fill="auto"/>
            </w:pPr>
            <w:r w:rsidRPr="00ED18EB">
              <w:t>– students prot nosaukt ansambļa organizēšanas un vadības metodes;</w:t>
            </w:r>
          </w:p>
          <w:p w:rsidR="00F040F7" w:rsidRPr="00ED18EB" w:rsidRDefault="00F040F7" w:rsidP="005E54E7">
            <w:pPr>
              <w:shd w:val="clear" w:color="auto" w:fill="auto"/>
            </w:pPr>
            <w:r w:rsidRPr="00ED18EB">
              <w:t>– students zina daudz ansambļa pedagoģiskā repertuāra skaņdarbu;</w:t>
            </w:r>
          </w:p>
          <w:p w:rsidR="00F040F7" w:rsidRPr="00ED18EB" w:rsidRDefault="00F040F7" w:rsidP="005E54E7">
            <w:pPr>
              <w:shd w:val="clear" w:color="auto" w:fill="auto"/>
            </w:pPr>
            <w:r w:rsidRPr="00ED18EB">
              <w:t>– students var visaptveroši analizēt un novērtēt ansambļa repertuāra māksliniecisko līmeni;</w:t>
            </w:r>
          </w:p>
          <w:p w:rsidR="00F040F7" w:rsidRPr="00ED18EB" w:rsidRDefault="00F040F7" w:rsidP="005E54E7">
            <w:pPr>
              <w:shd w:val="clear" w:color="auto" w:fill="auto"/>
            </w:pPr>
            <w:r w:rsidRPr="00ED18EB">
              <w:t>– students izrāda izcilas komunikācijas prasmes, kas nepieciešamas ansambļa vadīšanai;</w:t>
            </w:r>
          </w:p>
          <w:p w:rsidR="00F040F7" w:rsidRPr="00ED18EB" w:rsidRDefault="00F040F7" w:rsidP="005E54E7">
            <w:pPr>
              <w:shd w:val="clear" w:color="auto" w:fill="auto"/>
            </w:pPr>
            <w:r w:rsidRPr="00ED18EB">
              <w:t>– students var sastādīt atbilstošu ansambļa koncertprogrammu piemērotu dalībnieku vecumam, iespējām un repertuāram.</w:t>
            </w:r>
          </w:p>
          <w:p w:rsidR="00F040F7" w:rsidRPr="00ED18EB" w:rsidRDefault="00F040F7" w:rsidP="005E54E7">
            <w:pPr>
              <w:shd w:val="clear" w:color="auto" w:fill="auto"/>
            </w:pPr>
            <w:r w:rsidRPr="00ED18EB">
              <w:t>Teicami (9):</w:t>
            </w:r>
          </w:p>
          <w:p w:rsidR="00F040F7" w:rsidRPr="00ED18EB" w:rsidRDefault="00F040F7" w:rsidP="005E54E7">
            <w:pPr>
              <w:shd w:val="clear" w:color="auto" w:fill="auto"/>
            </w:pPr>
            <w:r w:rsidRPr="00ED18EB">
              <w:t>– teicamas zināšanas ansambļa organizēšanā un vadīšanā;</w:t>
            </w:r>
          </w:p>
          <w:p w:rsidR="00F040F7" w:rsidRPr="00ED18EB" w:rsidRDefault="00F040F7" w:rsidP="005E54E7">
            <w:pPr>
              <w:shd w:val="clear" w:color="auto" w:fill="auto"/>
            </w:pPr>
            <w:r w:rsidRPr="00ED18EB">
              <w:t>– students prot nosaukt ansambļa organizēšanas un vadības metodes;</w:t>
            </w:r>
          </w:p>
          <w:p w:rsidR="00F040F7" w:rsidRPr="00ED18EB" w:rsidRDefault="00F040F7" w:rsidP="005E54E7">
            <w:pPr>
              <w:shd w:val="clear" w:color="auto" w:fill="auto"/>
            </w:pPr>
            <w:r w:rsidRPr="00ED18EB">
              <w:t>– students zina daudz ansambļa pedagoģiskā repertuāra skaņdarbu;</w:t>
            </w:r>
          </w:p>
          <w:p w:rsidR="00F040F7" w:rsidRPr="00ED18EB" w:rsidRDefault="00F040F7" w:rsidP="005E54E7">
            <w:pPr>
              <w:shd w:val="clear" w:color="auto" w:fill="auto"/>
            </w:pPr>
            <w:r w:rsidRPr="00ED18EB">
              <w:t>– students var kvalitatīvi analizēt un novērtēt ansambļa repertuāra māksliniecisko līmeni;</w:t>
            </w:r>
          </w:p>
          <w:p w:rsidR="00F040F7" w:rsidRPr="00ED18EB" w:rsidRDefault="00F040F7" w:rsidP="005E54E7">
            <w:pPr>
              <w:shd w:val="clear" w:color="auto" w:fill="auto"/>
            </w:pPr>
            <w:r w:rsidRPr="00ED18EB">
              <w:t>– students izrāda teicamas komunikācijas prasmes, kas nepieciešamas ansambļa vadīšanai;</w:t>
            </w:r>
          </w:p>
          <w:p w:rsidR="00F040F7" w:rsidRPr="00ED18EB" w:rsidRDefault="00F040F7" w:rsidP="005E54E7">
            <w:pPr>
              <w:shd w:val="clear" w:color="auto" w:fill="auto"/>
            </w:pPr>
            <w:r w:rsidRPr="00ED18EB">
              <w:t>– students var sastādīt atbilstošu ansambļa koncertprogrammu piemērotu dalībnieku vecumam, iespējām un repertuāram.</w:t>
            </w:r>
          </w:p>
          <w:p w:rsidR="00F040F7" w:rsidRPr="00ED18EB" w:rsidRDefault="00F040F7" w:rsidP="005E54E7">
            <w:pPr>
              <w:shd w:val="clear" w:color="auto" w:fill="auto"/>
            </w:pPr>
            <w:r w:rsidRPr="00ED18EB">
              <w:t>Ļoti labi (8):</w:t>
            </w:r>
          </w:p>
          <w:p w:rsidR="00F040F7" w:rsidRPr="00ED18EB" w:rsidRDefault="00F040F7" w:rsidP="005E54E7">
            <w:pPr>
              <w:shd w:val="clear" w:color="auto" w:fill="auto"/>
            </w:pPr>
            <w:r w:rsidRPr="00ED18EB">
              <w:lastRenderedPageBreak/>
              <w:t>– ļoti labas zināšanas ansambļa organizēšanā un vadīšanā;</w:t>
            </w:r>
          </w:p>
          <w:p w:rsidR="00F040F7" w:rsidRPr="00ED18EB" w:rsidRDefault="00F040F7" w:rsidP="005E54E7">
            <w:pPr>
              <w:shd w:val="clear" w:color="auto" w:fill="auto"/>
            </w:pPr>
            <w:r w:rsidRPr="00ED18EB">
              <w:t>– students prot nosaukt ansambļa organizēšanas un vadības metodes;</w:t>
            </w:r>
          </w:p>
          <w:p w:rsidR="00F040F7" w:rsidRPr="00ED18EB" w:rsidRDefault="00F040F7" w:rsidP="005E54E7">
            <w:pPr>
              <w:shd w:val="clear" w:color="auto" w:fill="auto"/>
            </w:pPr>
            <w:r w:rsidRPr="00ED18EB">
              <w:t>– students zina daudzus ansambļa pedagoģiskā repertuāra skaņdarbu;</w:t>
            </w:r>
          </w:p>
          <w:p w:rsidR="00F040F7" w:rsidRPr="00ED18EB" w:rsidRDefault="00F040F7" w:rsidP="005E54E7">
            <w:pPr>
              <w:shd w:val="clear" w:color="auto" w:fill="auto"/>
            </w:pPr>
            <w:r w:rsidRPr="00ED18EB">
              <w:t>– students var analizēt un novērtēt ansambļa repertuāra māksliniecisko līmeni;</w:t>
            </w:r>
          </w:p>
          <w:p w:rsidR="00F040F7" w:rsidRPr="00ED18EB" w:rsidRDefault="00F040F7" w:rsidP="005E54E7">
            <w:pPr>
              <w:shd w:val="clear" w:color="auto" w:fill="auto"/>
            </w:pPr>
            <w:r w:rsidRPr="00ED18EB">
              <w:t>– students izrāda labas komunikācijas prasmes, kas nepieciešamas ansambļa vadīšanai;</w:t>
            </w:r>
          </w:p>
          <w:p w:rsidR="00F040F7" w:rsidRPr="00ED18EB" w:rsidRDefault="00F040F7" w:rsidP="005E54E7">
            <w:pPr>
              <w:shd w:val="clear" w:color="auto" w:fill="auto"/>
            </w:pPr>
            <w:r w:rsidRPr="00ED18EB">
              <w:t>– students var sastādīt atbilstošu ansambļa koncertprogrammu atbilstoši dalībnieku vecumam, iespējām un repertuāram.</w:t>
            </w:r>
          </w:p>
          <w:p w:rsidR="00F040F7" w:rsidRPr="00ED18EB" w:rsidRDefault="00F040F7" w:rsidP="005E54E7">
            <w:pPr>
              <w:shd w:val="clear" w:color="auto" w:fill="auto"/>
            </w:pPr>
            <w:r w:rsidRPr="00ED18EB">
              <w:t>Labi (7):</w:t>
            </w:r>
          </w:p>
          <w:p w:rsidR="00F040F7" w:rsidRPr="00ED18EB" w:rsidRDefault="00F040F7" w:rsidP="005E54E7">
            <w:pPr>
              <w:shd w:val="clear" w:color="auto" w:fill="auto"/>
            </w:pPr>
            <w:r w:rsidRPr="00ED18EB">
              <w:t>– viduvējas zināšanas ansambļa organizēšanā un vadīšanā;</w:t>
            </w:r>
          </w:p>
          <w:p w:rsidR="00F040F7" w:rsidRPr="00ED18EB" w:rsidRDefault="00F040F7" w:rsidP="005E54E7">
            <w:pPr>
              <w:shd w:val="clear" w:color="auto" w:fill="auto"/>
            </w:pPr>
            <w:r w:rsidRPr="00ED18EB">
              <w:t>– students prot nosaukt ansambļa organizēšanas un vadības metodes;</w:t>
            </w:r>
          </w:p>
          <w:p w:rsidR="00F040F7" w:rsidRPr="00ED18EB" w:rsidRDefault="00F040F7" w:rsidP="005E54E7">
            <w:pPr>
              <w:shd w:val="clear" w:color="auto" w:fill="auto"/>
            </w:pPr>
            <w:r w:rsidRPr="00ED18EB">
              <w:t>– students zina daudz ansambļa pedagoģiskā repertuāra skaņdarbu;</w:t>
            </w:r>
          </w:p>
          <w:p w:rsidR="00F040F7" w:rsidRPr="00ED18EB" w:rsidRDefault="00F040F7" w:rsidP="005E54E7">
            <w:pPr>
              <w:shd w:val="clear" w:color="auto" w:fill="auto"/>
            </w:pPr>
            <w:r w:rsidRPr="00ED18EB">
              <w:t>– students vidējā līmenī var analizēt un novērtēt ansambļa repertuāra māksliniecisko līmeni;</w:t>
            </w:r>
          </w:p>
          <w:p w:rsidR="00F040F7" w:rsidRPr="00ED18EB" w:rsidRDefault="00F040F7" w:rsidP="005E54E7">
            <w:pPr>
              <w:shd w:val="clear" w:color="auto" w:fill="auto"/>
            </w:pPr>
            <w:r w:rsidRPr="00ED18EB">
              <w:t>– students izrāda pietiekamas komunikācijas prasmes, kas nepieciešamas ansambļa vadīšanai;</w:t>
            </w:r>
          </w:p>
          <w:p w:rsidR="00F040F7" w:rsidRPr="00ED18EB" w:rsidRDefault="00F040F7" w:rsidP="005E54E7">
            <w:pPr>
              <w:shd w:val="clear" w:color="auto" w:fill="auto"/>
            </w:pPr>
            <w:r w:rsidRPr="00ED18EB">
              <w:t>– students var sastādīt atbilstošu un izsmeļošu ansambļa koncertprogrammu atbilstoši dalībnieku vecumam, iespējām un repertuāram.</w:t>
            </w:r>
          </w:p>
          <w:p w:rsidR="00F040F7" w:rsidRPr="00ED18EB" w:rsidRDefault="00F040F7" w:rsidP="005E54E7">
            <w:pPr>
              <w:shd w:val="clear" w:color="auto" w:fill="auto"/>
            </w:pPr>
            <w:r w:rsidRPr="00ED18EB">
              <w:t>Gandrīz labi (6).</w:t>
            </w:r>
          </w:p>
          <w:p w:rsidR="00F040F7" w:rsidRPr="00ED18EB" w:rsidRDefault="00F040F7" w:rsidP="005E54E7">
            <w:pPr>
              <w:shd w:val="clear" w:color="auto" w:fill="auto"/>
            </w:pPr>
            <w:r w:rsidRPr="00ED18EB">
              <w:t>– pietiekamas zināšanas ansambļa organizēšanā un vadīšanā;</w:t>
            </w:r>
          </w:p>
          <w:p w:rsidR="00F040F7" w:rsidRPr="00ED18EB" w:rsidRDefault="00F040F7" w:rsidP="005E54E7">
            <w:pPr>
              <w:shd w:val="clear" w:color="auto" w:fill="auto"/>
            </w:pPr>
            <w:r w:rsidRPr="00ED18EB">
              <w:t>– students prot nosaukt vairākas nozīmīgas ansambļa organizēšanas un vadības metodes;</w:t>
            </w:r>
          </w:p>
          <w:p w:rsidR="00F040F7" w:rsidRPr="00ED18EB" w:rsidRDefault="00F040F7" w:rsidP="005E54E7">
            <w:pPr>
              <w:shd w:val="clear" w:color="auto" w:fill="auto"/>
            </w:pPr>
            <w:r w:rsidRPr="00ED18EB">
              <w:t>– students zina dažus svarīgus ansambļa pedagoģiskā repertuāra skaņdarbus;</w:t>
            </w:r>
          </w:p>
          <w:p w:rsidR="00F040F7" w:rsidRPr="00ED18EB" w:rsidRDefault="00F040F7" w:rsidP="005E54E7">
            <w:pPr>
              <w:shd w:val="clear" w:color="auto" w:fill="auto"/>
            </w:pPr>
            <w:r w:rsidRPr="00ED18EB">
              <w:t>– students prot apmierinoši izanalizēt un novērtēt ansambļa repertuāra māksliniecisko līmeni;</w:t>
            </w:r>
          </w:p>
          <w:p w:rsidR="00F040F7" w:rsidRPr="00ED18EB" w:rsidRDefault="00F040F7" w:rsidP="005E54E7">
            <w:pPr>
              <w:shd w:val="clear" w:color="auto" w:fill="auto"/>
            </w:pPr>
            <w:r w:rsidRPr="00ED18EB">
              <w:t>– students izrāda ierobežotas komunikācijas prasmes, kas nepieciešamas ansambļa vadīšanai;</w:t>
            </w:r>
          </w:p>
          <w:p w:rsidR="00F040F7" w:rsidRPr="00ED18EB" w:rsidRDefault="00F040F7" w:rsidP="005E54E7">
            <w:pPr>
              <w:shd w:val="clear" w:color="auto" w:fill="auto"/>
            </w:pPr>
            <w:r w:rsidRPr="00ED18EB">
              <w:t>– students saskaras ar grūtībām sastādot atbilstošu un izsmeļošu ansambļa koncertprogrammu atbilstoši dalībnieku vecumam, iespējām un repertuāram.</w:t>
            </w:r>
          </w:p>
          <w:p w:rsidR="00F040F7" w:rsidRPr="00ED18EB" w:rsidRDefault="00F040F7" w:rsidP="005E54E7">
            <w:pPr>
              <w:shd w:val="clear" w:color="auto" w:fill="auto"/>
            </w:pPr>
            <w:r w:rsidRPr="00ED18EB">
              <w:t>Viduvēji (5):</w:t>
            </w:r>
          </w:p>
          <w:p w:rsidR="00F040F7" w:rsidRPr="00ED18EB" w:rsidRDefault="00F040F7" w:rsidP="005E54E7">
            <w:pPr>
              <w:shd w:val="clear" w:color="auto" w:fill="auto"/>
            </w:pPr>
            <w:r w:rsidRPr="00ED18EB">
              <w:t>– viduvējas zināšanas ansambļa organizēšanā un vadīšanā;</w:t>
            </w:r>
          </w:p>
          <w:p w:rsidR="00F040F7" w:rsidRPr="00ED18EB" w:rsidRDefault="00F040F7" w:rsidP="005E54E7">
            <w:pPr>
              <w:shd w:val="clear" w:color="auto" w:fill="auto"/>
            </w:pPr>
            <w:r w:rsidRPr="00ED18EB">
              <w:t>– students prot nosaukt tikai dažas nozīmīgas ansambļa organizēšanas un vadības metodes;</w:t>
            </w:r>
          </w:p>
          <w:p w:rsidR="00F040F7" w:rsidRPr="00ED18EB" w:rsidRDefault="00F040F7" w:rsidP="005E54E7">
            <w:pPr>
              <w:shd w:val="clear" w:color="auto" w:fill="auto"/>
            </w:pPr>
            <w:r w:rsidRPr="00ED18EB">
              <w:t>– students zina ļoti maz ansambļa pedagoģiskā repertuāra skaņdarbu;</w:t>
            </w:r>
          </w:p>
          <w:p w:rsidR="00F040F7" w:rsidRPr="00ED18EB" w:rsidRDefault="00F040F7" w:rsidP="005E54E7">
            <w:pPr>
              <w:shd w:val="clear" w:color="auto" w:fill="auto"/>
            </w:pPr>
            <w:r w:rsidRPr="00ED18EB">
              <w:t>– students diez vai var analizēt un novērtēt ansambļa repertuāra māksliniecisko līmeni;</w:t>
            </w:r>
          </w:p>
          <w:p w:rsidR="00F040F7" w:rsidRPr="00ED18EB" w:rsidRDefault="00F040F7" w:rsidP="005E54E7">
            <w:pPr>
              <w:shd w:val="clear" w:color="auto" w:fill="auto"/>
            </w:pPr>
            <w:r w:rsidRPr="00ED18EB">
              <w:t>– students izrāda ļoti ierobežotas komunikācijas prasmes, kas nepieciešamas ansambļa vadīšanai;</w:t>
            </w:r>
          </w:p>
          <w:p w:rsidR="00F040F7" w:rsidRPr="00ED18EB" w:rsidRDefault="00F040F7" w:rsidP="005E54E7">
            <w:pPr>
              <w:shd w:val="clear" w:color="auto" w:fill="auto"/>
            </w:pPr>
            <w:r w:rsidRPr="00ED18EB">
              <w:t>– students saskaras ar nopietnām grūtībām sastādot atbilstošu un izsmeļošu ansambļa koncertprogrammu atbilstoši dalībnieku vecumam, iespējām un repertuāram.</w:t>
            </w:r>
          </w:p>
          <w:p w:rsidR="00F040F7" w:rsidRPr="00ED18EB" w:rsidRDefault="00F040F7" w:rsidP="005E54E7">
            <w:pPr>
              <w:shd w:val="clear" w:color="auto" w:fill="auto"/>
            </w:pPr>
            <w:r w:rsidRPr="00ED18EB">
              <w:t>Gandrīz viduvēji (4):</w:t>
            </w:r>
          </w:p>
          <w:p w:rsidR="00F040F7" w:rsidRPr="00ED18EB" w:rsidRDefault="00F040F7" w:rsidP="005E54E7">
            <w:pPr>
              <w:shd w:val="clear" w:color="auto" w:fill="auto"/>
            </w:pPr>
            <w:r w:rsidRPr="00ED18EB">
              <w:t>– ļoti viduvējas zināšanas ansambļa organizēšanā un vadīšanā;</w:t>
            </w:r>
          </w:p>
          <w:p w:rsidR="00F040F7" w:rsidRPr="00ED18EB" w:rsidRDefault="00F040F7" w:rsidP="005E54E7">
            <w:pPr>
              <w:shd w:val="clear" w:color="auto" w:fill="auto"/>
            </w:pPr>
            <w:r w:rsidRPr="00ED18EB">
              <w:t>– students nespēj nosaukt pietiekamu skaitu ansambļa organizēšanas un vadības metožu;</w:t>
            </w:r>
          </w:p>
          <w:p w:rsidR="00F040F7" w:rsidRPr="00ED18EB" w:rsidRDefault="00F040F7" w:rsidP="005E54E7">
            <w:pPr>
              <w:shd w:val="clear" w:color="auto" w:fill="auto"/>
            </w:pPr>
            <w:r w:rsidRPr="00ED18EB">
              <w:t>– students nespēj nosaukt pietiekamu skaitu ansambļa pedagoģiskā repertuāra skaņdarbu;</w:t>
            </w:r>
          </w:p>
          <w:p w:rsidR="00F040F7" w:rsidRPr="00ED18EB" w:rsidRDefault="00F040F7" w:rsidP="005E54E7">
            <w:pPr>
              <w:shd w:val="clear" w:color="auto" w:fill="auto"/>
            </w:pPr>
            <w:r w:rsidRPr="00ED18EB">
              <w:t>– students nespēj pareizi analizēt un novērtēt ansambļa repertuāra māksliniecisko līmeni;</w:t>
            </w:r>
          </w:p>
          <w:p w:rsidR="00F040F7" w:rsidRPr="00ED18EB" w:rsidRDefault="00F040F7" w:rsidP="005E54E7">
            <w:pPr>
              <w:shd w:val="clear" w:color="auto" w:fill="auto"/>
            </w:pPr>
            <w:r w:rsidRPr="00ED18EB">
              <w:t>– students izrāda minimālas komunikācijas prasmes, kas nepieciešamas ansambļa vadīšanai;</w:t>
            </w:r>
          </w:p>
          <w:p w:rsidR="00F040F7" w:rsidRPr="00ED18EB" w:rsidRDefault="00F040F7" w:rsidP="005E54E7">
            <w:pPr>
              <w:shd w:val="clear" w:color="auto" w:fill="auto"/>
            </w:pPr>
            <w:r w:rsidRPr="00ED18EB">
              <w:t>– students gandrīz nespēj sastādīt atbilstošu un izsmeļošu ansambļa koncertprogrammu atbilstoši dalībnieku vecumam, iespējām un repertuāram.</w:t>
            </w:r>
          </w:p>
          <w:p w:rsidR="00F040F7" w:rsidRPr="00ED18EB" w:rsidRDefault="00F040F7" w:rsidP="005E54E7">
            <w:pPr>
              <w:shd w:val="clear" w:color="auto" w:fill="auto"/>
            </w:pPr>
            <w:r w:rsidRPr="00ED18EB">
              <w:t>Vāji (3):</w:t>
            </w:r>
          </w:p>
          <w:p w:rsidR="00F040F7" w:rsidRPr="00ED18EB" w:rsidRDefault="00F040F7" w:rsidP="005E54E7">
            <w:pPr>
              <w:shd w:val="clear" w:color="auto" w:fill="auto"/>
            </w:pPr>
            <w:r w:rsidRPr="00ED18EB">
              <w:t>– neapmierinošas zināšanas ansambļa organizēšanā un vadīšanā;</w:t>
            </w:r>
          </w:p>
          <w:p w:rsidR="00F040F7" w:rsidRPr="00ED18EB" w:rsidRDefault="00F040F7" w:rsidP="005E54E7">
            <w:pPr>
              <w:shd w:val="clear" w:color="auto" w:fill="auto"/>
            </w:pPr>
            <w:r w:rsidRPr="00ED18EB">
              <w:t>– students nespēj nosaukt nevienu ansambļa organizēšanas un vadības metodi;</w:t>
            </w:r>
          </w:p>
          <w:p w:rsidR="00F040F7" w:rsidRPr="00ED18EB" w:rsidRDefault="00F040F7" w:rsidP="005E54E7">
            <w:pPr>
              <w:shd w:val="clear" w:color="auto" w:fill="auto"/>
            </w:pPr>
            <w:r w:rsidRPr="00ED18EB">
              <w:t>– students nespēj nosaukt pietiekamu skaitu ansambļa pedagoģiskā repertuāra skaņdarbu;</w:t>
            </w:r>
          </w:p>
          <w:p w:rsidR="00F040F7" w:rsidRPr="00ED18EB" w:rsidRDefault="00F040F7" w:rsidP="005E54E7">
            <w:pPr>
              <w:shd w:val="clear" w:color="auto" w:fill="auto"/>
            </w:pPr>
            <w:r w:rsidRPr="00ED18EB">
              <w:t>– students nespēj analizēt un novērtēt ansambļa repertuāra māksliniecisko līmeni;</w:t>
            </w:r>
          </w:p>
          <w:p w:rsidR="00F040F7" w:rsidRPr="00ED18EB" w:rsidRDefault="00F040F7" w:rsidP="005E54E7">
            <w:pPr>
              <w:shd w:val="clear" w:color="auto" w:fill="auto"/>
            </w:pPr>
            <w:r w:rsidRPr="00ED18EB">
              <w:t>– students izrāda neapmierinošas komunikācijas prasmes, kas nepieciešamas ansambļa vadīšanai;</w:t>
            </w:r>
          </w:p>
          <w:p w:rsidR="00F040F7" w:rsidRPr="00ED18EB" w:rsidRDefault="00F040F7" w:rsidP="005E54E7">
            <w:pPr>
              <w:shd w:val="clear" w:color="auto" w:fill="auto"/>
            </w:pPr>
            <w:r w:rsidRPr="00ED18EB">
              <w:t>– students nespēj sastādīt atbilstošu un izsmeļošu ansambļa koncertprogrammu atbilstoši dalībnieku vecumam, iespējām un repertuāram.</w:t>
            </w:r>
          </w:p>
          <w:p w:rsidR="00F040F7" w:rsidRPr="00ED18EB" w:rsidRDefault="00F040F7" w:rsidP="005E54E7">
            <w:pPr>
              <w:shd w:val="clear" w:color="auto" w:fill="auto"/>
            </w:pPr>
            <w:r w:rsidRPr="00ED18EB">
              <w:t>Ļoti vāji (2):</w:t>
            </w:r>
          </w:p>
          <w:p w:rsidR="00F040F7" w:rsidRPr="00ED18EB" w:rsidRDefault="00F040F7" w:rsidP="005E54E7">
            <w:pPr>
              <w:shd w:val="clear" w:color="auto" w:fill="auto"/>
            </w:pPr>
            <w:r w:rsidRPr="00ED18EB">
              <w:t>– zināšanu trūkums ansambļa organizēšanā un vadīšanā;</w:t>
            </w:r>
          </w:p>
          <w:p w:rsidR="00F040F7" w:rsidRPr="00ED18EB" w:rsidRDefault="00F040F7" w:rsidP="005E54E7">
            <w:pPr>
              <w:shd w:val="clear" w:color="auto" w:fill="auto"/>
            </w:pPr>
            <w:r w:rsidRPr="00ED18EB">
              <w:t>– students nespēj nosaukt nevienu ansambļa organizēšanas un vadības metodi;</w:t>
            </w:r>
          </w:p>
          <w:p w:rsidR="00F040F7" w:rsidRPr="00ED18EB" w:rsidRDefault="00F040F7" w:rsidP="005E54E7">
            <w:pPr>
              <w:shd w:val="clear" w:color="auto" w:fill="auto"/>
            </w:pPr>
            <w:r w:rsidRPr="00ED18EB">
              <w:t>– students nespēj nosaukt nevienu ansambļa pedagoģiskā repertuāra skaņdarbu;</w:t>
            </w:r>
          </w:p>
          <w:p w:rsidR="00F040F7" w:rsidRPr="00ED18EB" w:rsidRDefault="00F040F7" w:rsidP="005E54E7">
            <w:pPr>
              <w:shd w:val="clear" w:color="auto" w:fill="auto"/>
            </w:pPr>
            <w:r w:rsidRPr="00ED18EB">
              <w:t>– students nespēj analizēt un novērtēt ansambļa repertuāra māksliniecisko līmeni;</w:t>
            </w:r>
          </w:p>
          <w:p w:rsidR="00F040F7" w:rsidRPr="00ED18EB" w:rsidRDefault="00F040F7" w:rsidP="005E54E7">
            <w:pPr>
              <w:shd w:val="clear" w:color="auto" w:fill="auto"/>
            </w:pPr>
            <w:r w:rsidRPr="00ED18EB">
              <w:t>– students neuzrāda komunikācijas prasmes, kas nepieciešamas ansambļa vadīšanai;</w:t>
            </w:r>
          </w:p>
          <w:p w:rsidR="00F040F7" w:rsidRPr="00ED18EB" w:rsidRDefault="00F040F7" w:rsidP="005E54E7">
            <w:pPr>
              <w:shd w:val="clear" w:color="auto" w:fill="auto"/>
            </w:pPr>
            <w:r w:rsidRPr="00ED18EB">
              <w:t>– students nespēj sastādīt ansambļa koncertprogrammu.</w:t>
            </w:r>
          </w:p>
          <w:p w:rsidR="00F040F7" w:rsidRPr="00ED18EB" w:rsidRDefault="00F040F7" w:rsidP="005E54E7">
            <w:pPr>
              <w:shd w:val="clear" w:color="auto" w:fill="auto"/>
            </w:pPr>
            <w:r w:rsidRPr="00ED18EB">
              <w:t>Ļoti, ļoti vāji (1):</w:t>
            </w:r>
          </w:p>
          <w:p w:rsidR="00F040F7" w:rsidRPr="00ED18EB" w:rsidRDefault="00F040F7" w:rsidP="005E54E7">
            <w:pPr>
              <w:shd w:val="clear" w:color="auto" w:fill="auto"/>
            </w:pPr>
            <w:r w:rsidRPr="00ED18EB">
              <w:lastRenderedPageBreak/>
              <w:t>– pilnīga zināšanu neesamība nevienā studiju priekšmeta sadaļā.</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lastRenderedPageBreak/>
              <w:t>Kursa saturs</w:t>
            </w:r>
          </w:p>
        </w:tc>
      </w:tr>
      <w:tr w:rsidR="00F040F7" w:rsidRPr="00ED18EB" w:rsidTr="005E54E7">
        <w:tc>
          <w:tcPr>
            <w:tcW w:w="9320" w:type="dxa"/>
          </w:tcPr>
          <w:p w:rsidR="00F040F7" w:rsidRPr="00ED18EB" w:rsidRDefault="00F040F7" w:rsidP="005E54E7">
            <w:pPr>
              <w:shd w:val="clear" w:color="auto" w:fill="auto"/>
            </w:pPr>
            <w:r w:rsidRPr="00ED18EB">
              <w:t>Ansambļa veidi un tipi.</w:t>
            </w:r>
          </w:p>
          <w:p w:rsidR="00F040F7" w:rsidRPr="00ED18EB" w:rsidRDefault="00F040F7" w:rsidP="005E54E7">
            <w:pPr>
              <w:shd w:val="clear" w:color="auto" w:fill="auto"/>
            </w:pPr>
            <w:r w:rsidRPr="00ED18EB">
              <w:t>Ansambļa organizēšanas metodikas pamatprincipi.</w:t>
            </w:r>
          </w:p>
          <w:p w:rsidR="00F040F7" w:rsidRPr="00ED18EB" w:rsidRDefault="00F040F7" w:rsidP="005E54E7">
            <w:pPr>
              <w:shd w:val="clear" w:color="auto" w:fill="auto"/>
            </w:pPr>
            <w:r w:rsidRPr="00ED18EB">
              <w:t>Ansambļa vadības principi.</w:t>
            </w:r>
          </w:p>
          <w:p w:rsidR="00F040F7" w:rsidRPr="00ED18EB" w:rsidRDefault="00F040F7" w:rsidP="005E54E7">
            <w:pPr>
              <w:shd w:val="clear" w:color="auto" w:fill="auto"/>
            </w:pPr>
            <w:r w:rsidRPr="00ED18EB">
              <w:t>Ansambļa repertuāra analīze un izvēle.</w:t>
            </w:r>
          </w:p>
          <w:p w:rsidR="00F040F7" w:rsidRPr="00ED18EB" w:rsidRDefault="00F040F7" w:rsidP="005E54E7">
            <w:pPr>
              <w:shd w:val="clear" w:color="auto" w:fill="auto"/>
            </w:pPr>
            <w:r w:rsidRPr="00ED18EB">
              <w:t>Koncertprogrammas sastādīšana, analīze un izvērtējums.</w:t>
            </w:r>
          </w:p>
          <w:p w:rsidR="00F040F7" w:rsidRPr="00ED18EB" w:rsidRDefault="00F040F7" w:rsidP="005E54E7">
            <w:pPr>
              <w:shd w:val="clear" w:color="auto" w:fill="auto"/>
            </w:pPr>
            <w:r w:rsidRPr="00ED18EB">
              <w:t xml:space="preserve">Ansambļa mūziķu spēles kompetence. </w:t>
            </w:r>
          </w:p>
          <w:p w:rsidR="00F040F7" w:rsidRPr="00ED18EB" w:rsidRDefault="00F040F7" w:rsidP="005E54E7">
            <w:pPr>
              <w:shd w:val="clear" w:color="auto" w:fill="auto"/>
            </w:pPr>
            <w:r w:rsidRPr="00ED18EB">
              <w:t>Spēles tehnikas attīstības metodes un metodiskie paņēmieni.</w:t>
            </w:r>
          </w:p>
          <w:p w:rsidR="00F040F7" w:rsidRPr="00ED18EB" w:rsidRDefault="00F040F7" w:rsidP="005E54E7">
            <w:pPr>
              <w:shd w:val="clear" w:color="auto" w:fill="auto"/>
            </w:pPr>
            <w:r w:rsidRPr="00ED18EB">
              <w:t>Dažāda veida ansambļu vadīšana.</w:t>
            </w:r>
          </w:p>
          <w:p w:rsidR="00F040F7" w:rsidRPr="00ED18EB" w:rsidRDefault="00F040F7" w:rsidP="005E54E7">
            <w:pPr>
              <w:shd w:val="clear" w:color="auto" w:fill="auto"/>
            </w:pPr>
            <w:r w:rsidRPr="00ED18EB">
              <w:t>Individuālas ansambļa koncertprogrammas atbilstoši ansambļa veidam, iespējām un funkcionālai piesaistei sastādīšana.</w:t>
            </w:r>
          </w:p>
          <w:p w:rsidR="00F040F7" w:rsidRPr="00ED18EB" w:rsidRDefault="00F040F7" w:rsidP="005E54E7">
            <w:pPr>
              <w:shd w:val="clear" w:color="auto" w:fill="auto"/>
            </w:pPr>
            <w:r w:rsidRPr="00ED18EB">
              <w:t>Koncertprogrammas apguve.</w:t>
            </w:r>
          </w:p>
          <w:p w:rsidR="00F040F7" w:rsidRPr="00ED18EB" w:rsidRDefault="00F040F7" w:rsidP="005E54E7">
            <w:pPr>
              <w:shd w:val="clear" w:color="auto" w:fill="auto"/>
            </w:pPr>
            <w:r w:rsidRPr="00ED18EB">
              <w:t>Pareizu metožu izvēle ansambļa kvalitatīvai vadībai.</w:t>
            </w:r>
          </w:p>
          <w:p w:rsidR="00F040F7" w:rsidRPr="00ED18EB" w:rsidRDefault="00F040F7" w:rsidP="005E54E7">
            <w:pPr>
              <w:shd w:val="clear" w:color="auto" w:fill="auto"/>
            </w:pPr>
            <w:r w:rsidRPr="00ED18EB">
              <w:t>Ansambļa mūziķu ētika.</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Obligāti izmantojamie informācijas avoti</w:t>
            </w:r>
          </w:p>
        </w:tc>
      </w:tr>
      <w:tr w:rsidR="00F040F7" w:rsidRPr="00ED18EB" w:rsidTr="005E54E7">
        <w:tc>
          <w:tcPr>
            <w:tcW w:w="9320" w:type="dxa"/>
          </w:tcPr>
          <w:p w:rsidR="00F040F7" w:rsidRPr="00ED18EB" w:rsidRDefault="00F040F7" w:rsidP="005E54E7">
            <w:pPr>
              <w:shd w:val="clear" w:color="auto" w:fill="auto"/>
            </w:pPr>
            <w:r w:rsidRPr="00ED18EB">
              <w:t xml:space="preserve">Biasutti, M. (2013). </w:t>
            </w:r>
            <w:r w:rsidRPr="00ED18EB">
              <w:rPr>
                <w:i/>
              </w:rPr>
              <w:t>Orchestra rehearsal strategies: Conductor and performer view.</w:t>
            </w:r>
            <w:r w:rsidRPr="00ED18EB">
              <w:t xml:space="preserve"> Musicae Scientiae, 17(1), p. 57–71.</w:t>
            </w:r>
          </w:p>
          <w:p w:rsidR="00F040F7" w:rsidRPr="00ED18EB" w:rsidRDefault="00F040F7" w:rsidP="005E54E7">
            <w:pPr>
              <w:shd w:val="clear" w:color="auto" w:fill="auto"/>
            </w:pPr>
            <w:r w:rsidRPr="00ED18EB">
              <w:t>https://www.researchgate.net/publication/258173330_Orchestra_rehearsal_strategies_</w:t>
            </w:r>
            <w:r w:rsidRPr="00ED18EB">
              <w:rPr>
                <w:lang w:val="en-GB"/>
              </w:rPr>
              <w:t xml:space="preserve"> </w:t>
            </w:r>
            <w:r w:rsidRPr="00ED18EB">
              <w:t>Conductor_and_performer_views.</w:t>
            </w:r>
          </w:p>
          <w:p w:rsidR="00F040F7" w:rsidRPr="00ED18EB" w:rsidRDefault="00F040F7" w:rsidP="005E54E7">
            <w:pPr>
              <w:shd w:val="clear" w:color="auto" w:fill="auto"/>
            </w:pPr>
            <w:r w:rsidRPr="00ED18EB">
              <w:rPr>
                <w:i/>
              </w:rPr>
              <w:t>The Woodwind Player's Cookbook</w:t>
            </w:r>
            <w:r w:rsidRPr="00ED18EB">
              <w:t xml:space="preserve"> (2008). Edited by Charles West. Meredith Music (docētāja privātais izdevumu krājums, kas skenētā veidā tiks ievietots e–studiju vidē </w:t>
            </w:r>
            <w:r w:rsidRPr="00ED18EB">
              <w:rPr>
                <w:i/>
              </w:rPr>
              <w:t>Moodle</w:t>
            </w:r>
            <w:r w:rsidRPr="00ED18EB">
              <w:t>)</w:t>
            </w:r>
          </w:p>
          <w:p w:rsidR="00F040F7" w:rsidRPr="00ED18EB" w:rsidRDefault="00F040F7" w:rsidP="005E54E7">
            <w:pPr>
              <w:shd w:val="clear" w:color="auto" w:fill="auto"/>
            </w:pPr>
            <w:r w:rsidRPr="00ED18EB">
              <w:t xml:space="preserve">Weisberg, A (2007). </w:t>
            </w:r>
            <w:r w:rsidRPr="00ED18EB">
              <w:rPr>
                <w:i/>
              </w:rPr>
              <w:t>The Art of Wind Playing.</w:t>
            </w:r>
            <w:r w:rsidRPr="00ED18EB">
              <w:t xml:space="preserve"> Meredith Music (docētāja privātais izdevumu krājums, kas skenētā veidā tiks ievietots e–studiju vidē </w:t>
            </w:r>
            <w:r w:rsidRPr="00ED18EB">
              <w:rPr>
                <w:i/>
              </w:rPr>
              <w:t>Moodle</w:t>
            </w:r>
            <w:r w:rsidRPr="00ED18EB">
              <w:t>)</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shd w:val="clear" w:color="auto" w:fill="auto"/>
            </w:pPr>
          </w:p>
          <w:p w:rsidR="00F040F7" w:rsidRPr="00ED18EB" w:rsidRDefault="00F040F7" w:rsidP="005E54E7">
            <w:pPr>
              <w:pStyle w:val="Style2"/>
              <w:shd w:val="clear" w:color="auto" w:fill="auto"/>
            </w:pPr>
            <w:r w:rsidRPr="00ED18EB">
              <w:t>Ieteicamais skaņdarbu repertuārs:</w:t>
            </w:r>
          </w:p>
          <w:p w:rsidR="00F040F7" w:rsidRPr="00ED18EB" w:rsidRDefault="00F040F7" w:rsidP="005E54E7">
            <w:pPr>
              <w:shd w:val="clear" w:color="auto" w:fill="auto"/>
            </w:pPr>
          </w:p>
          <w:p w:rsidR="00F040F7" w:rsidRPr="00ED18EB" w:rsidRDefault="00F040F7" w:rsidP="005E54E7">
            <w:pPr>
              <w:shd w:val="clear" w:color="auto" w:fill="auto"/>
            </w:pPr>
            <w:r w:rsidRPr="00ED18EB">
              <w:t>Svītas un citi baroka komponistu maza apjoma skaņdarbi (J.S.Bahs, G.F.Hendelis, A.Vivaldi, u.c.).</w:t>
            </w:r>
          </w:p>
          <w:p w:rsidR="00F040F7" w:rsidRPr="00ED18EB" w:rsidRDefault="00F040F7" w:rsidP="005E54E7">
            <w:pPr>
              <w:shd w:val="clear" w:color="auto" w:fill="auto"/>
            </w:pPr>
            <w:r w:rsidRPr="00ED18EB">
              <w:t>Divertimenti, serenādes un citi žanri klasisko komponistu daiļradē (F.A.Hofmeisters, F.Danzi, S.Reihs, J.Haidns, V.A.Mocarts, L.van Bēthovens).</w:t>
            </w:r>
          </w:p>
          <w:p w:rsidR="00F040F7" w:rsidRPr="00ED18EB" w:rsidRDefault="00F040F7" w:rsidP="005E54E7">
            <w:pPr>
              <w:shd w:val="clear" w:color="auto" w:fill="auto"/>
            </w:pPr>
            <w:r w:rsidRPr="00ED18EB">
              <w:t>Romantisma komponistu (R.Šūberta, R.Šūmaņa, F.Mendelsona, P.Čaikovska u.c.) skaņdarbi, 20.gs. komponistu oriģinālskaņdarbi un pārlikumi dažādiem ansambļu sastāviem.</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Papildus informācijas avoti</w:t>
            </w:r>
          </w:p>
        </w:tc>
      </w:tr>
      <w:tr w:rsidR="00F040F7" w:rsidRPr="00ED18EB" w:rsidTr="005E54E7">
        <w:tc>
          <w:tcPr>
            <w:tcW w:w="9320" w:type="dxa"/>
          </w:tcPr>
          <w:p w:rsidR="00F040F7" w:rsidRPr="00ED18EB" w:rsidRDefault="00F040F7" w:rsidP="005E54E7">
            <w:pPr>
              <w:shd w:val="clear" w:color="auto" w:fill="auto"/>
            </w:pPr>
            <w:r w:rsidRPr="00ED18EB">
              <w:t>Bailey C. (1998). Drum Solos. The Art of Phrasing. Hal Leonard</w:t>
            </w:r>
          </w:p>
          <w:p w:rsidR="00F040F7" w:rsidRPr="00ED18EB" w:rsidRDefault="00F040F7" w:rsidP="005E54E7">
            <w:pPr>
              <w:shd w:val="clear" w:color="auto" w:fill="auto"/>
            </w:pPr>
            <w:r w:rsidRPr="00ED18EB">
              <w:t>Charlie, P. (1978). Omnibook. Atlantic Music Corp.</w:t>
            </w:r>
          </w:p>
          <w:p w:rsidR="00F040F7" w:rsidRPr="00ED18EB" w:rsidRDefault="00F040F7" w:rsidP="005E54E7">
            <w:pPr>
              <w:shd w:val="clear" w:color="auto" w:fill="auto"/>
            </w:pPr>
            <w:r w:rsidRPr="00ED18EB">
              <w:t>Gridlev, M.C. (2001). Concice Guide to Jazz. Prentice Hall.</w:t>
            </w:r>
          </w:p>
          <w:p w:rsidR="00F040F7" w:rsidRPr="00ED18EB" w:rsidRDefault="00F040F7" w:rsidP="005E54E7">
            <w:pPr>
              <w:pStyle w:val="Footer"/>
              <w:shd w:val="clear" w:color="auto" w:fill="auto"/>
              <w:rPr>
                <w:rFonts w:ascii="Times New Roman" w:hAnsi="Times New Roman" w:cs="Times New Roman"/>
              </w:rPr>
            </w:pPr>
            <w:r w:rsidRPr="00ED18EB">
              <w:rPr>
                <w:rFonts w:ascii="Times New Roman" w:hAnsi="Times New Roman" w:cs="Times New Roman"/>
              </w:rPr>
              <w:t>Hilberger, M. (1998). Das Rock und Pop Business. Voggenreiter.</w:t>
            </w:r>
          </w:p>
          <w:p w:rsidR="00F040F7" w:rsidRPr="00ED18EB" w:rsidRDefault="00F040F7" w:rsidP="005E54E7">
            <w:pPr>
              <w:shd w:val="clear" w:color="auto" w:fill="auto"/>
            </w:pPr>
            <w:r w:rsidRPr="00ED18EB">
              <w:t>http://www.ibiblio.org/guruguha/MusicResearchLibrary/Books–English/BkE–CurtSachs–TheHistoryofMusicalInstruments–1940–0015.pdf</w:t>
            </w:r>
          </w:p>
          <w:p w:rsidR="00F040F7" w:rsidRPr="00ED18EB" w:rsidRDefault="00F040F7" w:rsidP="005E54E7">
            <w:pPr>
              <w:shd w:val="clear" w:color="auto" w:fill="auto"/>
            </w:pPr>
            <w:r w:rsidRPr="00ED18EB">
              <w:t>Jordan, R. (2005). Keyboard Madness. USA</w:t>
            </w:r>
          </w:p>
          <w:p w:rsidR="00F040F7" w:rsidRPr="00ED18EB" w:rsidRDefault="00F040F7" w:rsidP="005E54E7">
            <w:pPr>
              <w:shd w:val="clear" w:color="auto" w:fill="auto"/>
            </w:pPr>
            <w:r w:rsidRPr="00ED18EB">
              <w:t xml:space="preserve">Rhodes S. L. </w:t>
            </w:r>
            <w:r w:rsidRPr="00ED18EB">
              <w:rPr>
                <w:i/>
              </w:rPr>
              <w:t>A History of the Wind Band.</w:t>
            </w:r>
            <w:r w:rsidRPr="00ED18EB">
              <w:t xml:space="preserve"> https://ww2.lipscomb.edu/windbandhistory/</w:t>
            </w:r>
          </w:p>
          <w:p w:rsidR="00F040F7" w:rsidRPr="00ED18EB" w:rsidRDefault="00F040F7" w:rsidP="005E54E7">
            <w:pPr>
              <w:pStyle w:val="Footer"/>
              <w:shd w:val="clear" w:color="auto" w:fill="auto"/>
              <w:rPr>
                <w:rFonts w:ascii="Times New Roman" w:hAnsi="Times New Roman" w:cs="Times New Roman"/>
              </w:rPr>
            </w:pPr>
            <w:r w:rsidRPr="00ED18EB">
              <w:rPr>
                <w:rFonts w:ascii="Times New Roman" w:hAnsi="Times New Roman" w:cs="Times New Roman"/>
              </w:rPr>
              <w:t>Schuetz, V. (1996). Musikunterricht heute. Institut fuer Didaktik populaerer Music.</w:t>
            </w:r>
          </w:p>
          <w:p w:rsidR="00F040F7" w:rsidRPr="00ED18EB" w:rsidRDefault="00F040F7" w:rsidP="005E54E7">
            <w:pPr>
              <w:shd w:val="clear" w:color="auto" w:fill="auto"/>
            </w:pPr>
            <w:r w:rsidRPr="00ED18EB">
              <w:t>The History of the Wind Band. Historical Information. https://www.academia.edu/23432897/History_of_the_Wind_Band.</w:t>
            </w:r>
          </w:p>
          <w:p w:rsidR="00F040F7" w:rsidRPr="00ED18EB" w:rsidRDefault="00F040F7" w:rsidP="005E54E7">
            <w:pPr>
              <w:shd w:val="clear" w:color="auto" w:fill="auto"/>
            </w:pPr>
            <w:r w:rsidRPr="00ED18EB">
              <w:t>The new Grove dictionary of jazz / ed. by Barry Kernfeld. – 2nd ed. Vol. 1., 2., 3. – New York : Oxford University press, 2002.</w:t>
            </w:r>
          </w:p>
          <w:p w:rsidR="00F040F7" w:rsidRPr="00ED18EB" w:rsidRDefault="00F040F7" w:rsidP="005E54E7">
            <w:pPr>
              <w:shd w:val="clear" w:color="auto" w:fill="auto"/>
            </w:pPr>
            <w:r w:rsidRPr="00ED18EB">
              <w:t>The New Grove Dictionary of Music and Musicians (Ed.Stanley Sadie; Executive ed. John Tyrrell). Vol. 2. London: Macmillan, 2001.</w:t>
            </w:r>
          </w:p>
          <w:p w:rsidR="00F040F7" w:rsidRPr="00ED18EB" w:rsidRDefault="00F040F7" w:rsidP="005E54E7">
            <w:pPr>
              <w:shd w:val="clear" w:color="auto" w:fill="auto"/>
            </w:pPr>
            <w:r w:rsidRPr="00ED18EB">
              <w:t>Vider, S. (1983). The Best Drum Rhythms Ever Written. Lewis Music Publisching company.</w:t>
            </w:r>
          </w:p>
          <w:p w:rsidR="00F040F7" w:rsidRPr="00ED18EB" w:rsidRDefault="00F040F7" w:rsidP="005E54E7">
            <w:pPr>
              <w:shd w:val="clear" w:color="auto" w:fill="auto"/>
            </w:pPr>
            <w:r w:rsidRPr="00ED18EB">
              <w:lastRenderedPageBreak/>
              <w:t>www. Youtube.com</w:t>
            </w:r>
          </w:p>
          <w:p w:rsidR="00F040F7" w:rsidRPr="00ED18EB" w:rsidRDefault="00F040F7" w:rsidP="005E54E7">
            <w:pPr>
              <w:shd w:val="clear" w:color="auto" w:fill="auto"/>
            </w:pPr>
            <w:r w:rsidRPr="00ED18EB">
              <w:t>Стрелецкий, С. (2003). Школа игры в эстрадном ансамбле. Учебное пособие. Издательство: ИД Катанского: Музыка</w:t>
            </w:r>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lastRenderedPageBreak/>
              <w:t>Periodika un citi informācijas avoti</w:t>
            </w:r>
          </w:p>
        </w:tc>
      </w:tr>
      <w:tr w:rsidR="00F040F7" w:rsidRPr="00ED18EB" w:rsidTr="005E54E7">
        <w:tc>
          <w:tcPr>
            <w:tcW w:w="9320" w:type="dxa"/>
          </w:tcPr>
          <w:p w:rsidR="00F040F7" w:rsidRPr="00ED18EB" w:rsidRDefault="00F040F7" w:rsidP="005E54E7">
            <w:pPr>
              <w:shd w:val="clear" w:color="auto" w:fill="auto"/>
            </w:pPr>
            <w:r w:rsidRPr="00ED18EB">
              <w:t>Žurnāli:</w:t>
            </w:r>
          </w:p>
          <w:p w:rsidR="00F040F7" w:rsidRPr="00ED18EB" w:rsidRDefault="00F040F7" w:rsidP="005E54E7">
            <w:pPr>
              <w:shd w:val="clear" w:color="auto" w:fill="auto"/>
            </w:pPr>
            <w:r w:rsidRPr="00ED18EB">
              <w:t xml:space="preserve">British Journal of Music Education. </w:t>
            </w:r>
            <w:hyperlink r:id="rId6" w:history="1">
              <w:r w:rsidRPr="00ED18EB">
                <w:t>https://www.cambridge.org/core/journals/british–journal–of–music–education</w:t>
              </w:r>
            </w:hyperlink>
            <w:r w:rsidRPr="00ED18EB">
              <w:t>.</w:t>
            </w:r>
          </w:p>
          <w:p w:rsidR="00F040F7" w:rsidRPr="00ED18EB" w:rsidRDefault="00F040F7" w:rsidP="005E54E7">
            <w:pPr>
              <w:shd w:val="clear" w:color="auto" w:fill="auto"/>
            </w:pPr>
            <w:r w:rsidRPr="00ED18EB">
              <w:t xml:space="preserve">International Journal of music Education. </w:t>
            </w:r>
            <w:hyperlink r:id="rId7" w:history="1">
              <w:r w:rsidRPr="00ED18EB">
                <w:t>https://journals.sagepub.com/home/ijm</w:t>
              </w:r>
            </w:hyperlink>
            <w:r w:rsidRPr="00ED18EB">
              <w:t>.</w:t>
            </w:r>
          </w:p>
          <w:p w:rsidR="00F040F7" w:rsidRPr="00ED18EB" w:rsidRDefault="00F040F7" w:rsidP="005E54E7">
            <w:pPr>
              <w:shd w:val="clear" w:color="auto" w:fill="auto"/>
            </w:pPr>
            <w:r w:rsidRPr="00ED18EB">
              <w:t>Journal of Research in Music Education.</w:t>
            </w:r>
          </w:p>
          <w:p w:rsidR="00F040F7" w:rsidRPr="00ED18EB" w:rsidRDefault="00F040F7" w:rsidP="005E54E7">
            <w:pPr>
              <w:shd w:val="clear" w:color="auto" w:fill="auto"/>
            </w:pPr>
            <w:hyperlink r:id="rId8" w:history="1">
              <w:r w:rsidRPr="00ED18EB">
                <w:rPr>
                  <w:rStyle w:val="Hyperlink"/>
                </w:rPr>
                <w:t>https://journals.sagepub.com/doi/abs/10.1177/0022429415583474?journalCode=jrmas</w:t>
              </w:r>
            </w:hyperlink>
          </w:p>
          <w:p w:rsidR="00F040F7" w:rsidRPr="00ED18EB" w:rsidRDefault="00F040F7" w:rsidP="005E54E7">
            <w:pPr>
              <w:shd w:val="clear" w:color="auto" w:fill="auto"/>
            </w:pPr>
          </w:p>
        </w:tc>
      </w:tr>
      <w:tr w:rsidR="00F040F7" w:rsidRPr="00ED18EB" w:rsidTr="005E54E7">
        <w:tc>
          <w:tcPr>
            <w:tcW w:w="9320" w:type="dxa"/>
          </w:tcPr>
          <w:p w:rsidR="00F040F7" w:rsidRPr="00ED18EB" w:rsidRDefault="00F040F7" w:rsidP="005E54E7">
            <w:pPr>
              <w:pStyle w:val="Nosaukumi"/>
            </w:pPr>
            <w:r w:rsidRPr="00ED18EB">
              <w:t>Piezīmes</w:t>
            </w:r>
          </w:p>
        </w:tc>
      </w:tr>
      <w:tr w:rsidR="00F040F7" w:rsidRPr="00ED18EB" w:rsidTr="005E54E7">
        <w:tc>
          <w:tcPr>
            <w:tcW w:w="9320" w:type="dxa"/>
          </w:tcPr>
          <w:p w:rsidR="00F040F7" w:rsidRPr="00ED18EB" w:rsidRDefault="00F040F7" w:rsidP="005E54E7">
            <w:pPr>
              <w:shd w:val="clear" w:color="auto" w:fill="auto"/>
            </w:pPr>
            <w:r w:rsidRPr="00ED18EB">
              <w:t>Profesionālās bakalaura studiju programmas "Mūzika" B2 daļa.</w:t>
            </w:r>
          </w:p>
          <w:p w:rsidR="00F040F7" w:rsidRPr="00ED18EB" w:rsidRDefault="00F040F7" w:rsidP="005E54E7">
            <w:pPr>
              <w:shd w:val="clear" w:color="auto" w:fill="auto"/>
            </w:pPr>
            <w:r w:rsidRPr="00ED18EB">
              <w:t>Kursu apgūst latviešu valodā vai angļu valodā.</w:t>
            </w:r>
          </w:p>
          <w:p w:rsidR="00F040F7" w:rsidRPr="00ED18EB" w:rsidRDefault="00F040F7" w:rsidP="005E54E7">
            <w:pPr>
              <w:shd w:val="clear" w:color="auto" w:fill="auto"/>
            </w:pPr>
          </w:p>
        </w:tc>
      </w:tr>
    </w:tbl>
    <w:p w:rsidR="00F040F7" w:rsidRPr="00ED18EB" w:rsidRDefault="00F040F7" w:rsidP="00F040F7">
      <w:pPr>
        <w:sectPr w:rsidR="00F040F7" w:rsidRPr="00ED18EB" w:rsidSect="000728AB">
          <w:pgSz w:w="11906" w:h="16838" w:code="9"/>
          <w:pgMar w:top="1418" w:right="1418" w:bottom="1418" w:left="1701" w:header="720" w:footer="720" w:gutter="0"/>
          <w:cols w:space="720"/>
          <w:docGrid w:linePitch="360"/>
        </w:sectPr>
      </w:pPr>
    </w:p>
    <w:p w:rsidR="00F040F7" w:rsidRDefault="00F040F7"/>
    <w:sectPr w:rsidR="00F040F7" w:rsidSect="00F040F7">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0F7"/>
    <w:rsid w:val="00476ACE"/>
    <w:rsid w:val="00F040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0F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040F7"/>
    <w:rPr>
      <w:color w:val="0000FF"/>
      <w:u w:val="single"/>
    </w:rPr>
  </w:style>
  <w:style w:type="paragraph" w:customStyle="1" w:styleId="Nosaukumi">
    <w:name w:val="Nosaukumi"/>
    <w:basedOn w:val="Normal"/>
    <w:link w:val="NosaukumiChar"/>
    <w:autoRedefine/>
    <w:qFormat/>
    <w:rsid w:val="00F040F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040F7"/>
    <w:pPr>
      <w:framePr w:hSpace="180" w:wrap="around" w:vAnchor="text" w:hAnchor="margin" w:y="1"/>
      <w:shd w:val="clear" w:color="auto" w:fill="auto"/>
    </w:pPr>
    <w:rPr>
      <w:i/>
      <w:iCs w:val="0"/>
      <w:szCs w:val="22"/>
    </w:rPr>
  </w:style>
  <w:style w:type="table" w:styleId="TableGrid">
    <w:name w:val="Table Grid"/>
    <w:basedOn w:val="TableNormal"/>
    <w:uiPriority w:val="59"/>
    <w:rsid w:val="00F04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F040F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F040F7"/>
    <w:rPr>
      <w:rFonts w:ascii="Times New Roman" w:hAnsi="Times New Roman" w:cs="Times New Roman"/>
    </w:rPr>
  </w:style>
  <w:style w:type="paragraph" w:styleId="Header">
    <w:name w:val="header"/>
    <w:basedOn w:val="Normal"/>
    <w:link w:val="HeaderChar"/>
    <w:uiPriority w:val="99"/>
    <w:unhideWhenUsed/>
    <w:rsid w:val="00F040F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040F7"/>
    <w:rPr>
      <w:shd w:val="clear" w:color="auto" w:fill="FFFFFF" w:themeFill="background1"/>
    </w:rPr>
  </w:style>
  <w:style w:type="paragraph" w:styleId="Footer">
    <w:name w:val="footer"/>
    <w:aliases w:val=" Rakstz.,Rakstz."/>
    <w:basedOn w:val="Normal"/>
    <w:link w:val="FooterChar"/>
    <w:unhideWhenUsed/>
    <w:rsid w:val="00F040F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rsid w:val="00F040F7"/>
    <w:rPr>
      <w:shd w:val="clear" w:color="auto" w:fill="FFFFFF" w:themeFill="background1"/>
    </w:rPr>
  </w:style>
  <w:style w:type="paragraph" w:customStyle="1" w:styleId="Style1">
    <w:name w:val="Style1"/>
    <w:basedOn w:val="Nosaukumi"/>
    <w:link w:val="Style1Char"/>
    <w:autoRedefine/>
    <w:qFormat/>
    <w:rsid w:val="00F040F7"/>
    <w:pPr>
      <w:framePr w:wrap="around" w:hAnchor="text"/>
      <w:ind w:right="399"/>
    </w:pPr>
    <w:rPr>
      <w:sz w:val="24"/>
      <w:shd w:val="clear" w:color="auto" w:fill="FFFFFF"/>
    </w:rPr>
  </w:style>
  <w:style w:type="character" w:customStyle="1" w:styleId="NosaukumiChar">
    <w:name w:val="Nosaukumi Char"/>
    <w:basedOn w:val="DefaultParagraphFont"/>
    <w:link w:val="Nosaukumi"/>
    <w:rsid w:val="00F040F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040F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040F7"/>
    <w:rPr>
      <w:caps/>
      <w:szCs w:val="22"/>
    </w:rPr>
  </w:style>
  <w:style w:type="character" w:customStyle="1" w:styleId="Style2Char">
    <w:name w:val="Style2 Char"/>
    <w:basedOn w:val="DefaultParagraphFont"/>
    <w:link w:val="Style2"/>
    <w:rsid w:val="00F040F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040F7"/>
    <w:rPr>
      <w:rFonts w:ascii="Tahoma" w:hAnsi="Tahoma" w:cs="Tahoma"/>
      <w:sz w:val="16"/>
      <w:szCs w:val="16"/>
    </w:rPr>
  </w:style>
  <w:style w:type="character" w:customStyle="1" w:styleId="BalloonTextChar">
    <w:name w:val="Balloon Text Char"/>
    <w:basedOn w:val="DefaultParagraphFont"/>
    <w:link w:val="BalloonText"/>
    <w:uiPriority w:val="99"/>
    <w:semiHidden/>
    <w:rsid w:val="00F040F7"/>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0F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040F7"/>
    <w:rPr>
      <w:color w:val="0000FF"/>
      <w:u w:val="single"/>
    </w:rPr>
  </w:style>
  <w:style w:type="paragraph" w:customStyle="1" w:styleId="Nosaukumi">
    <w:name w:val="Nosaukumi"/>
    <w:basedOn w:val="Normal"/>
    <w:link w:val="NosaukumiChar"/>
    <w:autoRedefine/>
    <w:qFormat/>
    <w:rsid w:val="00F040F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040F7"/>
    <w:pPr>
      <w:framePr w:hSpace="180" w:wrap="around" w:vAnchor="text" w:hAnchor="margin" w:y="1"/>
      <w:shd w:val="clear" w:color="auto" w:fill="auto"/>
    </w:pPr>
    <w:rPr>
      <w:i/>
      <w:iCs w:val="0"/>
      <w:szCs w:val="22"/>
    </w:rPr>
  </w:style>
  <w:style w:type="table" w:styleId="TableGrid">
    <w:name w:val="Table Grid"/>
    <w:basedOn w:val="TableNormal"/>
    <w:uiPriority w:val="59"/>
    <w:rsid w:val="00F04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F040F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F040F7"/>
    <w:rPr>
      <w:rFonts w:ascii="Times New Roman" w:hAnsi="Times New Roman" w:cs="Times New Roman"/>
    </w:rPr>
  </w:style>
  <w:style w:type="paragraph" w:styleId="Header">
    <w:name w:val="header"/>
    <w:basedOn w:val="Normal"/>
    <w:link w:val="HeaderChar"/>
    <w:uiPriority w:val="99"/>
    <w:unhideWhenUsed/>
    <w:rsid w:val="00F040F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040F7"/>
    <w:rPr>
      <w:shd w:val="clear" w:color="auto" w:fill="FFFFFF" w:themeFill="background1"/>
    </w:rPr>
  </w:style>
  <w:style w:type="paragraph" w:styleId="Footer">
    <w:name w:val="footer"/>
    <w:aliases w:val=" Rakstz.,Rakstz."/>
    <w:basedOn w:val="Normal"/>
    <w:link w:val="FooterChar"/>
    <w:unhideWhenUsed/>
    <w:rsid w:val="00F040F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rsid w:val="00F040F7"/>
    <w:rPr>
      <w:shd w:val="clear" w:color="auto" w:fill="FFFFFF" w:themeFill="background1"/>
    </w:rPr>
  </w:style>
  <w:style w:type="paragraph" w:customStyle="1" w:styleId="Style1">
    <w:name w:val="Style1"/>
    <w:basedOn w:val="Nosaukumi"/>
    <w:link w:val="Style1Char"/>
    <w:autoRedefine/>
    <w:qFormat/>
    <w:rsid w:val="00F040F7"/>
    <w:pPr>
      <w:framePr w:wrap="around" w:hAnchor="text"/>
      <w:ind w:right="399"/>
    </w:pPr>
    <w:rPr>
      <w:sz w:val="24"/>
      <w:shd w:val="clear" w:color="auto" w:fill="FFFFFF"/>
    </w:rPr>
  </w:style>
  <w:style w:type="character" w:customStyle="1" w:styleId="NosaukumiChar">
    <w:name w:val="Nosaukumi Char"/>
    <w:basedOn w:val="DefaultParagraphFont"/>
    <w:link w:val="Nosaukumi"/>
    <w:rsid w:val="00F040F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040F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040F7"/>
    <w:rPr>
      <w:caps/>
      <w:szCs w:val="22"/>
    </w:rPr>
  </w:style>
  <w:style w:type="character" w:customStyle="1" w:styleId="Style2Char">
    <w:name w:val="Style2 Char"/>
    <w:basedOn w:val="DefaultParagraphFont"/>
    <w:link w:val="Style2"/>
    <w:rsid w:val="00F040F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040F7"/>
    <w:rPr>
      <w:rFonts w:ascii="Tahoma" w:hAnsi="Tahoma" w:cs="Tahoma"/>
      <w:sz w:val="16"/>
      <w:szCs w:val="16"/>
    </w:rPr>
  </w:style>
  <w:style w:type="character" w:customStyle="1" w:styleId="BalloonTextChar">
    <w:name w:val="Balloon Text Char"/>
    <w:basedOn w:val="DefaultParagraphFont"/>
    <w:link w:val="BalloonText"/>
    <w:uiPriority w:val="99"/>
    <w:semiHidden/>
    <w:rsid w:val="00F040F7"/>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022429415583474?journalCode=jrmas" TargetMode="External"/><Relationship Id="rId3" Type="http://schemas.microsoft.com/office/2007/relationships/stylesWithEffects" Target="stylesWithEffects.xml"/><Relationship Id="rId7" Type="http://schemas.openxmlformats.org/officeDocument/2006/relationships/hyperlink" Target="https://journals.sagepub.com/home/ij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mbridge.org/core/journals/british-journal-of-music-educati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5E335B65B84E9B9B5C147CD0426407"/>
        <w:category>
          <w:name w:val="General"/>
          <w:gallery w:val="placeholder"/>
        </w:category>
        <w:types>
          <w:type w:val="bbPlcHdr"/>
        </w:types>
        <w:behaviors>
          <w:behavior w:val="content"/>
        </w:behaviors>
        <w:guid w:val="{44BFACC5-DF12-43F6-A5A1-616875C2E874}"/>
      </w:docPartPr>
      <w:docPartBody>
        <w:p w:rsidR="00000000" w:rsidRDefault="00C04F76" w:rsidP="00C04F76">
          <w:pPr>
            <w:pStyle w:val="9A5E335B65B84E9B9B5C147CD042640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76"/>
    <w:rsid w:val="00B021E2"/>
    <w:rsid w:val="00C04F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4F76"/>
    <w:rPr>
      <w:color w:val="808080"/>
    </w:rPr>
  </w:style>
  <w:style w:type="paragraph" w:customStyle="1" w:styleId="9A5E335B65B84E9B9B5C147CD0426407">
    <w:name w:val="9A5E335B65B84E9B9B5C147CD0426407"/>
    <w:rsid w:val="00C04F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4F76"/>
    <w:rPr>
      <w:color w:val="808080"/>
    </w:rPr>
  </w:style>
  <w:style w:type="paragraph" w:customStyle="1" w:styleId="9A5E335B65B84E9B9B5C147CD0426407">
    <w:name w:val="9A5E335B65B84E9B9B5C147CD0426407"/>
    <w:rsid w:val="00C04F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9121</Words>
  <Characters>5199</Characters>
  <Application>Microsoft Office Word</Application>
  <DocSecurity>0</DocSecurity>
  <Lines>43</Lines>
  <Paragraphs>28</Paragraphs>
  <ScaleCrop>false</ScaleCrop>
  <Company/>
  <LinksUpToDate>false</LinksUpToDate>
  <CharactersWithSpaces>14292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2023-07-13T10:44:00Z</dcterms:created>
  <dcterms:modified xsi:type="dcterms:W3CDTF">2023-07-13T10:45:00Z</dcterms:modified>
</cp:coreProperties>
</file>