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4AE" w:rsidRPr="00ED18EB" w:rsidRDefault="003034AE" w:rsidP="003034AE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3034AE" w:rsidRPr="00ED18EB" w:rsidRDefault="003034AE" w:rsidP="003034AE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3034AE" w:rsidRPr="00ED18EB" w:rsidRDefault="003034AE" w:rsidP="003034AE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AE" w:rsidRPr="00ED18EB" w:rsidRDefault="003034AE" w:rsidP="0078692D">
            <w:pPr>
              <w:pStyle w:val="Style1"/>
              <w:framePr w:wrap="around"/>
            </w:pPr>
            <w:bookmarkStart w:id="0" w:name="_Toc103779998"/>
            <w:bookmarkStart w:id="1" w:name="_GoBack"/>
            <w:r w:rsidRPr="00ED18EB">
              <w:t>Pūšaminstrumenta spēle (trombons)</w:t>
            </w:r>
            <w:bookmarkEnd w:id="0"/>
            <w:r>
              <w:t xml:space="preserve"> DP</w:t>
            </w:r>
            <w:bookmarkEnd w:id="1"/>
          </w:p>
        </w:tc>
      </w:tr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AE" w:rsidRPr="00ED18EB" w:rsidRDefault="003034AE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MākZ4498</w:t>
            </w:r>
          </w:p>
        </w:tc>
      </w:tr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-1669867958"/>
            <w:placeholder>
              <w:docPart w:val="75B697C3B7774A2283E42344FAA533A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034AE" w:rsidRPr="00ED18EB" w:rsidRDefault="003034AE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shd w:val="clear" w:color="auto" w:fill="auto"/>
              <w:rPr>
                <w:lang w:eastAsia="lv-LV"/>
              </w:rPr>
            </w:pPr>
            <w:r w:rsidRPr="00ED18EB">
              <w:t>1., 2., 3., 4.</w:t>
            </w:r>
          </w:p>
        </w:tc>
      </w:tr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AE" w:rsidRPr="00ED18EB" w:rsidRDefault="003034AE" w:rsidP="0078692D">
            <w:pPr>
              <w:shd w:val="clear" w:color="auto" w:fill="auto"/>
              <w:rPr>
                <w:lang w:eastAsia="lv-LV"/>
              </w:rPr>
            </w:pPr>
            <w:r w:rsidRPr="00ED18EB">
              <w:t>23</w:t>
            </w:r>
          </w:p>
        </w:tc>
      </w:tr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34.5</w:t>
            </w:r>
          </w:p>
        </w:tc>
      </w:tr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AE" w:rsidRPr="00ED18EB" w:rsidRDefault="003034AE" w:rsidP="0078692D">
            <w:pPr>
              <w:shd w:val="clear" w:color="auto" w:fill="auto"/>
              <w:rPr>
                <w:lang w:eastAsia="lv-LV"/>
              </w:rPr>
            </w:pPr>
            <w:r w:rsidRPr="00ED18EB">
              <w:t>276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276 (uz katru studējošo) </w:t>
            </w:r>
          </w:p>
        </w:tc>
      </w:tr>
      <w:tr w:rsidR="003034AE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AE" w:rsidRPr="00ED18EB" w:rsidRDefault="003034AE" w:rsidP="0078692D">
            <w:pPr>
              <w:shd w:val="clear" w:color="auto" w:fill="auto"/>
              <w:rPr>
                <w:lang w:eastAsia="lv-LV"/>
              </w:rPr>
            </w:pPr>
            <w:r w:rsidRPr="00ED18EB">
              <w:t>644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Kursa autors(–i)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Dr.art., viesprofesors Rytis Urniežius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Mg.art., docents Dainis Vuškāns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Priekšzināšanas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Pūšaminstrumenta (trombons) spēles prasmes, kas iegūtas atbilstoši mūzikas profesionālās vidējās izglītības studiju programmas prasībām.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</w:t>
            </w:r>
            <w:r w:rsidRPr="00ED18EB">
              <w:rPr>
                <w:shd w:val="clear" w:color="auto" w:fill="FFFFFF" w:themeFill="background1"/>
              </w:rPr>
              <w:t>atbilstošā pūšaminstrumenta spēles</w:t>
            </w:r>
            <w:r w:rsidRPr="00ED18EB">
              <w:t xml:space="preserve"> moduļa “Pūšaminstrumenta spēle (trombons)” studējošajiem.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KURSA MĒRĶIS – sagatavot profesionālu trombonistu,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KURSA UZDEVUMI – instrumenta spēles un māksliniecisko prasmju pilnveide un dažādu stilu repertuāra apguve.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Kursa struktūra: individuālās praktiskās nodarbības (Ip) – 276 stundas (uz katru studējošo); starppārbaudījumi – kontrolstundas (KS), akadēmiskie koncerti (AK), kolokviji </w:t>
            </w:r>
            <w:proofErr w:type="gramStart"/>
            <w:r w:rsidRPr="00ED18EB">
              <w:t>(</w:t>
            </w:r>
            <w:proofErr w:type="gramEnd"/>
            <w:r w:rsidRPr="00ED18EB">
              <w:t>K, patstāvīgais darbs (Pd) – 644 stundas.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 semestris 2KP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Kursa struktūra: individuālās praktiskās nodarbības (Ip) – 24 stundas (uz katru studējošo), patstāvīgais </w:t>
            </w:r>
            <w:r w:rsidRPr="00ED18EB">
              <w:lastRenderedPageBreak/>
              <w:t>darbs (Pd) – 56 stundas.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Ieskaite ar atzīmi.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II semestris 3KP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Eksāmens.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III semestris 3KP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Ieskaite ar atzīmi.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IV semestris 3KP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Eksāmens.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 semestris 3KP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Ieskaite ar atzīmi.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 semestris 3KP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Eksāmens.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VII semestris 3KP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Ieskaite ar atzīmi.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VIII semestris 3KP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lastRenderedPageBreak/>
              <w:t>Kursa struktūra: individuālās praktiskās nodarbības (Ip) – 36 stundas (uz katru studējošo), patstāvīgais darbs (Pd) – 84 stundas.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Eksāmens: noslēguma eksāmena programma no galvas.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visaptverošas zināšanas par pūšaminstrumentu (īpaši trombona) tehnoloģiju un atskaņojuma specifiku;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trombona koncertrepertuāra skaņdarbu pārzināšana;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zināšanas par dažādiem pūšaminstrumentu mūzikas stiliem un žanriem;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mūzikas formveides vispārīgo principu izpratne.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novērtēt citu mūziķu atskaņotā skaņdarba māksliniecisko interpretācijas līmeni;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prasme lasīšanā no lapas.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spēja identificēt un analizēt teorētiskās un praktiskās problēmas, kas rodas spēlējot trombonu, un rast risinājumus;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spēja ievērot profesionālo ētiku;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spēja komunicēt par pūšaminstrumentu atskaņotājmākslu.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Studējošo patstāvīgais darbs (Pd) 644 stundas tiek organizēts individuāli.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Patstāvīgie uzdevumi: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– lasīšanas no lapas prasmes pilnveide; 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</w:t>
            </w:r>
            <w:r w:rsidRPr="00ED18EB">
              <w:t xml:space="preserve"> – eksāmens.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ieskaites ar atzīmi un eksāmeni.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Ieskaite ar atzīmi 1., 3., 5., 7. semestrī.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Eksāmens 2., 4., 6., 8. semestrī.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Studiju kursa apguves pārbaudes formas: kontrolstundas, akadēmiskie koncerti – 25%, kolokviji – 25%, ieskaites ar atzīmi un eksāmeni – 50%. Regulārs nodarbību apmeklējums.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lastRenderedPageBreak/>
              <w:t>atskaņot no galvas ieskaišu ar atzīmi un eksāmenu programmas.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 semestris: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gammas līdz divām zīmēm;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lasīšana no lapas tonalitātēs līdz divām alterācijas zīmēm.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skaņdarbs.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Ieskaite ar atzīmi: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gammas līdz četrām zīmēm;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lasīšana no lapas tonalitātēs līdz trīs alterācijas zīmēm.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Eksāmens: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izvērstas formas skaņdarbs.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III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gammas līdz sešām zīmēm;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lasīšana no lapas tonalitātēs līdz četrām alterācijas zīmēm.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viens skaņdarbs (var pēc notīm).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Ieskaite ar atzīmi: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trīs dažāda rakstura skaņdarbi (viens – patstāvīgi sagatavots skaņdarbs pēc izvēles).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IV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gammas līdz septiņām zīmēm;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lasīšana no lapas tonalitātēs līdz piecām alterācijas zīmēm.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Eksāmens: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latviešu komponista skaņdarbs.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Kontrolstunda: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lasīšana no lapas tonalitātēs līdz piecām alterācijas zīmēm.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viens skaņdarbs.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Ieskaite ar atzīmi: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lastRenderedPageBreak/>
              <w:t>– viens skaņdarbs.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latviešu komponista skaņdarbs;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patstāvīgi sagatavots skaņdarbs.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Eksāmens: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mūsdienu mūzikas skaņdarbs.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Kontrolstunda: 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etīde pēc izvēles.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Akadēmiskais koncerts: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viens skaņdarbs no noslēguma programmas (pēc notīm).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Kolokvijs.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Ieskaite ar atzīmi: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sym w:font="Symbol" w:char="F02D"/>
            </w:r>
            <w:r w:rsidRPr="00ED18EB">
              <w:t xml:space="preserve"> viens skaņdarbs no noslēguma programmas (no galvas).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VIII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Eksāmens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Eksāmena programma no galvas.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Valsts pārbaudījumu programma: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virtuozs skaņdarbs;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liriska rakstura skaņdarbs.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STUDIJU REZULTĀTU VĒRTĒŠANAS KRITĒRIJI</w:t>
            </w:r>
          </w:p>
          <w:p w:rsidR="003034AE" w:rsidRPr="00ED18EB" w:rsidRDefault="003034AE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un eksāmenā vērtē 10 ballu skalā.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skaņas kvalitāte;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STUDIJU REZULTĀTU VĒRTĒŠANA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8 (ļoti labi) – pilnā mērā apgūtas studiju programmas prasības, taču reizēm trūkst prasmes patstāvīgi </w:t>
            </w:r>
            <w:r w:rsidRPr="00ED18EB">
              <w:lastRenderedPageBreak/>
              <w:t>radoši tās lietot;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Pūšaminstrumenta trombons spēles tehnikas apguve.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Mūzikas izteiksmes līdzekļu padziļināta apguve. </w:t>
            </w:r>
          </w:p>
          <w:p w:rsidR="003034AE" w:rsidRPr="00ED18EB" w:rsidRDefault="003034AE" w:rsidP="0078692D">
            <w:pPr>
              <w:shd w:val="clear" w:color="auto" w:fill="auto"/>
            </w:pPr>
            <w:proofErr w:type="gramStart"/>
            <w:r w:rsidRPr="00ED18EB">
              <w:t>Dažādu stilu un žanru skaņdarbu trombonam apguve</w:t>
            </w:r>
            <w:proofErr w:type="gramEnd"/>
            <w:r w:rsidRPr="00ED18EB">
              <w:t>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Blaževičs, V. Studijas trombonam.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Grigorjevs, B. Trombona pētījumi.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Mullers, R. Pētījumi.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Berliozs, H. Adagio.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Dubois, T. Koncerta skaņdarbs.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Rimsky–Korsakov, N. Koncerts trombonam un klavierēm. 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Blaževičs, V. Studijas trombonam.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Grigorjevs, B. Trombona pētījumi.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Mullers, R. Pētījumi.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Šostakovičs, D. Prelūdija.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Bahs, J. S. / Gounod, Ch. Ave Maria.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Reiče, E. Koncerts Nr. 2 A–duras trombonam un klavierēm.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Matejs, J. Toccata.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III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Blaževičs, V. Studijas trombonam.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Grigorjevs, B. Trombona pētījumi.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Mullers, R. Pētījumi.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Vobarons, F. Pētījumi trombonam.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Bahs, J. S. Sarabande.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A. Vivaldi. Sonātes I–VI.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Wagenseil, G. K. Koncerts.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IV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Blaževičs, V. Studijas trombonam.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Grigorjevs, B. Trombona pētījumi.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Millers, R. Pētījumi.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Vobarons, F. Pētījumi trombonam.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lastRenderedPageBreak/>
              <w:t>Blaževičs, V. Koncerts Nr. 5 trombonam un klavierēm.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Handels, G. F. Adagio.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Bahs, J. S. Andante.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Deivids, F. Koncertīno trombonam un klavierēm.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Latviešu komponistu skaņdarbi.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Hindemith, P. Sonata.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Vivaldi, A. Sonātes I – VI.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Reiče, E. Koncerts Nr. 2 trombonam un klavierēm.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Telemans, G. F. Sonāte f moll trombonam un klavierēm.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Bozza, E. Hommage à Bach pour trombone et klavieres.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Vivaldi, A. Sonātes I–VI.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Buržujs, D. Sonāte trombonam.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Albrechtsberger, J. G. Koncerts trombonam.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Latviešu komponistu skaņdarbi.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Bozza, E. Hommage à Bach pour trombone et klavieres.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Serocki, K. Koncerts trombonam un orķestrim.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Reiče, E. Koncerts Nr. 2 trombonam un klavierēm.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Deivids, F. Koncertīno trombonam un klavierēm.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Albrechtsberger, J. G. Koncerts trombonam.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Pavārs, E. Bolivar trombonam un klavierēm.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Vivaldi, A. Sonātes I–VI.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VIII semestris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Noslēguma eksāmena programma.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lastRenderedPageBreak/>
              <w:t>Obligāti izmantojamie informācijas avoti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  <w:rPr>
                <w:bCs w:val="0"/>
                <w:iCs w:val="0"/>
                <w:lang w:val="en-GB"/>
              </w:rPr>
            </w:pPr>
            <w:r w:rsidRPr="00ED18EB">
              <w:t>Etīdes: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Blazhevich, V. (2012). School for Trombone in Clefs. East–West Music International, Inc. Moscow – Chicago.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Grigoriev, B. (2011). Fifty etudes for bass trombone &amp; tenor trombone with F attachment. MI Encore Music Publishers.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Muller, R.  (2000). </w:t>
            </w:r>
            <w:hyperlink r:id="rId5" w:tooltip="Technische Studien 2. Studienwerke und Unterhaltungsstücke: Für Zugposaune - Studies and Concert Pieces for the Trombone (Paperback)" w:history="1">
              <w:r w:rsidRPr="00ED18EB">
                <w:rPr>
                  <w:rStyle w:val="Hyperlink"/>
                </w:rPr>
                <w:t>Technische Studien 2. Studienwerke und Unterhaltungsstücke: Für Zugposaune – Studies and Concert Pieces for the Trombone</w:t>
              </w:r>
            </w:hyperlink>
            <w:r w:rsidRPr="00ED18EB">
              <w:t>. Musikverlag Zimmermann.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Vobaron, F. (2002). Studies for Trombone. Bärenreiter. 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Bourgeois, D. (2013). Sonata for Trombone No. 2. Rutland: Brass Wind Publications.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Hindemith, P. (1986). Sonate for trombone and piano. Schott.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Marcello, B. (1997). Sonata no. 1 in F major: for trombone and piano (organ). Crans–Montana: Marc Reift.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Telemann, G. P. (2008). Sonata in F minor for trombone and piano. NY: International Music Company.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Vivaldi, A. (1997). 6 sonates for trombone and piano (organ). Crans–Montana: M. Reift.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Koncerti: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Albrechtsberger, J. G. (2001). Concerto for Trombone. Winwood Music.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Blazhevich, V. (1982). Concerto No. 5 for trombone and piano. New York: International Music Co.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David, F. (2016). Concertino, op. 4, trombone and piano. New York: Carl Fischer.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lastRenderedPageBreak/>
              <w:t>Reiche, E. (1993). Concerto No. 2 in A major for trombone and piano. Melville, N.Y.</w:t>
            </w:r>
            <w:proofErr w:type="gramStart"/>
            <w:r w:rsidRPr="00ED18EB">
              <w:t xml:space="preserve"> : </w:t>
            </w:r>
            <w:proofErr w:type="gramEnd"/>
            <w:r w:rsidRPr="00ED18EB">
              <w:t>Belwin Mills Publishing Corp.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Rimsky–Korsakov, N. (2018).Concerto for trombone &amp; band. Transcribed &amp; edited for trombone &amp; piano. Ithaca, NY: Ensemble Publications.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Serocki, K. (1992). Concerto for trombone and orchestra. Kraków: Polskie Wydawnictwo Muzyczne.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Wagenseil, G. K. (2003). Concerto per trombone. Wien: Doblinger. </w:t>
            </w:r>
          </w:p>
          <w:p w:rsidR="003034AE" w:rsidRPr="00ED18EB" w:rsidRDefault="003034AE" w:rsidP="0078692D">
            <w:pPr>
              <w:shd w:val="clear" w:color="auto" w:fill="auto"/>
            </w:pP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Solo skaņdarbi: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Bach, J. S. (2013). Prélude – Sarabande – Bourée for trombone and piano; from the cello suites III &amp; V. Boosey &amp; Hawkes.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Bozza, E. (2008). Hommage à Bach</w:t>
            </w:r>
            <w:proofErr w:type="gramStart"/>
            <w:r w:rsidRPr="00ED18EB">
              <w:t xml:space="preserve"> : </w:t>
            </w:r>
            <w:proofErr w:type="gramEnd"/>
            <w:r w:rsidRPr="00ED18EB">
              <w:t xml:space="preserve">pour trombone et piano. Paris: Ledu.c. Classical favourites for trombone (2005). De Haske. 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Concert and contest collection for trombone with piano accompaniment (2008). Rubank</w:t>
            </w:r>
            <w:proofErr w:type="gramStart"/>
            <w:r w:rsidRPr="00ED18EB">
              <w:t xml:space="preserve"> ;</w:t>
            </w:r>
            <w:proofErr w:type="gramEnd"/>
            <w:r w:rsidRPr="00ED18EB">
              <w:t xml:space="preserve"> Milwaukee, WI: H. Leonard.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Cook, E. (2012). Bolivar for trombone and piano. Boosey &amp; Hawkes.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Dubois, T. Concertpiece in A flat major. International Music Company.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Solos for the Trombone Player (2013). Schirmer.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The Baroque Trombone (1997). Faber Music.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lastRenderedPageBreak/>
              <w:t>Papildus informācijas avoti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Herbert, T. (2006). The Trombone. Yale University Press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Herbert, T., Wallace, J. (1997). The Cambridge Companion to Brass Instruments. Cambridge University Press.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Steenstrup, K. (2007). Teaching Brass, 2nd edition. Royal Academy of Music, Aarhus (docētāja privātais izdevumu krājums)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Morgan, R. (1991). Twentieth–Century Music: A History of Musical Style in Modern Europe and America. New York: W. W. Norton &amp; Company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 xml:space="preserve">Wayne, B.; Miles, P. J. M.; Siebert, A.; Stanley, W. J.; Stein, T. G. (2008). Teaching Brass: A Resource Manual. Boston: McGraw–Hill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Weisberg, A (2007). The Art of Wind Playing. Meredith Music.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Online Trombone Journal. https://www.trombone.org.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Early Music Performer. https://www.earlymusic.info/Performer.php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3034AE" w:rsidRPr="00ED18EB" w:rsidRDefault="003034AE" w:rsidP="0078692D">
            <w:pPr>
              <w:shd w:val="clear" w:color="auto" w:fill="auto"/>
            </w:pP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4AE" w:rsidRPr="00ED18EB" w:rsidRDefault="003034AE" w:rsidP="0078692D">
            <w:pPr>
              <w:pStyle w:val="Nosaukumi"/>
            </w:pPr>
            <w:r w:rsidRPr="00ED18EB">
              <w:t>Piezīmes</w:t>
            </w:r>
          </w:p>
        </w:tc>
      </w:tr>
      <w:tr w:rsidR="003034AE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ED18EB" w:rsidRDefault="003034AE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3034AE" w:rsidRPr="00ED18EB" w:rsidRDefault="003034AE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3034AE" w:rsidRPr="00ED18EB" w:rsidRDefault="003034AE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3034AE" w:rsidRPr="00ED18EB" w:rsidRDefault="003034AE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3034AE" w:rsidRPr="00ED18EB" w:rsidRDefault="003034AE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3034AE" w:rsidRPr="00ED18EB" w:rsidRDefault="003034AE" w:rsidP="003034AE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ED36EA" w:rsidRDefault="00ED36EA"/>
    <w:sectPr w:rsidR="00ED3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AE"/>
    <w:rsid w:val="003034AE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4A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034AE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3034A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3034A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303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34A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034A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3034A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3034A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3034A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3034A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3034A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4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4AE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4AE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034AE"/>
    <w:rPr>
      <w:color w:val="0000FF"/>
      <w:u w:val="single"/>
    </w:rPr>
  </w:style>
  <w:style w:type="paragraph" w:customStyle="1" w:styleId="Nosaukumi">
    <w:name w:val="Nosaukumi"/>
    <w:basedOn w:val="Normal"/>
    <w:link w:val="NosaukumiChar"/>
    <w:autoRedefine/>
    <w:qFormat/>
    <w:rsid w:val="003034AE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3034AE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303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34AE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034AE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3034AE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3034AE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3034AE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3034AE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3034AE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4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4AE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bebooks.com/servlet/BookDetailsPL?bi=30436942756&amp;searchurl=an%3Drobert%2Bm%25FCller%26sortby%3D17%26tn%3Dtechnische%2Bstudien&amp;cm_sp=snippet-_-srp1-_-title9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5B697C3B7774A2283E42344FAA53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A0074-3DC3-4077-9B4B-A2159025897C}"/>
      </w:docPartPr>
      <w:docPartBody>
        <w:p w:rsidR="00000000" w:rsidRDefault="00DA0DC3" w:rsidP="00DA0DC3">
          <w:pPr>
            <w:pStyle w:val="75B697C3B7774A2283E42344FAA533AB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DC3"/>
    <w:rsid w:val="006E59D3"/>
    <w:rsid w:val="00DA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0DC3"/>
    <w:rPr>
      <w:color w:val="808080"/>
    </w:rPr>
  </w:style>
  <w:style w:type="paragraph" w:customStyle="1" w:styleId="75B697C3B7774A2283E42344FAA533AB">
    <w:name w:val="75B697C3B7774A2283E42344FAA533AB"/>
    <w:rsid w:val="00DA0D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0DC3"/>
    <w:rPr>
      <w:color w:val="808080"/>
    </w:rPr>
  </w:style>
  <w:style w:type="paragraph" w:customStyle="1" w:styleId="75B697C3B7774A2283E42344FAA533AB">
    <w:name w:val="75B697C3B7774A2283E42344FAA533AB"/>
    <w:rsid w:val="00DA0D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10150</Words>
  <Characters>5786</Characters>
  <Application>Microsoft Office Word</Application>
  <DocSecurity>0</DocSecurity>
  <Lines>48</Lines>
  <Paragraphs>31</Paragraphs>
  <ScaleCrop>false</ScaleCrop>
  <Company/>
  <LinksUpToDate>false</LinksUpToDate>
  <CharactersWithSpaces>15905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2023-07-13T11:56:00Z</dcterms:created>
  <dcterms:modified xsi:type="dcterms:W3CDTF">2023-07-13T11:56:00Z</dcterms:modified>
</cp:coreProperties>
</file>