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CC1" w:rsidRPr="00ED18EB" w:rsidRDefault="002B6CC1" w:rsidP="002B6CC1">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2B6CC1" w:rsidRPr="00ED18EB" w:rsidRDefault="002B6CC1" w:rsidP="002B6CC1">
      <w:pPr>
        <w:jc w:val="center"/>
        <w:rPr>
          <w:b/>
          <w:sz w:val="32"/>
          <w:szCs w:val="32"/>
          <w:lang w:val="de-DE"/>
        </w:rPr>
      </w:pPr>
      <w:r w:rsidRPr="00ED18EB">
        <w:rPr>
          <w:b/>
          <w:sz w:val="32"/>
          <w:szCs w:val="32"/>
        </w:rPr>
        <w:t>STUDIJU KURSA APRAKSTS</w:t>
      </w:r>
    </w:p>
    <w:p w:rsidR="002B6CC1" w:rsidRPr="00ED18EB" w:rsidRDefault="002B6CC1" w:rsidP="002B6CC1">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B6CC1" w:rsidRPr="00ED18EB" w:rsidRDefault="002B6CC1" w:rsidP="0078692D">
            <w:pPr>
              <w:pStyle w:val="Style1"/>
              <w:framePr w:wrap="around"/>
            </w:pPr>
            <w:bookmarkStart w:id="0" w:name="_Toc103779999"/>
            <w:bookmarkStart w:id="1" w:name="_GoBack"/>
            <w:r w:rsidRPr="00ED18EB">
              <w:t>Pūšaminstrumenta spēle (trombons) I</w:t>
            </w:r>
            <w:bookmarkEnd w:id="0"/>
            <w:bookmarkEnd w:id="1"/>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2B6CC1" w:rsidRPr="00ED18EB" w:rsidRDefault="002B6CC1" w:rsidP="0078692D">
            <w:pPr>
              <w:shd w:val="clear" w:color="auto" w:fill="auto"/>
              <w:rPr>
                <w:lang w:eastAsia="lv-LV"/>
              </w:rPr>
            </w:pPr>
            <w:r w:rsidRPr="00ED18EB">
              <w:rPr>
                <w:lang w:eastAsia="lv-LV"/>
              </w:rPr>
              <w:t>MākZ1595</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Zinātnes nozare</w:t>
            </w:r>
          </w:p>
        </w:tc>
        <w:sdt>
          <w:sdtPr>
            <w:rPr>
              <w:b/>
              <w:vanish/>
            </w:rPr>
            <w:id w:val="-919172025"/>
            <w:placeholder>
              <w:docPart w:val="487F68A1237C4F4E90206DF04282B69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rPr>
                    <w:b/>
                    <w:vanish/>
                  </w:rPr>
                </w:pPr>
                <w:r w:rsidRPr="00ED18EB">
                  <w:rPr>
                    <w:b/>
                    <w:vanish/>
                  </w:rPr>
                  <w:t>Mākslas zinātne</w:t>
                </w:r>
              </w:p>
            </w:tc>
          </w:sdtContent>
        </w:sdt>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rPr>
                <w:lang w:eastAsia="lv-LV"/>
              </w:rPr>
            </w:pPr>
            <w:r w:rsidRPr="00ED18EB">
              <w:t>1.</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2B6CC1" w:rsidRPr="00ED18EB" w:rsidRDefault="002B6CC1" w:rsidP="0078692D">
            <w:pPr>
              <w:shd w:val="clear" w:color="auto" w:fill="auto"/>
              <w:rPr>
                <w:lang w:eastAsia="lv-LV"/>
              </w:rPr>
            </w:pPr>
            <w:r w:rsidRPr="00ED18EB">
              <w:t>2</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pPr>
            <w:r w:rsidRPr="00ED18EB">
              <w:t>3</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B6CC1" w:rsidRPr="00ED18EB" w:rsidRDefault="002B6CC1" w:rsidP="0078692D">
            <w:pPr>
              <w:shd w:val="clear" w:color="auto" w:fill="auto"/>
              <w:rPr>
                <w:lang w:eastAsia="lv-LV"/>
              </w:rPr>
            </w:pPr>
            <w:r w:rsidRPr="00ED18EB">
              <w:t>24</w:t>
            </w:r>
          </w:p>
        </w:tc>
      </w:tr>
    </w:tbl>
    <w:tbl>
      <w:tblPr>
        <w:tblStyle w:val="TableGrid"/>
        <w:tblW w:w="9321" w:type="dxa"/>
        <w:tblLook w:val="04A0" w:firstRow="1" w:lastRow="0" w:firstColumn="1" w:lastColumn="0" w:noHBand="0" w:noVBand="1"/>
      </w:tblPr>
      <w:tblGrid>
        <w:gridCol w:w="4219"/>
        <w:gridCol w:w="5102"/>
      </w:tblGrid>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pPr>
            <w:r w:rsidRPr="00ED18EB">
              <w:t>–</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pPr>
            <w:r w:rsidRPr="00ED18EB">
              <w:t>–</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pPr>
            <w:r w:rsidRPr="00ED18EB">
              <w:t>–</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shd w:val="clear" w:color="auto" w:fill="auto"/>
            </w:pPr>
            <w:r w:rsidRPr="00ED18EB">
              <w:t xml:space="preserve">24 (uz katru studējošo) </w:t>
            </w:r>
          </w:p>
        </w:tc>
      </w:tr>
      <w:tr w:rsidR="002B6CC1"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2B6CC1" w:rsidRPr="00ED18EB" w:rsidRDefault="002B6CC1" w:rsidP="0078692D">
            <w:pPr>
              <w:shd w:val="clear" w:color="auto" w:fill="auto"/>
              <w:rPr>
                <w:lang w:eastAsia="lv-LV"/>
              </w:rPr>
            </w:pPr>
            <w:r w:rsidRPr="00ED18EB">
              <w:t>56</w:t>
            </w:r>
          </w:p>
        </w:tc>
      </w:tr>
    </w:tbl>
    <w:tbl>
      <w:tblPr>
        <w:tblStyle w:val="TableGrid"/>
        <w:tblW w:w="9320" w:type="dxa"/>
        <w:tblLook w:val="04A0" w:firstRow="1" w:lastRow="0" w:firstColumn="1" w:lastColumn="0" w:noHBand="0" w:noVBand="1"/>
      </w:tblPr>
      <w:tblGrid>
        <w:gridCol w:w="9320"/>
      </w:tblGrid>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rPr>
                <w:lang w:eastAsia="lv-LV"/>
              </w:rPr>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Kursa autors(–i)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Dr.art., viesprofesors Rytis Urniežius</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Kursa docētājs(–i)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Dr.art., viesprofesors Rišards Kšištofs Žoledzevskis</w:t>
            </w:r>
          </w:p>
          <w:p w:rsidR="002B6CC1" w:rsidRPr="00ED18EB" w:rsidRDefault="002B6CC1" w:rsidP="0078692D">
            <w:pPr>
              <w:shd w:val="clear" w:color="auto" w:fill="auto"/>
            </w:pPr>
            <w:r w:rsidRPr="00ED18EB">
              <w:t>Mg.art., docents Vasilijs Šušerts</w:t>
            </w:r>
          </w:p>
          <w:p w:rsidR="002B6CC1" w:rsidRPr="00ED18EB" w:rsidRDefault="002B6CC1" w:rsidP="0078692D">
            <w:pPr>
              <w:shd w:val="clear" w:color="auto" w:fill="auto"/>
            </w:pPr>
            <w:r w:rsidRPr="00ED18EB">
              <w:t>Mg.art., viesasistents Ruslans Margevičs</w:t>
            </w:r>
          </w:p>
          <w:p w:rsidR="002B6CC1" w:rsidRPr="00ED18EB" w:rsidRDefault="002B6CC1" w:rsidP="0078692D">
            <w:pPr>
              <w:shd w:val="clear" w:color="auto" w:fill="auto"/>
            </w:pPr>
            <w:r w:rsidRPr="00ED18EB">
              <w:t>Mg.art., docents Dainis Vuškāns</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Priekšzināšanas</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Pūšaminstrumenta (trombons) spēles prasmes, kas iegūtas atbilstoši mūzikas profesionālās vidējās izglītības studiju programmas prasībām.</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 xml:space="preserve">Studiju kursa anotācija </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(trombons)” studējošajiem.</w:t>
            </w:r>
          </w:p>
          <w:p w:rsidR="002B6CC1" w:rsidRPr="00ED18EB" w:rsidRDefault="002B6CC1" w:rsidP="0078692D">
            <w:pPr>
              <w:shd w:val="clear" w:color="auto" w:fill="auto"/>
            </w:pPr>
          </w:p>
          <w:p w:rsidR="002B6CC1" w:rsidRPr="00ED18EB" w:rsidRDefault="002B6CC1" w:rsidP="0078692D">
            <w:pPr>
              <w:shd w:val="clear" w:color="auto" w:fill="auto"/>
            </w:pPr>
            <w:r w:rsidRPr="00ED18EB">
              <w:t>KURSA MĒRĶIS – sagatavot profesionālu trombonistu, kurš spētu atskaņot dažādas sarežģītības skaņdarbus gan kā solists, gan ansamblī un orķestrī; veidot izglītotu mūziķi, kurš spēj novērtēt atskaņojuma interpretācijas tehnisko un māksliniecisko līmeni.</w:t>
            </w:r>
          </w:p>
          <w:p w:rsidR="002B6CC1" w:rsidRPr="00ED18EB" w:rsidRDefault="002B6CC1" w:rsidP="0078692D">
            <w:pPr>
              <w:shd w:val="clear" w:color="auto" w:fill="auto"/>
            </w:pPr>
            <w:r w:rsidRPr="00ED18EB">
              <w:t>KURSA UZDEVUMI – instrumenta spēles un māksliniecisko prasmju pilnveide un dažādu stilu repertuāra apguve.</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Studiju kursa kalendārais plāns</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I semestris 2KP</w:t>
            </w:r>
          </w:p>
          <w:p w:rsidR="002B6CC1" w:rsidRPr="00ED18EB" w:rsidRDefault="002B6CC1" w:rsidP="0078692D">
            <w:pPr>
              <w:shd w:val="clear" w:color="auto" w:fill="auto"/>
            </w:pPr>
            <w:r w:rsidRPr="00ED18EB">
              <w:t>Kursa struktūra: individuālās praktiskās nodarbības (Ip) – 24 stundas (uz katru studējošo), patstāvīgais darbs (Pd) – 56 stundas.</w:t>
            </w:r>
          </w:p>
          <w:p w:rsidR="002B6CC1" w:rsidRPr="00ED18EB" w:rsidRDefault="002B6CC1" w:rsidP="0078692D">
            <w:pPr>
              <w:shd w:val="clear" w:color="auto" w:fill="auto"/>
            </w:pPr>
          </w:p>
          <w:p w:rsidR="002B6CC1" w:rsidRPr="00ED18EB" w:rsidRDefault="002B6CC1" w:rsidP="0078692D">
            <w:pPr>
              <w:shd w:val="clear" w:color="auto" w:fill="auto"/>
            </w:pPr>
            <w:r w:rsidRPr="00ED18EB">
              <w:t>Kontrolstunda.</w:t>
            </w:r>
          </w:p>
          <w:p w:rsidR="002B6CC1" w:rsidRPr="00ED18EB" w:rsidRDefault="002B6CC1" w:rsidP="0078692D">
            <w:pPr>
              <w:shd w:val="clear" w:color="auto" w:fill="auto"/>
            </w:pPr>
            <w:r w:rsidRPr="00ED18EB">
              <w:t>Akadēmiskais koncerts.</w:t>
            </w:r>
          </w:p>
          <w:p w:rsidR="002B6CC1" w:rsidRPr="00ED18EB" w:rsidRDefault="002B6CC1" w:rsidP="0078692D">
            <w:pPr>
              <w:shd w:val="clear" w:color="auto" w:fill="auto"/>
            </w:pPr>
            <w:r w:rsidRPr="00ED18EB">
              <w:lastRenderedPageBreak/>
              <w:t>Kolokvijs.</w:t>
            </w:r>
          </w:p>
          <w:p w:rsidR="002B6CC1" w:rsidRPr="00ED18EB" w:rsidRDefault="002B6CC1" w:rsidP="0078692D">
            <w:pPr>
              <w:shd w:val="clear" w:color="auto" w:fill="auto"/>
            </w:pPr>
            <w:r w:rsidRPr="00ED18EB">
              <w:t>Ieskaite ar atzīmi.</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lastRenderedPageBreak/>
              <w:t>Studiju rezultāti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ZINĀŠANAS</w:t>
            </w:r>
            <w:r w:rsidRPr="00ED18EB">
              <w:rPr>
                <w:lang w:eastAsia="ru-RU"/>
              </w:rPr>
              <w:t xml:space="preserve"> </w:t>
            </w:r>
          </w:p>
          <w:p w:rsidR="002B6CC1" w:rsidRPr="00ED18EB" w:rsidRDefault="002B6CC1" w:rsidP="0078692D">
            <w:pPr>
              <w:shd w:val="clear" w:color="auto" w:fill="auto"/>
            </w:pPr>
            <w:r w:rsidRPr="00ED18EB">
              <w:t>– visaptverošas zināšanas par pūšaminstrumentu (īpaši trombona) tehnoloģiju un atskaņojuma specifiku;</w:t>
            </w:r>
          </w:p>
          <w:p w:rsidR="002B6CC1" w:rsidRPr="00ED18EB" w:rsidRDefault="002B6CC1" w:rsidP="0078692D">
            <w:pPr>
              <w:shd w:val="clear" w:color="auto" w:fill="auto"/>
            </w:pPr>
            <w:r w:rsidRPr="00ED18EB">
              <w:t>– zināšanas par dažādiem pūšaminstrumentu mūzikas stiliem un žanriem.</w:t>
            </w:r>
          </w:p>
          <w:p w:rsidR="002B6CC1" w:rsidRPr="00ED18EB" w:rsidRDefault="002B6CC1" w:rsidP="0078692D">
            <w:pPr>
              <w:shd w:val="clear" w:color="auto" w:fill="auto"/>
            </w:pPr>
          </w:p>
          <w:p w:rsidR="002B6CC1" w:rsidRPr="00ED18EB" w:rsidRDefault="002B6CC1" w:rsidP="0078692D">
            <w:pPr>
              <w:shd w:val="clear" w:color="auto" w:fill="auto"/>
            </w:pPr>
            <w:r w:rsidRPr="00ED18EB">
              <w:t>PRASMES</w:t>
            </w:r>
            <w:r w:rsidRPr="00ED18EB">
              <w:rPr>
                <w:lang w:eastAsia="ru-RU"/>
              </w:rPr>
              <w:t xml:space="preserve"> </w:t>
            </w:r>
          </w:p>
          <w:p w:rsidR="002B6CC1" w:rsidRPr="00ED18EB" w:rsidRDefault="002B6CC1" w:rsidP="0078692D">
            <w:pPr>
              <w:shd w:val="clear" w:color="auto" w:fill="auto"/>
            </w:pPr>
            <w:r w:rsidRPr="00ED18EB">
              <w:t>– patstāvīgi atskaņot un interpretēt pūšaminstrumentu skaņdarbus;</w:t>
            </w:r>
          </w:p>
          <w:p w:rsidR="002B6CC1" w:rsidRPr="00ED18EB" w:rsidRDefault="002B6CC1" w:rsidP="0078692D">
            <w:pPr>
              <w:shd w:val="clear" w:color="auto" w:fill="auto"/>
            </w:pPr>
            <w:r w:rsidRPr="00ED18EB">
              <w:t>– izvēlēties un piemērot savā atskaņojumā piemērotus mūzikas izteiksmes līdzekļus;</w:t>
            </w:r>
          </w:p>
          <w:p w:rsidR="002B6CC1" w:rsidRPr="00ED18EB" w:rsidRDefault="002B6CC1" w:rsidP="0078692D">
            <w:pPr>
              <w:shd w:val="clear" w:color="auto" w:fill="auto"/>
            </w:pPr>
            <w:r w:rsidRPr="00ED18EB">
              <w:t>– izvēlēties koncertrepertuāru.</w:t>
            </w:r>
          </w:p>
          <w:p w:rsidR="002B6CC1" w:rsidRPr="00ED18EB" w:rsidRDefault="002B6CC1" w:rsidP="0078692D">
            <w:pPr>
              <w:shd w:val="clear" w:color="auto" w:fill="auto"/>
            </w:pPr>
          </w:p>
          <w:p w:rsidR="002B6CC1" w:rsidRPr="00ED18EB" w:rsidRDefault="002B6CC1" w:rsidP="0078692D">
            <w:pPr>
              <w:shd w:val="clear" w:color="auto" w:fill="auto"/>
            </w:pPr>
            <w:r w:rsidRPr="00ED18EB">
              <w:t>KOMPETENCE</w:t>
            </w:r>
            <w:r w:rsidRPr="00ED18EB">
              <w:rPr>
                <w:lang w:eastAsia="ru-RU"/>
              </w:rPr>
              <w:t xml:space="preserve"> </w:t>
            </w:r>
          </w:p>
          <w:p w:rsidR="002B6CC1" w:rsidRPr="00ED18EB" w:rsidRDefault="002B6CC1" w:rsidP="0078692D">
            <w:pPr>
              <w:shd w:val="clear" w:color="auto" w:fill="auto"/>
            </w:pPr>
            <w:r w:rsidRPr="00ED18EB">
              <w:t>– spēja integrēt dažādu mūzikas priekšmetu zināšanas;</w:t>
            </w:r>
          </w:p>
          <w:p w:rsidR="002B6CC1" w:rsidRPr="00ED18EB" w:rsidRDefault="002B6CC1" w:rsidP="0078692D">
            <w:pPr>
              <w:shd w:val="clear" w:color="auto" w:fill="auto"/>
            </w:pPr>
            <w:r w:rsidRPr="00ED18EB">
              <w:t>– spēja izvēlēties un izmantot savā profesionālajā darbībā gan tradicionālās, gan jaunās informācijas tehnoloģijas;</w:t>
            </w:r>
          </w:p>
          <w:p w:rsidR="002B6CC1" w:rsidRPr="00ED18EB" w:rsidRDefault="002B6CC1" w:rsidP="0078692D">
            <w:pPr>
              <w:shd w:val="clear" w:color="auto" w:fill="auto"/>
            </w:pPr>
            <w:r w:rsidRPr="00ED18EB">
              <w:t>– spēja analizēt dažādus pūšaminstrumentu stilus un žanrus;</w:t>
            </w:r>
          </w:p>
          <w:p w:rsidR="002B6CC1" w:rsidRPr="00ED18EB" w:rsidRDefault="002B6CC1" w:rsidP="0078692D">
            <w:pPr>
              <w:shd w:val="clear" w:color="auto" w:fill="auto"/>
            </w:pPr>
            <w:r w:rsidRPr="00ED18EB">
              <w:t>– spēja ievērot profesionālo ētiku.</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rPr>
                <w:lang w:val="lv-LV"/>
              </w:rPr>
            </w:pPr>
            <w:r w:rsidRPr="00ED18EB">
              <w:rPr>
                <w:lang w:val="lv-LV"/>
              </w:rPr>
              <w:t>Studējošo patstāvīgo darbu organizācijas un uzdevumu raksturojums</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Studējošo patstāvīgais darbs (Pd) 56 stundas tiek organizēts individuāli.</w:t>
            </w:r>
          </w:p>
          <w:p w:rsidR="002B6CC1" w:rsidRPr="00ED18EB" w:rsidRDefault="002B6CC1" w:rsidP="0078692D">
            <w:pPr>
              <w:shd w:val="clear" w:color="auto" w:fill="auto"/>
            </w:pPr>
          </w:p>
          <w:p w:rsidR="002B6CC1" w:rsidRPr="00ED18EB" w:rsidRDefault="002B6CC1" w:rsidP="0078692D">
            <w:pPr>
              <w:shd w:val="clear" w:color="auto" w:fill="auto"/>
            </w:pPr>
            <w:r w:rsidRPr="00ED18EB">
              <w:t>Patstāvīgie uzdevumi:</w:t>
            </w:r>
          </w:p>
          <w:p w:rsidR="002B6CC1" w:rsidRPr="00ED18EB" w:rsidRDefault="002B6CC1" w:rsidP="0078692D">
            <w:pPr>
              <w:shd w:val="clear" w:color="auto" w:fill="auto"/>
            </w:pPr>
            <w:r w:rsidRPr="00ED18EB">
              <w:t>– programmas skaņdarbu patstāvīga analīze un apguve;</w:t>
            </w:r>
          </w:p>
          <w:p w:rsidR="002B6CC1" w:rsidRPr="00ED18EB" w:rsidRDefault="002B6CC1" w:rsidP="0078692D">
            <w:pPr>
              <w:shd w:val="clear" w:color="auto" w:fill="auto"/>
            </w:pPr>
            <w:r w:rsidRPr="00ED18EB">
              <w:t>– instrumenta spēles tehniskās meistarības pilnveide;</w:t>
            </w:r>
          </w:p>
          <w:p w:rsidR="002B6CC1" w:rsidRPr="00ED18EB" w:rsidRDefault="002B6CC1" w:rsidP="0078692D">
            <w:pPr>
              <w:shd w:val="clear" w:color="auto" w:fill="auto"/>
            </w:pPr>
            <w:r w:rsidRPr="00ED18EB">
              <w:t xml:space="preserve">– lasīšanas no lapas prasmes pilnveide; </w:t>
            </w:r>
          </w:p>
          <w:p w:rsidR="002B6CC1" w:rsidRPr="00ED18EB" w:rsidRDefault="002B6CC1" w:rsidP="0078692D">
            <w:pPr>
              <w:shd w:val="clear" w:color="auto" w:fill="auto"/>
            </w:pPr>
            <w:r w:rsidRPr="00ED18EB">
              <w:t>– obligāti izmantojamo informācijas avotu studēšana;</w:t>
            </w:r>
          </w:p>
          <w:p w:rsidR="002B6CC1" w:rsidRPr="00ED18EB" w:rsidRDefault="002B6CC1" w:rsidP="0078692D">
            <w:pPr>
              <w:shd w:val="clear" w:color="auto" w:fill="auto"/>
            </w:pPr>
            <w:r w:rsidRPr="00ED18EB">
              <w:t>– dažādu interpretāciju video un audio materiālu salīdzināšana un izvērtēšana;</w:t>
            </w:r>
          </w:p>
          <w:p w:rsidR="002B6CC1" w:rsidRPr="00ED18EB" w:rsidRDefault="002B6CC1" w:rsidP="0078692D">
            <w:pPr>
              <w:shd w:val="clear" w:color="auto" w:fill="auto"/>
            </w:pPr>
            <w:r w:rsidRPr="00ED18EB">
              <w:t>– kolokvija jautājumu sagatavošana.</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Prasības kredītpunktu iegūšanai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rPr>
                <w:rStyle w:val="Style2Char"/>
              </w:rPr>
              <w:t>Pārbaudes veids –</w:t>
            </w:r>
            <w:r w:rsidRPr="00ED18EB">
              <w:t xml:space="preserve"> ieskaite ar atzīmi.</w:t>
            </w:r>
          </w:p>
          <w:p w:rsidR="002B6CC1" w:rsidRPr="00ED18EB" w:rsidRDefault="002B6CC1" w:rsidP="0078692D">
            <w:pPr>
              <w:shd w:val="clear" w:color="auto" w:fill="auto"/>
            </w:pPr>
          </w:p>
          <w:p w:rsidR="002B6CC1" w:rsidRPr="00ED18EB" w:rsidRDefault="002B6CC1" w:rsidP="0078692D">
            <w:pPr>
              <w:shd w:val="clear" w:color="auto" w:fill="auto"/>
            </w:pPr>
            <w:r w:rsidRPr="00ED18EB">
              <w:t>Izmantojamās studiju formas – individuālās praktiskās nodarbības, starppārbaudījumi – kontrolstundas, akadēmiskie koncerti, kolokviji, ieskaite ar atzīmi.</w:t>
            </w:r>
          </w:p>
          <w:p w:rsidR="002B6CC1" w:rsidRPr="00ED18EB" w:rsidRDefault="002B6CC1" w:rsidP="0078692D">
            <w:pPr>
              <w:shd w:val="clear" w:color="auto" w:fill="auto"/>
            </w:pPr>
          </w:p>
          <w:p w:rsidR="002B6CC1" w:rsidRPr="00ED18EB" w:rsidRDefault="002B6CC1" w:rsidP="0078692D">
            <w:pPr>
              <w:shd w:val="clear" w:color="auto" w:fill="auto"/>
            </w:pPr>
            <w:r w:rsidRPr="00ED18EB">
              <w:t>Studiju kursa apguves pārbaudes formas: kontrolstunda, akadēmiskais koncerts – 25%, kolokvijs – 25%, ieskaite ar atzīmi – 50%. Regulārs nodarbību apmeklējums.</w:t>
            </w:r>
          </w:p>
          <w:p w:rsidR="002B6CC1" w:rsidRPr="00ED18EB" w:rsidRDefault="002B6CC1" w:rsidP="0078692D">
            <w:pPr>
              <w:shd w:val="clear" w:color="auto" w:fill="auto"/>
            </w:pPr>
          </w:p>
          <w:p w:rsidR="002B6CC1" w:rsidRPr="00ED18EB" w:rsidRDefault="002B6CC1" w:rsidP="0078692D">
            <w:pPr>
              <w:shd w:val="clear" w:color="auto" w:fill="auto"/>
            </w:pPr>
            <w:r w:rsidRPr="00ED18EB">
              <w:rPr>
                <w:rStyle w:val="Style2Char"/>
              </w:rPr>
              <w:t>PĀRBAUDĪJUMU PRASĪBAS:</w:t>
            </w:r>
            <w:r w:rsidRPr="00ED18EB">
              <w:t xml:space="preserve"> </w:t>
            </w:r>
          </w:p>
          <w:p w:rsidR="002B6CC1" w:rsidRPr="00ED18EB" w:rsidRDefault="002B6CC1" w:rsidP="0078692D">
            <w:pPr>
              <w:shd w:val="clear" w:color="auto" w:fill="auto"/>
            </w:pPr>
            <w:r w:rsidRPr="00ED18EB">
              <w:t>atskaņot no galvas ieskaites ar atzīmi programmu.</w:t>
            </w:r>
          </w:p>
          <w:p w:rsidR="002B6CC1" w:rsidRPr="00ED18EB" w:rsidRDefault="002B6CC1" w:rsidP="0078692D">
            <w:pPr>
              <w:shd w:val="clear" w:color="auto" w:fill="auto"/>
            </w:pPr>
          </w:p>
          <w:p w:rsidR="002B6CC1" w:rsidRPr="00ED18EB" w:rsidRDefault="002B6CC1" w:rsidP="0078692D">
            <w:pPr>
              <w:shd w:val="clear" w:color="auto" w:fill="auto"/>
            </w:pPr>
            <w:r w:rsidRPr="00ED18EB">
              <w:t>I semestris:</w:t>
            </w:r>
          </w:p>
          <w:p w:rsidR="002B6CC1" w:rsidRPr="00ED18EB" w:rsidRDefault="002B6CC1" w:rsidP="0078692D">
            <w:pPr>
              <w:shd w:val="clear" w:color="auto" w:fill="auto"/>
            </w:pPr>
            <w:r w:rsidRPr="00ED18EB">
              <w:t>Kontrolstunda:</w:t>
            </w:r>
          </w:p>
          <w:p w:rsidR="002B6CC1" w:rsidRPr="00ED18EB" w:rsidRDefault="002B6CC1" w:rsidP="0078692D">
            <w:pPr>
              <w:shd w:val="clear" w:color="auto" w:fill="auto"/>
            </w:pPr>
            <w:r w:rsidRPr="00ED18EB">
              <w:t>– gammas līdz divām zīmēm;</w:t>
            </w:r>
          </w:p>
          <w:p w:rsidR="002B6CC1" w:rsidRPr="00ED18EB" w:rsidRDefault="002B6CC1" w:rsidP="0078692D">
            <w:pPr>
              <w:shd w:val="clear" w:color="auto" w:fill="auto"/>
            </w:pPr>
            <w:r w:rsidRPr="00ED18EB">
              <w:t>– etīde pēc izvēles;</w:t>
            </w:r>
          </w:p>
          <w:p w:rsidR="002B6CC1" w:rsidRPr="00ED18EB" w:rsidRDefault="002B6CC1" w:rsidP="0078692D">
            <w:pPr>
              <w:shd w:val="clear" w:color="auto" w:fill="auto"/>
            </w:pPr>
            <w:r w:rsidRPr="00ED18EB">
              <w:t>– lasīšana no lapas tonalitātēs līdz divām alterācijas zīmēm.</w:t>
            </w:r>
          </w:p>
          <w:p w:rsidR="002B6CC1" w:rsidRPr="00ED18EB" w:rsidRDefault="002B6CC1" w:rsidP="0078692D">
            <w:pPr>
              <w:shd w:val="clear" w:color="auto" w:fill="auto"/>
            </w:pPr>
            <w:r w:rsidRPr="00ED18EB">
              <w:t>Akadēmiskais koncerts:</w:t>
            </w:r>
          </w:p>
          <w:p w:rsidR="002B6CC1" w:rsidRPr="00ED18EB" w:rsidRDefault="002B6CC1" w:rsidP="0078692D">
            <w:pPr>
              <w:shd w:val="clear" w:color="auto" w:fill="auto"/>
            </w:pPr>
            <w:r w:rsidRPr="00ED18EB">
              <w:t>– skaņdarbs.</w:t>
            </w:r>
          </w:p>
          <w:p w:rsidR="002B6CC1" w:rsidRPr="00ED18EB" w:rsidRDefault="002B6CC1" w:rsidP="0078692D">
            <w:pPr>
              <w:shd w:val="clear" w:color="auto" w:fill="auto"/>
            </w:pPr>
            <w:r w:rsidRPr="00ED18EB">
              <w:t>Kolokvijs.</w:t>
            </w:r>
          </w:p>
          <w:p w:rsidR="002B6CC1" w:rsidRPr="00ED18EB" w:rsidRDefault="002B6CC1" w:rsidP="0078692D">
            <w:pPr>
              <w:shd w:val="clear" w:color="auto" w:fill="auto"/>
            </w:pPr>
            <w:r w:rsidRPr="00ED18EB">
              <w:t>Ieskaite ar atzīmi:</w:t>
            </w:r>
          </w:p>
          <w:p w:rsidR="002B6CC1" w:rsidRPr="00ED18EB" w:rsidRDefault="002B6CC1" w:rsidP="0078692D">
            <w:pPr>
              <w:shd w:val="clear" w:color="auto" w:fill="auto"/>
            </w:pPr>
            <w:r w:rsidRPr="00ED18EB">
              <w:lastRenderedPageBreak/>
              <w:t>– divi dažāda rakstura skaņdarbi.</w:t>
            </w:r>
          </w:p>
          <w:p w:rsidR="002B6CC1" w:rsidRPr="00ED18EB" w:rsidRDefault="002B6CC1" w:rsidP="0078692D">
            <w:pPr>
              <w:shd w:val="clear" w:color="auto" w:fill="auto"/>
            </w:pPr>
          </w:p>
          <w:p w:rsidR="002B6CC1" w:rsidRPr="00ED18EB" w:rsidRDefault="002B6CC1" w:rsidP="0078692D">
            <w:pPr>
              <w:shd w:val="clear" w:color="auto" w:fill="auto"/>
            </w:pPr>
            <w:r w:rsidRPr="00ED18EB">
              <w:rPr>
                <w:rStyle w:val="Style2Char"/>
              </w:rPr>
              <w:t>Pārbaudījuma forma:</w:t>
            </w:r>
            <w:r w:rsidRPr="00ED18EB">
              <w:t xml:space="preserve"> praktiska (programmas skaņdarbu atskaņošana).</w:t>
            </w:r>
          </w:p>
          <w:p w:rsidR="002B6CC1" w:rsidRPr="00ED18EB" w:rsidRDefault="002B6CC1" w:rsidP="0078692D">
            <w:pPr>
              <w:shd w:val="clear" w:color="auto" w:fill="auto"/>
            </w:pPr>
          </w:p>
          <w:p w:rsidR="002B6CC1" w:rsidRPr="00ED18EB" w:rsidRDefault="002B6CC1" w:rsidP="0078692D">
            <w:pPr>
              <w:pStyle w:val="Style2"/>
              <w:shd w:val="clear" w:color="auto" w:fill="auto"/>
            </w:pPr>
            <w:r w:rsidRPr="00ED18EB">
              <w:t>STUDIJU REZULTĀTU VĒRTĒŠANAS KRITĒRIJI</w:t>
            </w:r>
          </w:p>
          <w:p w:rsidR="002B6CC1" w:rsidRPr="00ED18EB" w:rsidRDefault="002B6CC1"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2B6CC1" w:rsidRPr="00ED18EB" w:rsidRDefault="002B6CC1" w:rsidP="0078692D">
            <w:pPr>
              <w:shd w:val="clear" w:color="auto" w:fill="auto"/>
            </w:pPr>
          </w:p>
          <w:p w:rsidR="002B6CC1" w:rsidRPr="00ED18EB" w:rsidRDefault="002B6CC1" w:rsidP="0078692D">
            <w:pPr>
              <w:shd w:val="clear" w:color="auto" w:fill="auto"/>
            </w:pPr>
            <w:r w:rsidRPr="00ED18EB">
              <w:t>Studenta kompetenci kontrolstundā, akadēmiskajā koncertā, kolokvijā, ieskaitē ar atzīmi vērtē 10 ballu skalā.</w:t>
            </w:r>
          </w:p>
          <w:p w:rsidR="002B6CC1" w:rsidRPr="00ED18EB" w:rsidRDefault="002B6CC1" w:rsidP="0078692D">
            <w:pPr>
              <w:shd w:val="clear" w:color="auto" w:fill="auto"/>
            </w:pPr>
            <w:r w:rsidRPr="00ED18EB">
              <w:t>Lai vērtētu studentu individuālo uzstāšanos, piemēroti sekojoši izvērtēšanas pamatkritēriji:</w:t>
            </w:r>
          </w:p>
          <w:p w:rsidR="002B6CC1" w:rsidRPr="00ED18EB" w:rsidRDefault="002B6CC1" w:rsidP="0078692D">
            <w:pPr>
              <w:shd w:val="clear" w:color="auto" w:fill="auto"/>
            </w:pPr>
            <w:r w:rsidRPr="00ED18EB">
              <w:t>– repertuāra atbilstība studiju kursa programmas prasībām;</w:t>
            </w:r>
          </w:p>
          <w:p w:rsidR="002B6CC1" w:rsidRPr="00ED18EB" w:rsidRDefault="002B6CC1" w:rsidP="0078692D">
            <w:pPr>
              <w:shd w:val="clear" w:color="auto" w:fill="auto"/>
            </w:pPr>
            <w:r w:rsidRPr="00ED18EB">
              <w:t>– precīzs muzikālā teksta atskaņojums;</w:t>
            </w:r>
          </w:p>
          <w:p w:rsidR="002B6CC1" w:rsidRPr="00ED18EB" w:rsidRDefault="002B6CC1" w:rsidP="0078692D">
            <w:pPr>
              <w:shd w:val="clear" w:color="auto" w:fill="auto"/>
            </w:pPr>
            <w:r w:rsidRPr="00ED18EB">
              <w:t>– skaņas kvalitāte;</w:t>
            </w:r>
          </w:p>
          <w:p w:rsidR="002B6CC1" w:rsidRPr="00ED18EB" w:rsidRDefault="002B6CC1" w:rsidP="0078692D">
            <w:pPr>
              <w:shd w:val="clear" w:color="auto" w:fill="auto"/>
            </w:pPr>
            <w:r w:rsidRPr="00ED18EB">
              <w:t>– pareiza intonācija;</w:t>
            </w:r>
          </w:p>
          <w:p w:rsidR="002B6CC1" w:rsidRPr="00ED18EB" w:rsidRDefault="002B6CC1" w:rsidP="0078692D">
            <w:pPr>
              <w:shd w:val="clear" w:color="auto" w:fill="auto"/>
            </w:pPr>
            <w:r w:rsidRPr="00ED18EB">
              <w:t>– elastīga un droša tehnika;</w:t>
            </w:r>
          </w:p>
          <w:p w:rsidR="002B6CC1" w:rsidRPr="00ED18EB" w:rsidRDefault="002B6CC1" w:rsidP="0078692D">
            <w:pPr>
              <w:shd w:val="clear" w:color="auto" w:fill="auto"/>
            </w:pPr>
            <w:r w:rsidRPr="00ED18EB">
              <w:t>– pareiza dinamika un frāzes;</w:t>
            </w:r>
          </w:p>
          <w:p w:rsidR="002B6CC1" w:rsidRPr="00ED18EB" w:rsidRDefault="002B6CC1" w:rsidP="0078692D">
            <w:pPr>
              <w:shd w:val="clear" w:color="auto" w:fill="auto"/>
            </w:pPr>
            <w:r w:rsidRPr="00ED18EB">
              <w:t>– pareizi tempi un loģiska agoģika;</w:t>
            </w:r>
          </w:p>
          <w:p w:rsidR="002B6CC1" w:rsidRPr="00ED18EB" w:rsidRDefault="002B6CC1" w:rsidP="0078692D">
            <w:pPr>
              <w:shd w:val="clear" w:color="auto" w:fill="auto"/>
            </w:pPr>
            <w:r w:rsidRPr="00ED18EB">
              <w:t>– skaņdarba interpretācija atbilstoši vēsturiskā perioda stila īpatnībām;</w:t>
            </w:r>
          </w:p>
          <w:p w:rsidR="002B6CC1" w:rsidRPr="00ED18EB" w:rsidRDefault="002B6CC1" w:rsidP="0078692D">
            <w:pPr>
              <w:shd w:val="clear" w:color="auto" w:fill="auto"/>
            </w:pPr>
            <w:r w:rsidRPr="00ED18EB">
              <w:t xml:space="preserve">– mūzikas formas un dramaturģijas izpratne. </w:t>
            </w:r>
          </w:p>
          <w:p w:rsidR="002B6CC1" w:rsidRPr="00ED18EB" w:rsidRDefault="002B6CC1" w:rsidP="0078692D">
            <w:pPr>
              <w:shd w:val="clear" w:color="auto" w:fill="auto"/>
            </w:pPr>
          </w:p>
          <w:p w:rsidR="002B6CC1" w:rsidRPr="00ED18EB" w:rsidRDefault="002B6CC1" w:rsidP="0078692D">
            <w:pPr>
              <w:pStyle w:val="Style2"/>
              <w:shd w:val="clear" w:color="auto" w:fill="auto"/>
            </w:pPr>
            <w:r w:rsidRPr="00ED18EB">
              <w:t>STUDIJU REZULTĀTU VĒRTĒŠANA</w:t>
            </w:r>
          </w:p>
          <w:p w:rsidR="002B6CC1" w:rsidRPr="00ED18EB" w:rsidRDefault="002B6CC1" w:rsidP="0078692D">
            <w:pPr>
              <w:shd w:val="clear" w:color="auto" w:fill="auto"/>
            </w:pPr>
            <w:r w:rsidRPr="00ED18EB">
              <w:t>10 (izcili) – zināšanas un prasmes pārsniedz studiju programmas prasības, prot tās patstāvīgi, radoši mākslinieciski lietot dažādās situācijās;</w:t>
            </w:r>
          </w:p>
          <w:p w:rsidR="002B6CC1" w:rsidRPr="00ED18EB" w:rsidRDefault="002B6CC1" w:rsidP="0078692D">
            <w:pPr>
              <w:shd w:val="clear" w:color="auto" w:fill="auto"/>
            </w:pPr>
            <w:r w:rsidRPr="00ED18EB">
              <w:t>9 (teicami) – pilnā mērā apgūtas studiju programmas prasības, iegūta prasme patstāvīgi realizēt iemācīto, radoša pieeja;</w:t>
            </w:r>
          </w:p>
          <w:p w:rsidR="002B6CC1" w:rsidRPr="00ED18EB" w:rsidRDefault="002B6CC1" w:rsidP="0078692D">
            <w:pPr>
              <w:shd w:val="clear" w:color="auto" w:fill="auto"/>
            </w:pPr>
            <w:r w:rsidRPr="00ED18EB">
              <w:t>8 (ļoti labi) – pilnā mērā apgūtas studiju programmas prasības, taču reizēm trūkst prasmes patstāvīgi radoši tās lietot;</w:t>
            </w:r>
          </w:p>
          <w:p w:rsidR="002B6CC1" w:rsidRPr="00ED18EB" w:rsidRDefault="002B6CC1" w:rsidP="0078692D">
            <w:pPr>
              <w:shd w:val="clear" w:color="auto" w:fill="auto"/>
            </w:pPr>
            <w:r w:rsidRPr="00ED18EB">
              <w:t>7 (labi) – labi apgūtas studiju programmas prasības, taču vienlaikus konstatējami arī atsevišķi mazāk svarīgi trūkumi zināšanu un prasmju apguvē;</w:t>
            </w:r>
          </w:p>
          <w:p w:rsidR="002B6CC1" w:rsidRPr="00ED18EB" w:rsidRDefault="002B6CC1" w:rsidP="0078692D">
            <w:pPr>
              <w:shd w:val="clear" w:color="auto" w:fill="auto"/>
            </w:pPr>
            <w:r w:rsidRPr="00ED18EB">
              <w:t>6 (gandrīz labi) – apgūtas studiju programmas prasības, taču atsevišķas nozīmīgas zināšanu un prasmju jomas ir nepietiekami stabilas un pārliecinošas;</w:t>
            </w:r>
          </w:p>
          <w:p w:rsidR="002B6CC1" w:rsidRPr="00ED18EB" w:rsidRDefault="002B6CC1" w:rsidP="0078692D">
            <w:pPr>
              <w:shd w:val="clear" w:color="auto" w:fill="auto"/>
            </w:pPr>
            <w:r w:rsidRPr="00ED18EB">
              <w:t>5 (viduvēji) – visumā apgūtas studiju programmas prasības, kaut arī konstatējama vairāku būtisku zināšanu un iemaņu jomu nepietiekoša stabilitāte un pārvaldīšana;</w:t>
            </w:r>
          </w:p>
          <w:p w:rsidR="002B6CC1" w:rsidRPr="00ED18EB" w:rsidRDefault="002B6CC1"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2B6CC1" w:rsidRPr="00ED18EB" w:rsidRDefault="002B6CC1" w:rsidP="0078692D">
            <w:pPr>
              <w:shd w:val="clear" w:color="auto" w:fill="auto"/>
            </w:pPr>
            <w:r w:rsidRPr="00ED18EB">
              <w:t>3 (vāji) – zināšanas, prasmes un iemaņas ir ļoti minimālas, nav spēju tās praktiski lietot;</w:t>
            </w:r>
          </w:p>
          <w:p w:rsidR="002B6CC1" w:rsidRPr="00ED18EB" w:rsidRDefault="002B6CC1" w:rsidP="0078692D">
            <w:pPr>
              <w:shd w:val="clear" w:color="auto" w:fill="auto"/>
            </w:pPr>
            <w:r w:rsidRPr="00ED18EB">
              <w:t>2 (ļoti vāji) – izrāda zināmu interesi, apgūtas atsevišķas zināšanas, prasmes un iemaņas, taču kopumā trūkst orientācijas un līmeņa;</w:t>
            </w:r>
          </w:p>
          <w:p w:rsidR="002B6CC1" w:rsidRPr="00ED18EB" w:rsidRDefault="002B6CC1" w:rsidP="0078692D">
            <w:pPr>
              <w:shd w:val="clear" w:color="auto" w:fill="auto"/>
            </w:pPr>
            <w:r w:rsidRPr="00ED18EB">
              <w:t>1 (ļoti, ļoti vāji) – nav izpratnes par studiju kursa būtību un iemaņām tajā.</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lastRenderedPageBreak/>
              <w:t>Kursa saturs</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Pūšaminstrumenta trombons spēles tehnikas apguve.</w:t>
            </w:r>
          </w:p>
          <w:p w:rsidR="002B6CC1" w:rsidRPr="00ED18EB" w:rsidRDefault="002B6CC1" w:rsidP="0078692D">
            <w:pPr>
              <w:shd w:val="clear" w:color="auto" w:fill="auto"/>
            </w:pPr>
            <w:r w:rsidRPr="00ED18EB">
              <w:t xml:space="preserve">Mūzikas izteiksmes līdzekļu padziļināta apguve. </w:t>
            </w:r>
          </w:p>
          <w:p w:rsidR="002B6CC1" w:rsidRPr="00ED18EB" w:rsidRDefault="002B6CC1" w:rsidP="0078692D">
            <w:pPr>
              <w:shd w:val="clear" w:color="auto" w:fill="auto"/>
            </w:pPr>
            <w:r w:rsidRPr="00ED18EB">
              <w:t>Dažādu stilu un žanru skaņdarbu trombonam apguve.</w:t>
            </w:r>
          </w:p>
          <w:p w:rsidR="002B6CC1" w:rsidRPr="00ED18EB" w:rsidRDefault="002B6CC1" w:rsidP="0078692D">
            <w:pPr>
              <w:shd w:val="clear" w:color="auto" w:fill="auto"/>
            </w:pPr>
            <w:r w:rsidRPr="00ED18EB">
              <w:t>Lasīšanai no lapas nepieciešamo iemaņu pilnveide.</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pStyle w:val="Style2"/>
              <w:shd w:val="clear" w:color="auto" w:fill="auto"/>
            </w:pPr>
            <w:r w:rsidRPr="00ED18EB">
              <w:t>Ieteicamais repertuārs:</w:t>
            </w:r>
          </w:p>
          <w:p w:rsidR="002B6CC1" w:rsidRPr="00ED18EB" w:rsidRDefault="002B6CC1" w:rsidP="0078692D">
            <w:pPr>
              <w:shd w:val="clear" w:color="auto" w:fill="auto"/>
            </w:pPr>
          </w:p>
          <w:p w:rsidR="002B6CC1" w:rsidRPr="00ED18EB" w:rsidRDefault="002B6CC1" w:rsidP="0078692D">
            <w:pPr>
              <w:shd w:val="clear" w:color="auto" w:fill="auto"/>
            </w:pPr>
            <w:r w:rsidRPr="00ED18EB">
              <w:t>I semestris</w:t>
            </w:r>
          </w:p>
          <w:p w:rsidR="002B6CC1" w:rsidRPr="00ED18EB" w:rsidRDefault="002B6CC1" w:rsidP="0078692D">
            <w:pPr>
              <w:shd w:val="clear" w:color="auto" w:fill="auto"/>
            </w:pPr>
            <w:r w:rsidRPr="00ED18EB">
              <w:t>Blaževičs, V. Studijas trombonam.</w:t>
            </w:r>
          </w:p>
          <w:p w:rsidR="002B6CC1" w:rsidRPr="00ED18EB" w:rsidRDefault="002B6CC1" w:rsidP="0078692D">
            <w:pPr>
              <w:shd w:val="clear" w:color="auto" w:fill="auto"/>
            </w:pPr>
            <w:r w:rsidRPr="00ED18EB">
              <w:lastRenderedPageBreak/>
              <w:t>Grigorjevs, B. Trombona pētījumi.</w:t>
            </w:r>
          </w:p>
          <w:p w:rsidR="002B6CC1" w:rsidRPr="00ED18EB" w:rsidRDefault="002B6CC1" w:rsidP="0078692D">
            <w:pPr>
              <w:shd w:val="clear" w:color="auto" w:fill="auto"/>
            </w:pPr>
            <w:r w:rsidRPr="00ED18EB">
              <w:t>Mullers, R. Pētījumi.</w:t>
            </w:r>
          </w:p>
          <w:p w:rsidR="002B6CC1" w:rsidRPr="00ED18EB" w:rsidRDefault="002B6CC1" w:rsidP="0078692D">
            <w:pPr>
              <w:shd w:val="clear" w:color="auto" w:fill="auto"/>
            </w:pPr>
            <w:r w:rsidRPr="00ED18EB">
              <w:t>Berliozs, H. Adagio.</w:t>
            </w:r>
          </w:p>
          <w:p w:rsidR="002B6CC1" w:rsidRPr="00ED18EB" w:rsidRDefault="002B6CC1" w:rsidP="0078692D">
            <w:pPr>
              <w:shd w:val="clear" w:color="auto" w:fill="auto"/>
            </w:pPr>
            <w:r w:rsidRPr="00ED18EB">
              <w:t>Dubois, T. Koncerta skaņdarbs.</w:t>
            </w:r>
          </w:p>
          <w:p w:rsidR="002B6CC1" w:rsidRPr="00ED18EB" w:rsidRDefault="002B6CC1" w:rsidP="0078692D">
            <w:pPr>
              <w:shd w:val="clear" w:color="auto" w:fill="auto"/>
            </w:pPr>
            <w:r w:rsidRPr="00ED18EB">
              <w:t xml:space="preserve">Rimsky–Korsakov, N. Koncerts trombonam un klavierēm. </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lastRenderedPageBreak/>
              <w:t>Obligāti izmantojamie informācijas avoti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rPr>
                <w:bCs w:val="0"/>
                <w:iCs w:val="0"/>
                <w:lang w:val="en-GB"/>
              </w:rPr>
            </w:pPr>
            <w:r w:rsidRPr="00ED18EB">
              <w:t>Etīdes:</w:t>
            </w:r>
          </w:p>
          <w:p w:rsidR="002B6CC1" w:rsidRPr="00ED18EB" w:rsidRDefault="002B6CC1" w:rsidP="0078692D">
            <w:pPr>
              <w:shd w:val="clear" w:color="auto" w:fill="auto"/>
            </w:pPr>
            <w:r w:rsidRPr="00ED18EB">
              <w:t>Blazhevich, V. (2012). School for Trombone in Clefs. East–West Music International, Inc. Moscow – Chicago.</w:t>
            </w:r>
          </w:p>
          <w:p w:rsidR="002B6CC1" w:rsidRPr="00ED18EB" w:rsidRDefault="002B6CC1" w:rsidP="0078692D">
            <w:pPr>
              <w:shd w:val="clear" w:color="auto" w:fill="auto"/>
            </w:pPr>
            <w:r w:rsidRPr="00ED18EB">
              <w:t>Grigoriev, B. (2011). Fifty etudes for bass trombone &amp; tenor trombone with F attachment. MI Encore Music Publishers.</w:t>
            </w:r>
          </w:p>
          <w:p w:rsidR="002B6CC1" w:rsidRPr="00ED18EB" w:rsidRDefault="002B6CC1" w:rsidP="0078692D">
            <w:pPr>
              <w:shd w:val="clear" w:color="auto" w:fill="auto"/>
            </w:pPr>
            <w:r w:rsidRPr="00ED18EB">
              <w:t xml:space="preserve">Muller, R.  (2000). </w:t>
            </w:r>
            <w:hyperlink r:id="rId5" w:tooltip="Technische Studien 2. Studienwerke und Unterhaltungsstücke: Für Zugposaune - Studies and Concert Pieces for the Trombone (Paperback)" w:history="1">
              <w:r w:rsidRPr="00ED18EB">
                <w:rPr>
                  <w:rStyle w:val="Hyperlink"/>
                </w:rPr>
                <w:t>Technische Studien 2. Studienwerke und Unterhaltungsstücke: Für Zugposaune – Studies and Concert Pieces for the Trombone</w:t>
              </w:r>
            </w:hyperlink>
            <w:r w:rsidRPr="00ED18EB">
              <w:t>. Musikverlag Zimmermann.</w:t>
            </w:r>
          </w:p>
          <w:p w:rsidR="002B6CC1" w:rsidRPr="00ED18EB" w:rsidRDefault="002B6CC1" w:rsidP="0078692D">
            <w:pPr>
              <w:shd w:val="clear" w:color="auto" w:fill="auto"/>
            </w:pPr>
            <w:r w:rsidRPr="00ED18EB">
              <w:t xml:space="preserve">Vobaron, F. (2002). Studies for Trombone. Bärenreiter. </w:t>
            </w:r>
          </w:p>
          <w:p w:rsidR="002B6CC1" w:rsidRPr="00ED18EB" w:rsidRDefault="002B6CC1" w:rsidP="0078692D">
            <w:pPr>
              <w:shd w:val="clear" w:color="auto" w:fill="auto"/>
            </w:pPr>
          </w:p>
          <w:p w:rsidR="002B6CC1" w:rsidRPr="00ED18EB" w:rsidRDefault="002B6CC1" w:rsidP="0078692D">
            <w:pPr>
              <w:shd w:val="clear" w:color="auto" w:fill="auto"/>
            </w:pPr>
            <w:r w:rsidRPr="00ED18EB">
              <w:t>Sonātes, cikliskas kompozīcijas:</w:t>
            </w:r>
          </w:p>
          <w:p w:rsidR="002B6CC1" w:rsidRPr="00ED18EB" w:rsidRDefault="002B6CC1" w:rsidP="0078692D">
            <w:pPr>
              <w:shd w:val="clear" w:color="auto" w:fill="auto"/>
            </w:pPr>
            <w:r w:rsidRPr="00ED18EB">
              <w:t>Bourgeois, D. (2013). Sonata for Trombone No. 2. Rutland: Brass Wind Publications.</w:t>
            </w:r>
          </w:p>
          <w:p w:rsidR="002B6CC1" w:rsidRPr="00ED18EB" w:rsidRDefault="002B6CC1" w:rsidP="0078692D">
            <w:pPr>
              <w:shd w:val="clear" w:color="auto" w:fill="auto"/>
            </w:pPr>
            <w:r w:rsidRPr="00ED18EB">
              <w:t>Hindemith, P. (1986). Sonate for trombone and piano. Schott.</w:t>
            </w:r>
          </w:p>
          <w:p w:rsidR="002B6CC1" w:rsidRPr="00ED18EB" w:rsidRDefault="002B6CC1" w:rsidP="0078692D">
            <w:pPr>
              <w:shd w:val="clear" w:color="auto" w:fill="auto"/>
            </w:pPr>
            <w:r w:rsidRPr="00ED18EB">
              <w:t>Marcello, B. (1997). Sonata no. 1 in F major: for trombone and piano (organ). Crans–Montana: Marc Reift.</w:t>
            </w:r>
          </w:p>
          <w:p w:rsidR="002B6CC1" w:rsidRPr="00ED18EB" w:rsidRDefault="002B6CC1" w:rsidP="0078692D">
            <w:pPr>
              <w:shd w:val="clear" w:color="auto" w:fill="auto"/>
            </w:pPr>
            <w:r w:rsidRPr="00ED18EB">
              <w:t>Telemann, G. P. (2008). Sonata in F minor for trombone and piano. NY: International Music Company.</w:t>
            </w:r>
          </w:p>
          <w:p w:rsidR="002B6CC1" w:rsidRPr="00ED18EB" w:rsidRDefault="002B6CC1" w:rsidP="0078692D">
            <w:pPr>
              <w:shd w:val="clear" w:color="auto" w:fill="auto"/>
            </w:pPr>
            <w:r w:rsidRPr="00ED18EB">
              <w:t>Vivaldi, A. (1997). 6 sonates for trombone and piano (organ). Crans–Montana: M. Reift.</w:t>
            </w:r>
          </w:p>
          <w:p w:rsidR="002B6CC1" w:rsidRPr="00ED18EB" w:rsidRDefault="002B6CC1" w:rsidP="0078692D">
            <w:pPr>
              <w:shd w:val="clear" w:color="auto" w:fill="auto"/>
            </w:pPr>
          </w:p>
          <w:p w:rsidR="002B6CC1" w:rsidRPr="00ED18EB" w:rsidRDefault="002B6CC1" w:rsidP="0078692D">
            <w:pPr>
              <w:shd w:val="clear" w:color="auto" w:fill="auto"/>
            </w:pPr>
            <w:r w:rsidRPr="00ED18EB">
              <w:t>Koncerti:</w:t>
            </w:r>
          </w:p>
          <w:p w:rsidR="002B6CC1" w:rsidRPr="00ED18EB" w:rsidRDefault="002B6CC1" w:rsidP="0078692D">
            <w:pPr>
              <w:shd w:val="clear" w:color="auto" w:fill="auto"/>
            </w:pPr>
            <w:r w:rsidRPr="00ED18EB">
              <w:t>Albrechtsberger, J. G. (2001). Concerto for Trombone. Winwood Music.</w:t>
            </w:r>
          </w:p>
          <w:p w:rsidR="002B6CC1" w:rsidRPr="00ED18EB" w:rsidRDefault="002B6CC1" w:rsidP="0078692D">
            <w:pPr>
              <w:shd w:val="clear" w:color="auto" w:fill="auto"/>
            </w:pPr>
            <w:r w:rsidRPr="00ED18EB">
              <w:t>Blazhevich, V. (1982). Concerto No. 5 for trombone and piano. New York: International Music Co.</w:t>
            </w:r>
          </w:p>
          <w:p w:rsidR="002B6CC1" w:rsidRPr="00ED18EB" w:rsidRDefault="002B6CC1" w:rsidP="0078692D">
            <w:pPr>
              <w:shd w:val="clear" w:color="auto" w:fill="auto"/>
            </w:pPr>
            <w:r w:rsidRPr="00ED18EB">
              <w:t>David, F. (2016). Concertino, op. 4, trombone and piano. New York: Carl Fischer.</w:t>
            </w:r>
          </w:p>
          <w:p w:rsidR="002B6CC1" w:rsidRPr="00ED18EB" w:rsidRDefault="002B6CC1" w:rsidP="0078692D">
            <w:pPr>
              <w:shd w:val="clear" w:color="auto" w:fill="auto"/>
            </w:pPr>
            <w:r w:rsidRPr="00ED18EB">
              <w:t>Reiche, E. (1993). Concerto No. 2 in A major for trombone and piano. Melville, N.Y. : Belwin Mills Publishing Corp.</w:t>
            </w:r>
          </w:p>
          <w:p w:rsidR="002B6CC1" w:rsidRPr="00ED18EB" w:rsidRDefault="002B6CC1" w:rsidP="0078692D">
            <w:pPr>
              <w:shd w:val="clear" w:color="auto" w:fill="auto"/>
            </w:pPr>
            <w:r w:rsidRPr="00ED18EB">
              <w:t>Rimsky–Korsakov, N. (2018).Concerto for trombone &amp; band. Transcribed &amp; edited for trombone &amp; piano. Ithaca, NY: Ensemble Publications.</w:t>
            </w:r>
          </w:p>
          <w:p w:rsidR="002B6CC1" w:rsidRPr="00ED18EB" w:rsidRDefault="002B6CC1" w:rsidP="0078692D">
            <w:pPr>
              <w:shd w:val="clear" w:color="auto" w:fill="auto"/>
            </w:pPr>
            <w:r w:rsidRPr="00ED18EB">
              <w:t>Serocki, K. (1992). Concerto for trombone and orchestra. Kraków: Polskie Wydawnictwo Muzyczne.</w:t>
            </w:r>
          </w:p>
          <w:p w:rsidR="002B6CC1" w:rsidRPr="00ED18EB" w:rsidRDefault="002B6CC1" w:rsidP="0078692D">
            <w:pPr>
              <w:shd w:val="clear" w:color="auto" w:fill="auto"/>
            </w:pPr>
            <w:r w:rsidRPr="00ED18EB">
              <w:t xml:space="preserve">Wagenseil, G. K. (2003). Concerto per trombone. Wien: Doblinger. </w:t>
            </w:r>
          </w:p>
          <w:p w:rsidR="002B6CC1" w:rsidRPr="00ED18EB" w:rsidRDefault="002B6CC1" w:rsidP="0078692D">
            <w:pPr>
              <w:shd w:val="clear" w:color="auto" w:fill="auto"/>
            </w:pPr>
          </w:p>
          <w:p w:rsidR="002B6CC1" w:rsidRPr="00ED18EB" w:rsidRDefault="002B6CC1" w:rsidP="0078692D">
            <w:pPr>
              <w:shd w:val="clear" w:color="auto" w:fill="auto"/>
            </w:pPr>
            <w:r w:rsidRPr="00ED18EB">
              <w:t>Solo skaņdarbi:</w:t>
            </w:r>
          </w:p>
          <w:p w:rsidR="002B6CC1" w:rsidRPr="00ED18EB" w:rsidRDefault="002B6CC1" w:rsidP="0078692D">
            <w:pPr>
              <w:shd w:val="clear" w:color="auto" w:fill="auto"/>
            </w:pPr>
            <w:r w:rsidRPr="00ED18EB">
              <w:t>Bach, J. S. (2013). Prélude – Sarabande – Bourée for trombone and piano; from the cello suites III &amp; V. Boosey &amp; Hawkes.</w:t>
            </w:r>
          </w:p>
          <w:p w:rsidR="002B6CC1" w:rsidRPr="00ED18EB" w:rsidRDefault="002B6CC1" w:rsidP="0078692D">
            <w:pPr>
              <w:shd w:val="clear" w:color="auto" w:fill="auto"/>
            </w:pPr>
            <w:r w:rsidRPr="00ED18EB">
              <w:t xml:space="preserve">Bozza, E. (2008). Hommage à Bach : pour trombone et piano. Paris: Ledu.c. Classical favourites for trombone (2005). De Haske. </w:t>
            </w:r>
          </w:p>
          <w:p w:rsidR="002B6CC1" w:rsidRPr="00ED18EB" w:rsidRDefault="002B6CC1" w:rsidP="0078692D">
            <w:pPr>
              <w:shd w:val="clear" w:color="auto" w:fill="auto"/>
            </w:pPr>
            <w:r w:rsidRPr="00ED18EB">
              <w:t>Concert and contest collection for trombone with piano accompaniment (2008). Rubank ; Milwaukee, WI: H. Leonard.</w:t>
            </w:r>
          </w:p>
          <w:p w:rsidR="002B6CC1" w:rsidRPr="00ED18EB" w:rsidRDefault="002B6CC1" w:rsidP="0078692D">
            <w:pPr>
              <w:shd w:val="clear" w:color="auto" w:fill="auto"/>
            </w:pPr>
            <w:r w:rsidRPr="00ED18EB">
              <w:t>Cook, E. (2012). Bolivar for trombone and piano. Boosey &amp; Hawkes.</w:t>
            </w:r>
          </w:p>
          <w:p w:rsidR="002B6CC1" w:rsidRPr="00ED18EB" w:rsidRDefault="002B6CC1" w:rsidP="0078692D">
            <w:pPr>
              <w:shd w:val="clear" w:color="auto" w:fill="auto"/>
            </w:pPr>
            <w:r w:rsidRPr="00ED18EB">
              <w:t>Dubois, T. Concertpiece in A flat major. International Music Company.</w:t>
            </w:r>
          </w:p>
          <w:p w:rsidR="002B6CC1" w:rsidRPr="00ED18EB" w:rsidRDefault="002B6CC1" w:rsidP="0078692D">
            <w:pPr>
              <w:shd w:val="clear" w:color="auto" w:fill="auto"/>
            </w:pPr>
            <w:r w:rsidRPr="00ED18EB">
              <w:t>Solos for the Trombone Player (2013). Schirmer.</w:t>
            </w:r>
          </w:p>
          <w:p w:rsidR="002B6CC1" w:rsidRPr="00ED18EB" w:rsidRDefault="002B6CC1" w:rsidP="0078692D">
            <w:pPr>
              <w:shd w:val="clear" w:color="auto" w:fill="auto"/>
            </w:pPr>
            <w:r w:rsidRPr="00ED18EB">
              <w:t>The Baroque Trombone (1997). Faber Music.</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Papildus informācijas avoti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 xml:space="preserve">Herbert, T. (2006). The Trombone. Yale University Press (docētāja privātais izdevumu krājums, kas skenētā veidā tiks ievietots e–studiju vidē </w:t>
            </w:r>
            <w:r w:rsidRPr="00ED18EB">
              <w:rPr>
                <w:i/>
              </w:rPr>
              <w:t>Moodle</w:t>
            </w:r>
            <w:r w:rsidRPr="00ED18EB">
              <w:t>)</w:t>
            </w:r>
          </w:p>
          <w:p w:rsidR="002B6CC1" w:rsidRPr="00ED18EB" w:rsidRDefault="002B6CC1" w:rsidP="0078692D">
            <w:pPr>
              <w:shd w:val="clear" w:color="auto" w:fill="auto"/>
            </w:pPr>
            <w:r w:rsidRPr="00ED18EB">
              <w:t>Herbert, T., Wallace, J. (1997). The Cambridge Companion to Brass Instruments. Cambridge University Press.</w:t>
            </w:r>
          </w:p>
          <w:p w:rsidR="002B6CC1" w:rsidRPr="00ED18EB" w:rsidRDefault="002B6CC1" w:rsidP="0078692D">
            <w:pPr>
              <w:shd w:val="clear" w:color="auto" w:fill="auto"/>
            </w:pPr>
            <w:r w:rsidRPr="00ED18EB">
              <w:lastRenderedPageBreak/>
              <w:t>Steenstrup, K. (2007). Teaching Brass, 2nd edition. Royal Academy of Music, Aarhus (docētāja privātais izdevumu krājums)</w:t>
            </w:r>
          </w:p>
          <w:p w:rsidR="002B6CC1" w:rsidRPr="00ED18EB" w:rsidRDefault="002B6CC1" w:rsidP="0078692D">
            <w:pPr>
              <w:shd w:val="clear" w:color="auto" w:fill="auto"/>
            </w:pPr>
            <w:r w:rsidRPr="00ED18EB">
              <w:t xml:space="preserve">Wayne, B.; Miles, P. J. M.; Siebert, A.; Stanley, W. J.; Stein, T. G. (2008). Teaching Brass: A Resource Manual. Boston: McGraw–Hill (docētāja privātais izdevumu krājums, kas skenētā veidā tiks ievietots e–studiju vidē </w:t>
            </w:r>
            <w:r w:rsidRPr="00ED18EB">
              <w:rPr>
                <w:i/>
              </w:rPr>
              <w:t>Moodle</w:t>
            </w:r>
            <w:r w:rsidRPr="00ED18EB">
              <w:t>)</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lastRenderedPageBreak/>
              <w:t>Periodika un citi informācijas avoti</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Žurnāli:</w:t>
            </w:r>
            <w:r w:rsidRPr="00ED18EB">
              <w:rPr>
                <w:lang w:val="en-GB" w:eastAsia="lv-LV"/>
              </w:rPr>
              <w:t xml:space="preserve"> </w:t>
            </w:r>
          </w:p>
          <w:p w:rsidR="002B6CC1" w:rsidRPr="00ED18EB" w:rsidRDefault="002B6CC1" w:rsidP="0078692D">
            <w:pPr>
              <w:shd w:val="clear" w:color="auto" w:fill="auto"/>
            </w:pPr>
            <w:r w:rsidRPr="00ED18EB">
              <w:t>Online Trombone Journal. https://www.trombone.org.</w:t>
            </w:r>
          </w:p>
          <w:p w:rsidR="002B6CC1" w:rsidRPr="00ED18EB" w:rsidRDefault="002B6CC1" w:rsidP="0078692D">
            <w:pPr>
              <w:shd w:val="clear" w:color="auto" w:fill="auto"/>
            </w:pPr>
            <w:r w:rsidRPr="00ED18EB">
              <w:t>Contemporary Music Review. https://www.tandfonline.com/loi/gcmr20</w:t>
            </w:r>
          </w:p>
          <w:p w:rsidR="002B6CC1" w:rsidRPr="00ED18EB" w:rsidRDefault="002B6CC1" w:rsidP="0078692D">
            <w:pPr>
              <w:shd w:val="clear" w:color="auto" w:fill="auto"/>
            </w:pPr>
            <w:r w:rsidRPr="00ED18EB">
              <w:t>Early Music Performer. https://www.earlymusic.info/Performer.php</w:t>
            </w:r>
          </w:p>
          <w:p w:rsidR="002B6CC1" w:rsidRPr="00ED18EB" w:rsidRDefault="002B6CC1" w:rsidP="0078692D">
            <w:pPr>
              <w:shd w:val="clear" w:color="auto" w:fill="auto"/>
            </w:pPr>
            <w:r w:rsidRPr="00ED18EB">
              <w:t>Journal of Research in Music Education.</w:t>
            </w:r>
          </w:p>
          <w:p w:rsidR="002B6CC1" w:rsidRPr="00ED18EB" w:rsidRDefault="002B6CC1" w:rsidP="0078692D">
            <w:pPr>
              <w:shd w:val="clear" w:color="auto" w:fill="auto"/>
            </w:pPr>
            <w:r w:rsidRPr="00ED18EB">
              <w:t>https://journals.sagepub.com/doi/abs/10.1177/0022429415583474?journalCode=jrmas</w:t>
            </w:r>
          </w:p>
          <w:p w:rsidR="002B6CC1" w:rsidRPr="00ED18EB" w:rsidRDefault="002B6CC1" w:rsidP="0078692D">
            <w:pPr>
              <w:shd w:val="clear" w:color="auto" w:fill="auto"/>
            </w:pPr>
            <w:r w:rsidRPr="00ED18EB">
              <w:t>Performance Practice Review. https://scholarship.claremont.edu/ppr/</w:t>
            </w:r>
          </w:p>
          <w:p w:rsidR="002B6CC1" w:rsidRPr="00ED18EB" w:rsidRDefault="002B6CC1" w:rsidP="0078692D">
            <w:pPr>
              <w:shd w:val="clear" w:color="auto" w:fill="auto"/>
            </w:pP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2B6CC1" w:rsidRPr="00ED18EB" w:rsidRDefault="002B6CC1" w:rsidP="0078692D">
            <w:pPr>
              <w:pStyle w:val="Nosaukumi"/>
            </w:pPr>
            <w:r w:rsidRPr="00ED18EB">
              <w:t>Piezīmes</w:t>
            </w:r>
          </w:p>
        </w:tc>
      </w:tr>
      <w:tr w:rsidR="002B6CC1" w:rsidRPr="00ED18EB" w:rsidTr="0078692D">
        <w:tc>
          <w:tcPr>
            <w:tcW w:w="9320" w:type="dxa"/>
            <w:tcBorders>
              <w:top w:val="single" w:sz="4" w:space="0" w:color="auto"/>
              <w:left w:val="single" w:sz="4" w:space="0" w:color="auto"/>
              <w:bottom w:val="single" w:sz="4" w:space="0" w:color="auto"/>
              <w:right w:val="single" w:sz="4" w:space="0" w:color="auto"/>
            </w:tcBorders>
          </w:tcPr>
          <w:p w:rsidR="002B6CC1" w:rsidRPr="00ED18EB" w:rsidRDefault="002B6CC1" w:rsidP="0078692D">
            <w:pPr>
              <w:shd w:val="clear" w:color="auto" w:fill="auto"/>
            </w:pPr>
            <w:r w:rsidRPr="00ED18EB">
              <w:t>Profesionālās bakalaura studiju programmas ”Mūzika” B1 daļa.</w:t>
            </w:r>
          </w:p>
          <w:p w:rsidR="002B6CC1" w:rsidRPr="00ED18EB" w:rsidRDefault="002B6CC1" w:rsidP="0078692D">
            <w:pPr>
              <w:shd w:val="clear" w:color="auto" w:fill="auto"/>
            </w:pPr>
            <w:r w:rsidRPr="00ED18EB">
              <w:t>Kursu apgūst latviešu vai angļu valodā.</w:t>
            </w:r>
          </w:p>
          <w:p w:rsidR="002B6CC1" w:rsidRPr="00ED18EB" w:rsidRDefault="002B6CC1" w:rsidP="0078692D">
            <w:pPr>
              <w:shd w:val="clear" w:color="auto" w:fill="auto"/>
              <w:jc w:val="both"/>
            </w:pPr>
            <w:r w:rsidRPr="00ED18EB">
              <w:t>Individuālo praktisko nodarbību kontaktstundas paredzētas katram studentam.</w:t>
            </w:r>
          </w:p>
          <w:p w:rsidR="002B6CC1" w:rsidRPr="00ED18EB" w:rsidRDefault="002B6CC1"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2B6CC1" w:rsidRPr="00ED18EB" w:rsidRDefault="002B6CC1"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CC1"/>
    <w:rsid w:val="002B6CC1"/>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CC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B6CC1"/>
    <w:rPr>
      <w:color w:val="0000FF"/>
      <w:u w:val="single"/>
    </w:rPr>
  </w:style>
  <w:style w:type="paragraph" w:customStyle="1" w:styleId="Nosaukumi">
    <w:name w:val="Nosaukumi"/>
    <w:basedOn w:val="Normal"/>
    <w:link w:val="NosaukumiChar"/>
    <w:autoRedefine/>
    <w:qFormat/>
    <w:rsid w:val="002B6CC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B6CC1"/>
    <w:pPr>
      <w:framePr w:hSpace="180" w:wrap="around" w:vAnchor="text" w:hAnchor="margin" w:y="1"/>
      <w:shd w:val="clear" w:color="auto" w:fill="auto"/>
    </w:pPr>
    <w:rPr>
      <w:i/>
      <w:iCs w:val="0"/>
      <w:szCs w:val="22"/>
    </w:rPr>
  </w:style>
  <w:style w:type="table" w:styleId="TableGrid">
    <w:name w:val="Table Grid"/>
    <w:basedOn w:val="TableNormal"/>
    <w:uiPriority w:val="59"/>
    <w:rsid w:val="002B6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6CC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B6CC1"/>
    <w:rPr>
      <w:shd w:val="clear" w:color="auto" w:fill="FFFFFF" w:themeFill="background1"/>
    </w:rPr>
  </w:style>
  <w:style w:type="paragraph" w:customStyle="1" w:styleId="Style1">
    <w:name w:val="Style1"/>
    <w:basedOn w:val="Nosaukumi"/>
    <w:link w:val="Style1Char"/>
    <w:autoRedefine/>
    <w:qFormat/>
    <w:rsid w:val="002B6CC1"/>
    <w:pPr>
      <w:framePr w:wrap="around" w:hAnchor="text"/>
      <w:ind w:right="399"/>
    </w:pPr>
    <w:rPr>
      <w:sz w:val="24"/>
      <w:shd w:val="clear" w:color="auto" w:fill="FFFFFF"/>
    </w:rPr>
  </w:style>
  <w:style w:type="character" w:customStyle="1" w:styleId="NosaukumiChar">
    <w:name w:val="Nosaukumi Char"/>
    <w:basedOn w:val="DefaultParagraphFont"/>
    <w:link w:val="Nosaukumi"/>
    <w:rsid w:val="002B6CC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B6CC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B6CC1"/>
    <w:rPr>
      <w:caps/>
      <w:szCs w:val="22"/>
    </w:rPr>
  </w:style>
  <w:style w:type="character" w:customStyle="1" w:styleId="Style2Char">
    <w:name w:val="Style2 Char"/>
    <w:basedOn w:val="DefaultParagraphFont"/>
    <w:link w:val="Style2"/>
    <w:rsid w:val="002B6CC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B6CC1"/>
    <w:rPr>
      <w:rFonts w:ascii="Tahoma" w:hAnsi="Tahoma" w:cs="Tahoma"/>
      <w:sz w:val="16"/>
      <w:szCs w:val="16"/>
    </w:rPr>
  </w:style>
  <w:style w:type="character" w:customStyle="1" w:styleId="BalloonTextChar">
    <w:name w:val="Balloon Text Char"/>
    <w:basedOn w:val="DefaultParagraphFont"/>
    <w:link w:val="BalloonText"/>
    <w:uiPriority w:val="99"/>
    <w:semiHidden/>
    <w:rsid w:val="002B6CC1"/>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CC1"/>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B6CC1"/>
    <w:rPr>
      <w:color w:val="0000FF"/>
      <w:u w:val="single"/>
    </w:rPr>
  </w:style>
  <w:style w:type="paragraph" w:customStyle="1" w:styleId="Nosaukumi">
    <w:name w:val="Nosaukumi"/>
    <w:basedOn w:val="Normal"/>
    <w:link w:val="NosaukumiChar"/>
    <w:autoRedefine/>
    <w:qFormat/>
    <w:rsid w:val="002B6CC1"/>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2B6CC1"/>
    <w:pPr>
      <w:framePr w:hSpace="180" w:wrap="around" w:vAnchor="text" w:hAnchor="margin" w:y="1"/>
      <w:shd w:val="clear" w:color="auto" w:fill="auto"/>
    </w:pPr>
    <w:rPr>
      <w:i/>
      <w:iCs w:val="0"/>
      <w:szCs w:val="22"/>
    </w:rPr>
  </w:style>
  <w:style w:type="table" w:styleId="TableGrid">
    <w:name w:val="Table Grid"/>
    <w:basedOn w:val="TableNormal"/>
    <w:uiPriority w:val="59"/>
    <w:rsid w:val="002B6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6CC1"/>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2B6CC1"/>
    <w:rPr>
      <w:shd w:val="clear" w:color="auto" w:fill="FFFFFF" w:themeFill="background1"/>
    </w:rPr>
  </w:style>
  <w:style w:type="paragraph" w:customStyle="1" w:styleId="Style1">
    <w:name w:val="Style1"/>
    <w:basedOn w:val="Nosaukumi"/>
    <w:link w:val="Style1Char"/>
    <w:autoRedefine/>
    <w:qFormat/>
    <w:rsid w:val="002B6CC1"/>
    <w:pPr>
      <w:framePr w:wrap="around" w:hAnchor="text"/>
      <w:ind w:right="399"/>
    </w:pPr>
    <w:rPr>
      <w:sz w:val="24"/>
      <w:shd w:val="clear" w:color="auto" w:fill="FFFFFF"/>
    </w:rPr>
  </w:style>
  <w:style w:type="character" w:customStyle="1" w:styleId="NosaukumiChar">
    <w:name w:val="Nosaukumi Char"/>
    <w:basedOn w:val="DefaultParagraphFont"/>
    <w:link w:val="Nosaukumi"/>
    <w:rsid w:val="002B6CC1"/>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2B6CC1"/>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2B6CC1"/>
    <w:rPr>
      <w:caps/>
      <w:szCs w:val="22"/>
    </w:rPr>
  </w:style>
  <w:style w:type="character" w:customStyle="1" w:styleId="Style2Char">
    <w:name w:val="Style2 Char"/>
    <w:basedOn w:val="DefaultParagraphFont"/>
    <w:link w:val="Style2"/>
    <w:rsid w:val="002B6CC1"/>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2B6CC1"/>
    <w:rPr>
      <w:rFonts w:ascii="Tahoma" w:hAnsi="Tahoma" w:cs="Tahoma"/>
      <w:sz w:val="16"/>
      <w:szCs w:val="16"/>
    </w:rPr>
  </w:style>
  <w:style w:type="character" w:customStyle="1" w:styleId="BalloonTextChar">
    <w:name w:val="Balloon Text Char"/>
    <w:basedOn w:val="DefaultParagraphFont"/>
    <w:link w:val="BalloonText"/>
    <w:uiPriority w:val="99"/>
    <w:semiHidden/>
    <w:rsid w:val="002B6CC1"/>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bebooks.com/servlet/BookDetailsPL?bi=30436942756&amp;searchurl=an%3Drobert%2Bm%25FCller%26sortby%3D17%26tn%3Dtechnische%2Bstudien&amp;cm_sp=snippet-_-srp1-_-title9"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7F68A1237C4F4E90206DF04282B698"/>
        <w:category>
          <w:name w:val="General"/>
          <w:gallery w:val="placeholder"/>
        </w:category>
        <w:types>
          <w:type w:val="bbPlcHdr"/>
        </w:types>
        <w:behaviors>
          <w:behavior w:val="content"/>
        </w:behaviors>
        <w:guid w:val="{500D08E2-A69B-4429-8BEF-D68A0E4E043E}"/>
      </w:docPartPr>
      <w:docPartBody>
        <w:p w:rsidR="00000000" w:rsidRDefault="00E449E9" w:rsidP="00E449E9">
          <w:pPr>
            <w:pStyle w:val="487F68A1237C4F4E90206DF04282B69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E9"/>
    <w:rsid w:val="007F2476"/>
    <w:rsid w:val="00E449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49E9"/>
    <w:rPr>
      <w:color w:val="808080"/>
    </w:rPr>
  </w:style>
  <w:style w:type="paragraph" w:customStyle="1" w:styleId="487F68A1237C4F4E90206DF04282B698">
    <w:name w:val="487F68A1237C4F4E90206DF04282B698"/>
    <w:rsid w:val="00E449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49E9"/>
    <w:rPr>
      <w:color w:val="808080"/>
    </w:rPr>
  </w:style>
  <w:style w:type="paragraph" w:customStyle="1" w:styleId="487F68A1237C4F4E90206DF04282B698">
    <w:name w:val="487F68A1237C4F4E90206DF04282B698"/>
    <w:rsid w:val="00E449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6561</Words>
  <Characters>3741</Characters>
  <Application>Microsoft Office Word</Application>
  <DocSecurity>0</DocSecurity>
  <Lines>31</Lines>
  <Paragraphs>20</Paragraphs>
  <ScaleCrop>false</ScaleCrop>
  <Company/>
  <LinksUpToDate>false</LinksUpToDate>
  <CharactersWithSpaces>10282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2023-07-13T11:56:00Z</dcterms:created>
  <dcterms:modified xsi:type="dcterms:W3CDTF">2023-07-13T11:57:00Z</dcterms:modified>
</cp:coreProperties>
</file>