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574"/>
        <w:gridCol w:w="1266"/>
        <w:gridCol w:w="974"/>
        <w:gridCol w:w="2459"/>
      </w:tblGrid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bookmarkStart w:id="0" w:name="_Toc40081093"/>
            <w:bookmarkStart w:id="1" w:name="_Toc37062331"/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nosaukums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E31358" w:rsidP="00997A12">
            <w:pPr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</w:rPr>
              <w:t>Zinātniski radošie studiju projekti</w:t>
            </w:r>
            <w:r w:rsidR="00724968">
              <w:rPr>
                <w:rFonts w:eastAsia="Calibri"/>
                <w:b/>
                <w:sz w:val="22"/>
                <w:szCs w:val="22"/>
              </w:rPr>
              <w:t xml:space="preserve"> (DP)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kods (DUIS)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12" w:rsidRDefault="00704CD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MākZ</w:t>
            </w:r>
            <w:r>
              <w:rPr>
                <w:rFonts w:eastAsia="Calibri"/>
                <w:sz w:val="22"/>
                <w:szCs w:val="22"/>
                <w:lang w:eastAsia="lv-LV"/>
              </w:rPr>
              <w:t>3511</w:t>
            </w:r>
            <w:bookmarkStart w:id="2" w:name="_GoBack"/>
            <w:bookmarkEnd w:id="2"/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Zinātnes nozare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Mākslas zinātne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līmenis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1.-4. līmenis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724968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ECTS kredītpunkti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724968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997A12">
              <w:rPr>
                <w:rFonts w:eastAsia="Calibri"/>
                <w:sz w:val="22"/>
                <w:szCs w:val="22"/>
              </w:rPr>
              <w:t>.5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Kopējais kontaktstundu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724968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Lekciju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Semināru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Praktisko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Individuālo darbu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724968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ind w:right="-108"/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  <w:lang w:eastAsia="lv-LV"/>
              </w:rPr>
              <w:t>Studenta patstāvīgā darba stundu skaits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724968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96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izstrādātājs(-i)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Kursa docētājs(-i)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>
              <w:rPr>
                <w:rFonts w:eastAsia="Calibri"/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Priekšzināšanas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997A12" w:rsidRDefault="00997A1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val="en-GB"/>
              </w:rPr>
            </w:pPr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Apgūtas zināšanas instrumenta spēlē vai solo dziedāšanā vai 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kordiŗiģēšanā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un mūzikas teorijā/</w:t>
            </w:r>
            <w:proofErr w:type="spellStart"/>
            <w:r w:rsidRPr="0060360A">
              <w:rPr>
                <w:rFonts w:eastAsia="Calibri"/>
                <w:spacing w:val="6"/>
                <w:sz w:val="22"/>
                <w:szCs w:val="22"/>
              </w:rPr>
              <w:t>vesturē</w:t>
            </w:r>
            <w:proofErr w:type="spellEnd"/>
            <w:r w:rsidRPr="0060360A">
              <w:rPr>
                <w:rFonts w:eastAsia="Calibri"/>
                <w:spacing w:val="6"/>
                <w:sz w:val="22"/>
                <w:szCs w:val="22"/>
              </w:rPr>
              <w:t xml:space="preserve"> </w:t>
            </w:r>
            <w:r w:rsidRPr="0060360A">
              <w:rPr>
                <w:rFonts w:eastAsia="Calibri"/>
                <w:sz w:val="22"/>
                <w:szCs w:val="22"/>
              </w:rPr>
              <w:t>mūzikas profesionālās vidējās izglītības programmas noslēguma prasību līmenī.</w:t>
            </w:r>
          </w:p>
        </w:tc>
      </w:tr>
      <w:tr w:rsidR="00997A12" w:rsidTr="00F32489">
        <w:trPr>
          <w:trHeight w:val="167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 xml:space="preserve">Studiju kursa anotācija 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F32489" w:rsidRDefault="003068BE" w:rsidP="00F32489">
            <w:pPr>
              <w:pStyle w:val="apaknodaa1"/>
              <w:numPr>
                <w:ilvl w:val="0"/>
                <w:numId w:val="0"/>
              </w:numPr>
              <w:tabs>
                <w:tab w:val="num" w:pos="3913"/>
              </w:tabs>
              <w:spacing w:before="0" w:after="0"/>
              <w:jc w:val="both"/>
              <w:rPr>
                <w:sz w:val="24"/>
                <w:szCs w:val="24"/>
              </w:rPr>
            </w:pPr>
            <w:r w:rsidRPr="003068BE">
              <w:rPr>
                <w:b w:val="0"/>
                <w:sz w:val="22"/>
                <w:szCs w:val="22"/>
              </w:rPr>
              <w:t xml:space="preserve">Studiju projekta </w:t>
            </w:r>
            <w:r w:rsidRPr="003068BE">
              <w:rPr>
                <w:b w:val="0"/>
                <w:i/>
                <w:sz w:val="22"/>
                <w:szCs w:val="22"/>
              </w:rPr>
              <w:t>Mūzikā</w:t>
            </w:r>
            <w:r w:rsidRPr="003068BE">
              <w:rPr>
                <w:b w:val="0"/>
                <w:sz w:val="22"/>
                <w:szCs w:val="22"/>
              </w:rPr>
              <w:t xml:space="preserve"> izstrādes mērķis ir patstāvīgs zinātnisks pētījums mūzikā par aktuālu tēmu izvēlētajā specializācijas nozarē.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068BE">
              <w:rPr>
                <w:b w:val="0"/>
                <w:sz w:val="22"/>
                <w:szCs w:val="22"/>
              </w:rPr>
              <w:t>Studiju darbā problēmas izpēti balsta uz attiecīgās speciālās literatūras studijām, to izvērtējumu, uz konkrētiem patstāvīgiem pētījumiem, izmantojot jaunākās pētniecības un radošās metodes mūzikā</w:t>
            </w:r>
            <w:r>
              <w:rPr>
                <w:b w:val="0"/>
                <w:sz w:val="22"/>
                <w:szCs w:val="22"/>
              </w:rPr>
              <w:t>.</w:t>
            </w:r>
          </w:p>
        </w:tc>
      </w:tr>
      <w:tr w:rsidR="00997A12" w:rsidTr="003068BE">
        <w:trPr>
          <w:trHeight w:val="475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kalendārais plāns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12" w:rsidRP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997A12">
              <w:rPr>
                <w:rFonts w:eastAsia="Calibri"/>
                <w:sz w:val="22"/>
                <w:szCs w:val="22"/>
              </w:rPr>
              <w:t xml:space="preserve">Kursa struktūra: individuālās konsultācijas – </w:t>
            </w:r>
            <w:r w:rsidR="00724968">
              <w:rPr>
                <w:rFonts w:eastAsia="Calibri"/>
                <w:sz w:val="22"/>
                <w:szCs w:val="22"/>
              </w:rPr>
              <w:t>24</w:t>
            </w:r>
            <w:r w:rsidRPr="00997A12">
              <w:rPr>
                <w:rFonts w:eastAsia="Calibri"/>
                <w:sz w:val="22"/>
                <w:szCs w:val="22"/>
              </w:rPr>
              <w:t xml:space="preserve"> stundas katram studējošajam, studentu patstāvīgais darbs – </w:t>
            </w:r>
            <w:r w:rsidR="00724968">
              <w:rPr>
                <w:rFonts w:eastAsia="Calibri"/>
                <w:sz w:val="22"/>
                <w:szCs w:val="22"/>
              </w:rPr>
              <w:t>96</w:t>
            </w:r>
            <w:r w:rsidRPr="00997A12">
              <w:rPr>
                <w:rFonts w:eastAsia="Calibri"/>
                <w:sz w:val="22"/>
                <w:szCs w:val="22"/>
              </w:rPr>
              <w:t xml:space="preserve"> stundas.</w:t>
            </w:r>
          </w:p>
          <w:p w:rsidR="00997A12" w:rsidRPr="00997A12" w:rsidRDefault="003068BE" w:rsidP="009825DB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3068BE">
              <w:rPr>
                <w:rFonts w:eastAsia="Calibri"/>
                <w:sz w:val="22"/>
                <w:szCs w:val="22"/>
              </w:rPr>
              <w:t>Individuālajās konsultācij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ās paredzēts darbs ar </w:t>
            </w:r>
            <w:r w:rsidRPr="003068BE">
              <w:rPr>
                <w:rFonts w:eastAsia="Calibri"/>
                <w:sz w:val="22"/>
                <w:szCs w:val="22"/>
              </w:rPr>
              <w:t xml:space="preserve">kultūrvēstures un </w:t>
            </w:r>
            <w:r w:rsidR="00997A12" w:rsidRPr="003068BE">
              <w:rPr>
                <w:rFonts w:eastAsia="Calibri"/>
                <w:sz w:val="22"/>
                <w:szCs w:val="22"/>
              </w:rPr>
              <w:t>muzikoloģijas zinātniskās literatūras avotiem, skaņdarbu nošu materiālu analīzi, muzikoloģijas pētniecības metožu un terminu skaidrojumi</w:t>
            </w:r>
            <w:r w:rsidRPr="003068BE">
              <w:rPr>
                <w:rFonts w:eastAsia="Calibri"/>
                <w:sz w:val="22"/>
                <w:szCs w:val="22"/>
              </w:rPr>
              <w:t>.</w:t>
            </w:r>
            <w:r w:rsidR="00997A12" w:rsidRPr="003068BE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Pr="00997A12" w:rsidRDefault="00997A1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Tematika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Nodarbību veids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Stundu</w:t>
            </w:r>
          </w:p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skaits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E571F3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E571F3">
              <w:rPr>
                <w:rFonts w:eastAsia="Calibri"/>
                <w:b/>
                <w:sz w:val="22"/>
                <w:szCs w:val="22"/>
              </w:rPr>
              <w:t>Uzdevumi patstāvīgajam darbam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997A12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DE2" w:rsidRPr="00521DE5" w:rsidRDefault="00FB0DE2" w:rsidP="00FB0DE2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Studiju projekta izstrādes ieteikumi.</w:t>
            </w:r>
          </w:p>
          <w:p w:rsidR="00FB0DE2" w:rsidRPr="00521DE5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aktualitātes, problēmas izvēles pamatojums. </w:t>
            </w:r>
          </w:p>
          <w:p w:rsidR="00997A12" w:rsidRPr="00FB0DE2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objekts, priekšmets, pētījuma mērķis, </w:t>
            </w:r>
            <w:r w:rsidRPr="00521DE5">
              <w:rPr>
                <w:sz w:val="22"/>
                <w:szCs w:val="22"/>
              </w:rPr>
              <w:lastRenderedPageBreak/>
              <w:t xml:space="preserve">uzdevumi, </w:t>
            </w:r>
            <w:r>
              <w:rPr>
                <w:sz w:val="22"/>
                <w:szCs w:val="22"/>
              </w:rPr>
              <w:t>pētījuma metodes.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997A1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lastRenderedPageBreak/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FB0DE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C63" w:rsidRDefault="00D53C63" w:rsidP="00FB0DE2">
            <w:pPr>
              <w:pStyle w:val="BodyText"/>
              <w:spacing w:line="240" w:lineRule="auto"/>
              <w:ind w:left="34" w:firstLine="35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Iepazīties ar studiju projekta izstrādes ieteikumiem.</w:t>
            </w:r>
          </w:p>
          <w:p w:rsidR="00FB0DE2" w:rsidRPr="00521DE5" w:rsidRDefault="00FB0DE2" w:rsidP="00FB0DE2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FB0DE2">
              <w:rPr>
                <w:rFonts w:eastAsia="Calibri"/>
                <w:iCs/>
                <w:sz w:val="22"/>
                <w:szCs w:val="22"/>
              </w:rPr>
              <w:t xml:space="preserve">Praktiskais uzdevums: izveidot studiju projekta ievadu: </w:t>
            </w:r>
            <w:r w:rsidRPr="00521DE5">
              <w:rPr>
                <w:sz w:val="22"/>
                <w:szCs w:val="22"/>
              </w:rPr>
              <w:t>pētījuma aktualitāte, problēmas izvēles pamatojums</w:t>
            </w:r>
            <w:r>
              <w:rPr>
                <w:sz w:val="22"/>
                <w:szCs w:val="22"/>
              </w:rPr>
              <w:t>,</w:t>
            </w:r>
            <w:r w:rsidRPr="00521DE5">
              <w:rPr>
                <w:sz w:val="22"/>
                <w:szCs w:val="22"/>
              </w:rPr>
              <w:t xml:space="preserve"> </w:t>
            </w:r>
          </w:p>
          <w:p w:rsidR="00997A12" w:rsidRDefault="00FB0DE2" w:rsidP="00FB0DE2">
            <w:pPr>
              <w:ind w:left="2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pētījuma objekts, priekšmets, pētījuma mērķis, uzdevumi, </w:t>
            </w:r>
            <w:r>
              <w:rPr>
                <w:sz w:val="22"/>
                <w:szCs w:val="22"/>
              </w:rPr>
              <w:t>pētījuma metodes.</w:t>
            </w:r>
          </w:p>
          <w:p w:rsidR="00FB0DE2" w:rsidRPr="00997A12" w:rsidRDefault="00FB0DE2" w:rsidP="00FB0DE2">
            <w:pPr>
              <w:ind w:left="2"/>
              <w:rPr>
                <w:rFonts w:eastAsia="Calibri"/>
                <w:iCs/>
                <w:color w:val="FF0000"/>
                <w:sz w:val="22"/>
                <w:szCs w:val="22"/>
              </w:rPr>
            </w:pPr>
            <w:r w:rsidRPr="00FB0DE2">
              <w:rPr>
                <w:iCs/>
                <w:sz w:val="22"/>
                <w:szCs w:val="22"/>
                <w:lang w:eastAsia="ar-SA"/>
              </w:rPr>
              <w:t xml:space="preserve">Darbs jāprezentē </w:t>
            </w:r>
            <w:r w:rsidR="000723D6">
              <w:rPr>
                <w:iCs/>
                <w:sz w:val="22"/>
                <w:szCs w:val="22"/>
                <w:lang w:eastAsia="ar-SA"/>
              </w:rPr>
              <w:t xml:space="preserve">pēc divām nedēļām </w:t>
            </w:r>
            <w:r w:rsidRPr="00FB0DE2">
              <w:rPr>
                <w:iCs/>
                <w:sz w:val="22"/>
                <w:szCs w:val="22"/>
                <w:lang w:eastAsia="ar-SA"/>
              </w:rPr>
              <w:t xml:space="preserve">nākamajā </w:t>
            </w:r>
            <w:r w:rsidRPr="00FB0DE2">
              <w:rPr>
                <w:rFonts w:eastAsia="Calibri"/>
                <w:sz w:val="22"/>
                <w:szCs w:val="22"/>
              </w:rPr>
              <w:t>individuālajā konsultācijā</w:t>
            </w:r>
            <w:r w:rsidRPr="00FB0DE2">
              <w:rPr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997A12" w:rsidTr="003068BE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Pr="00997A12" w:rsidRDefault="00997A1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FB0DE2" w:rsidP="005A30EC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Speciālās literatūras studijas</w:t>
            </w:r>
            <w:r w:rsidR="005A30EC">
              <w:rPr>
                <w:sz w:val="22"/>
                <w:szCs w:val="22"/>
              </w:rPr>
              <w:t>, izvērtējums.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997A12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FB0DE2" w:rsidRDefault="00047F9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B10845" w:rsidRDefault="005B1E63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D1F5E">
              <w:rPr>
                <w:rFonts w:eastAsia="Calibri"/>
                <w:sz w:val="22"/>
                <w:szCs w:val="22"/>
              </w:rPr>
              <w:t>Norādītās li</w:t>
            </w:r>
            <w:r>
              <w:rPr>
                <w:rFonts w:eastAsia="Calibri"/>
                <w:sz w:val="22"/>
                <w:szCs w:val="22"/>
              </w:rPr>
              <w:t>teratūras studēšana un analīze.</w:t>
            </w:r>
            <w:r w:rsidRPr="009D1F5E">
              <w:rPr>
                <w:rFonts w:eastAsia="Calibri"/>
                <w:sz w:val="22"/>
                <w:szCs w:val="22"/>
              </w:rPr>
              <w:t xml:space="preserve"> </w:t>
            </w:r>
            <w:r w:rsidR="00FB0DE2"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="00FB0DE2"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="00FB0DE2"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FB0DE2" w:rsidRPr="00FB0DE2" w:rsidRDefault="00FB0DE2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sagatavot prezentāciju par izvēlētā mākslas veida (literatūra, vizuālā māksla, teātris, kino, arhitektūra) izteiksmes līdzekļiem, to mijiedarbi ar mūziku konkrētā sociāli vēsturiskā kontekstā.</w:t>
            </w:r>
          </w:p>
        </w:tc>
      </w:tr>
      <w:tr w:rsidR="005B1E63" w:rsidTr="00FB0DE2">
        <w:trPr>
          <w:trHeight w:val="109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E63" w:rsidRPr="00FB0DE2" w:rsidRDefault="005B1E63" w:rsidP="005B1E63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Default="005B1E63" w:rsidP="005B1E63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Speciālās literatūras studijas, izvērtējums, jaunākās pētniecības un radošās metodes mūzikā. </w:t>
            </w:r>
          </w:p>
          <w:p w:rsidR="005B1E63" w:rsidRPr="00521DE5" w:rsidRDefault="005B1E63" w:rsidP="005B1E63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Terminoloģija. </w:t>
            </w:r>
          </w:p>
          <w:p w:rsidR="005B1E63" w:rsidRPr="00FB0DE2" w:rsidRDefault="005B1E63" w:rsidP="005B1E63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Mūzikas stils, estētika, filozofija, žanri, tematika laikmeta kultūrvēstures kontekstā.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FB0DE2" w:rsidRDefault="005B1E63" w:rsidP="005B1E63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FB0DE2" w:rsidRDefault="005A30EC" w:rsidP="005B1E63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63" w:rsidRPr="00B10845" w:rsidRDefault="005B1E63" w:rsidP="005B1E63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5B1E63" w:rsidRPr="00B10845" w:rsidRDefault="005B1E63" w:rsidP="005B1E63">
            <w:pPr>
              <w:rPr>
                <w:rFonts w:eastAsia="Calibri"/>
                <w:sz w:val="22"/>
                <w:szCs w:val="22"/>
              </w:rPr>
            </w:pPr>
            <w:r w:rsidRPr="00B10845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5B1E63" w:rsidRPr="00B10845" w:rsidRDefault="005B1E63" w:rsidP="005B1E63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B10845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no </w:t>
            </w:r>
            <w:r w:rsidRPr="00B10845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B10845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B10845">
              <w:rPr>
                <w:rFonts w:eastAsia="Calibri"/>
                <w:sz w:val="22"/>
                <w:szCs w:val="22"/>
              </w:rPr>
              <w:t xml:space="preserve">. Rīga: JVLMA; </w:t>
            </w:r>
          </w:p>
          <w:p w:rsidR="005B1E63" w:rsidRPr="00B10845" w:rsidRDefault="005B1E63" w:rsidP="005B1E63">
            <w:pPr>
              <w:ind w:left="2"/>
              <w:rPr>
                <w:sz w:val="22"/>
                <w:szCs w:val="22"/>
              </w:rPr>
            </w:pPr>
            <w:r w:rsidRPr="00B10845">
              <w:rPr>
                <w:rFonts w:eastAsia="Calibri"/>
                <w:sz w:val="22"/>
                <w:szCs w:val="22"/>
              </w:rPr>
              <w:t xml:space="preserve">Torgāns, J. (2004). </w:t>
            </w:r>
            <w:r w:rsidRPr="00B10845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B10845">
              <w:rPr>
                <w:rFonts w:eastAsia="Calibri"/>
                <w:sz w:val="22"/>
                <w:szCs w:val="22"/>
              </w:rPr>
              <w:t>. Rīga: JVLMA</w:t>
            </w:r>
          </w:p>
          <w:p w:rsidR="005B1E63" w:rsidRPr="00FB0DE2" w:rsidRDefault="005B1E63" w:rsidP="005B1E63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sagatavot prezentāciju par izvēlētā mākslas veida (literatūra, vizuālā māksla, teātris, kino, arhitektūra) izteiksmes līdzekļiem, to mijiedarbi ar mūziku konkrētā sociāli vēsturiskā kontekstā.</w:t>
            </w:r>
          </w:p>
        </w:tc>
      </w:tr>
      <w:tr w:rsidR="00047F9E" w:rsidTr="00047F9E">
        <w:trPr>
          <w:trHeight w:val="1293"/>
        </w:trPr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9E" w:rsidRPr="00FB0DE2" w:rsidRDefault="00047F9E" w:rsidP="003E09E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4F3350" w:rsidRDefault="00047F9E" w:rsidP="00F10558">
            <w:pPr>
              <w:rPr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Studiju projekta sagatavošana</w:t>
            </w:r>
            <w:r>
              <w:rPr>
                <w:sz w:val="22"/>
                <w:szCs w:val="22"/>
              </w:rPr>
              <w:t>, prezentācija</w:t>
            </w:r>
            <w:r w:rsidRPr="005A30E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047F9E" w:rsidRDefault="00047F9E" w:rsidP="008E410E">
            <w:pPr>
              <w:jc w:val="center"/>
              <w:rPr>
                <w:rFonts w:eastAsia="Calibri"/>
                <w:sz w:val="22"/>
                <w:szCs w:val="22"/>
              </w:rPr>
            </w:pPr>
            <w:r w:rsidRPr="005A30EC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047F9E" w:rsidRDefault="00047F9E" w:rsidP="00610F6B">
            <w:pPr>
              <w:jc w:val="center"/>
              <w:rPr>
                <w:rFonts w:eastAsia="Calibri"/>
                <w:sz w:val="22"/>
                <w:szCs w:val="22"/>
              </w:rPr>
            </w:pPr>
            <w:r w:rsidRPr="005A30E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9E" w:rsidRPr="00FB0DE2" w:rsidRDefault="00047F9E" w:rsidP="00F1422A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Patstāvīgi rakstiski sagatavots studiju projekts. Mutiska darba prezentācija. Atbildes uz jautājumiem.</w:t>
            </w:r>
          </w:p>
        </w:tc>
      </w:tr>
      <w:tr w:rsidR="00B6337E" w:rsidTr="0055713A">
        <w:trPr>
          <w:trHeight w:val="1293"/>
        </w:trPr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both"/>
              <w:rPr>
                <w:sz w:val="22"/>
                <w:szCs w:val="22"/>
              </w:rPr>
            </w:pPr>
            <w:r w:rsidRPr="00993D7F">
              <w:rPr>
                <w:sz w:val="22"/>
                <w:szCs w:val="22"/>
              </w:rPr>
              <w:t>Citēto avotu analīze un pieraksts.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B6337E" w:rsidRPr="00993D7F" w:rsidRDefault="00B6337E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no </w:t>
            </w:r>
            <w:r w:rsidRPr="00993D7F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993D7F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993D7F">
              <w:rPr>
                <w:rFonts w:eastAsia="Calibri"/>
                <w:sz w:val="22"/>
                <w:szCs w:val="22"/>
              </w:rPr>
              <w:t xml:space="preserve">. Rīga: JVLMA; </w:t>
            </w:r>
          </w:p>
        </w:tc>
      </w:tr>
      <w:tr w:rsidR="00B6337E" w:rsidTr="00C7654C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993D7F">
              <w:rPr>
                <w:sz w:val="22"/>
                <w:szCs w:val="22"/>
              </w:rPr>
              <w:t>Speciālās literatūras studijas, izvērtējums.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Norādītās literatūras studēšana un analīze. </w:t>
            </w:r>
            <w:r w:rsidRPr="00993D7F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993D7F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B6337E" w:rsidRPr="00993D7F" w:rsidRDefault="00B6337E" w:rsidP="00B6337E">
            <w:pPr>
              <w:ind w:left="2"/>
              <w:rPr>
                <w:rFonts w:eastAsia="Calibri"/>
                <w:spacing w:val="-22"/>
                <w:sz w:val="22"/>
                <w:szCs w:val="22"/>
              </w:rPr>
            </w:pPr>
            <w:r w:rsidRPr="00993D7F">
              <w:rPr>
                <w:sz w:val="22"/>
                <w:szCs w:val="22"/>
              </w:rPr>
              <w:t>Patstāvīgi sagatavot prezentāciju par izvēlētā mākslas veida (literatūra, vizuālā māksla, teātris, kino, arhitektūra) izteiksmes līdzekļiem, to mijiedarbi ar mūziku konkrētā sociāli vēsturiskā kontekstā.</w:t>
            </w:r>
          </w:p>
        </w:tc>
      </w:tr>
      <w:tr w:rsidR="00B6337E" w:rsidTr="00C7654C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ind w:left="34"/>
              <w:jc w:val="both"/>
              <w:rPr>
                <w:sz w:val="22"/>
                <w:szCs w:val="22"/>
              </w:rPr>
            </w:pPr>
            <w:r w:rsidRPr="00993D7F">
              <w:rPr>
                <w:sz w:val="22"/>
                <w:szCs w:val="22"/>
              </w:rPr>
              <w:t xml:space="preserve">Terminoloģija. </w:t>
            </w:r>
          </w:p>
          <w:p w:rsidR="00B6337E" w:rsidRPr="00993D7F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93D7F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3D7F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993D7F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993D7F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B6337E" w:rsidRPr="00993D7F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B6337E" w:rsidRPr="00993D7F" w:rsidRDefault="00B6337E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no </w:t>
            </w:r>
            <w:r w:rsidRPr="00993D7F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993D7F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993D7F">
              <w:rPr>
                <w:rFonts w:eastAsia="Calibri"/>
                <w:sz w:val="22"/>
                <w:szCs w:val="22"/>
              </w:rPr>
              <w:t xml:space="preserve">. Rīga: JVLMA; </w:t>
            </w:r>
          </w:p>
          <w:p w:rsidR="00B6337E" w:rsidRPr="00993D7F" w:rsidRDefault="00B6337E" w:rsidP="00B6337E">
            <w:pPr>
              <w:ind w:left="2"/>
              <w:rPr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Torgāns, J. (2004). </w:t>
            </w:r>
            <w:r w:rsidRPr="00993D7F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993D7F">
              <w:rPr>
                <w:rFonts w:eastAsia="Calibri"/>
                <w:sz w:val="22"/>
                <w:szCs w:val="22"/>
              </w:rPr>
              <w:t>. Rīga: JVLMA</w:t>
            </w:r>
          </w:p>
        </w:tc>
      </w:tr>
      <w:tr w:rsidR="00B6337E" w:rsidTr="00CF5C47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both"/>
              <w:rPr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>Kritēriju izstrāde un piemērošana skaņdarbu muzikāli-teorētiskajā analīzē.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B6337E" w:rsidRPr="00993D7F" w:rsidRDefault="00B6337E" w:rsidP="00B6337E">
            <w:pPr>
              <w:tabs>
                <w:tab w:val="num" w:pos="567"/>
              </w:tabs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1. nodaļu 8-34.lpp.no krājuma (2009)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zinātne šodien: pastāvīgais un mainīgais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Saule; 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1. nodaļu 7-80.lpp.no krājuma (2008)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vēstures un teorijas mijiedarbe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Saule.</w:t>
            </w:r>
          </w:p>
        </w:tc>
      </w:tr>
      <w:tr w:rsidR="00B6337E" w:rsidTr="00800B70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both"/>
              <w:rPr>
                <w:sz w:val="22"/>
                <w:szCs w:val="22"/>
              </w:rPr>
            </w:pPr>
            <w:r w:rsidRPr="00993D7F">
              <w:rPr>
                <w:sz w:val="22"/>
                <w:szCs w:val="22"/>
              </w:rPr>
              <w:t>Specialitātē apgūstamā skaņdarba muzikāli teorētiskā analīze, metodisko paņēmienu apskats.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993D7F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B6337E" w:rsidRPr="00993D7F" w:rsidRDefault="00B6337E" w:rsidP="00B6337E">
            <w:pPr>
              <w:ind w:left="2"/>
              <w:rPr>
                <w:rFonts w:eastAsia="Calibri"/>
                <w:spacing w:val="-22"/>
                <w:sz w:val="22"/>
                <w:szCs w:val="22"/>
              </w:rPr>
            </w:pP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1. nodaļu 8-34.lpp.no krājuma (2009)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zinātne šodien: pastāvīgais un mainīgais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Saule; 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1. nodaļu 7-80.lpp.no krājuma (2008)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vēstures un teorijas mijiedarbe</w:t>
            </w:r>
            <w:r w:rsidRPr="00993D7F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993D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Saule.</w:t>
            </w:r>
          </w:p>
        </w:tc>
      </w:tr>
      <w:tr w:rsidR="00B6337E" w:rsidTr="008E040F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rPr>
                <w:b/>
                <w:sz w:val="22"/>
                <w:szCs w:val="22"/>
                <w:lang w:val="en-GB"/>
              </w:rPr>
            </w:pPr>
            <w:r w:rsidRPr="00993D7F">
              <w:rPr>
                <w:sz w:val="22"/>
                <w:szCs w:val="22"/>
              </w:rPr>
              <w:t>Studiju projekta sagatavošana, prezentācija.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993D7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993D7F" w:rsidRDefault="00B6337E" w:rsidP="00B6337E">
            <w:pPr>
              <w:ind w:left="2"/>
              <w:rPr>
                <w:rFonts w:eastAsia="Calibri"/>
                <w:spacing w:val="-22"/>
                <w:sz w:val="22"/>
                <w:szCs w:val="22"/>
                <w:lang w:val="en-GB"/>
              </w:rPr>
            </w:pPr>
            <w:r w:rsidRPr="00993D7F">
              <w:rPr>
                <w:sz w:val="22"/>
                <w:szCs w:val="22"/>
              </w:rPr>
              <w:t>Patstāvīgi rakstiski sagatavots studiju projekts. Mutiska darba prezentācija. Atbildes uz jautājumiem.</w:t>
            </w:r>
          </w:p>
        </w:tc>
      </w:tr>
      <w:tr w:rsidR="00B6337E" w:rsidTr="008E040F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Speciālās literatūras studijas</w:t>
            </w:r>
            <w:r>
              <w:rPr>
                <w:sz w:val="22"/>
                <w:szCs w:val="22"/>
              </w:rPr>
              <w:t>, izvērtējums.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  <w:lang w:val="en-GB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B10845" w:rsidRDefault="00B6337E" w:rsidP="00B6337E">
            <w:pPr>
              <w:ind w:left="2"/>
              <w:rPr>
                <w:rFonts w:eastAsia="Calibri"/>
                <w:iCs/>
                <w:sz w:val="22"/>
                <w:szCs w:val="22"/>
              </w:rPr>
            </w:pPr>
            <w:r w:rsidRPr="009D1F5E">
              <w:rPr>
                <w:rFonts w:eastAsia="Calibri"/>
                <w:sz w:val="22"/>
                <w:szCs w:val="22"/>
              </w:rPr>
              <w:t>Norādītās li</w:t>
            </w:r>
            <w:r>
              <w:rPr>
                <w:rFonts w:eastAsia="Calibri"/>
                <w:sz w:val="22"/>
                <w:szCs w:val="22"/>
              </w:rPr>
              <w:t>teratūras studēšana un analīze.</w:t>
            </w:r>
            <w:r w:rsidRPr="009D1F5E">
              <w:rPr>
                <w:rFonts w:eastAsia="Calibri"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Praktiski uzdevumi zinātnisko datu bāzu lietotnē (</w:t>
            </w:r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SCOPUS, Web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of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Sciences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Thomson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10845">
              <w:rPr>
                <w:rFonts w:eastAsia="Calibri"/>
                <w:i/>
                <w:iCs/>
                <w:sz w:val="22"/>
                <w:szCs w:val="22"/>
              </w:rPr>
              <w:t>Reuters</w:t>
            </w:r>
            <w:proofErr w:type="spellEnd"/>
            <w:r w:rsidRPr="00B10845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B10845">
              <w:rPr>
                <w:rFonts w:eastAsia="Calibri"/>
                <w:iCs/>
                <w:sz w:val="22"/>
                <w:szCs w:val="22"/>
              </w:rPr>
              <w:t>u.c.).</w:t>
            </w:r>
          </w:p>
          <w:p w:rsidR="00B6337E" w:rsidRPr="00997A12" w:rsidRDefault="00B6337E" w:rsidP="00B6337E">
            <w:pPr>
              <w:ind w:left="2"/>
              <w:rPr>
                <w:rFonts w:eastAsia="Calibri"/>
                <w:iCs/>
                <w:color w:val="FF0000"/>
                <w:sz w:val="22"/>
                <w:szCs w:val="22"/>
              </w:rPr>
            </w:pPr>
            <w:r w:rsidRPr="00B10845">
              <w:rPr>
                <w:sz w:val="22"/>
                <w:szCs w:val="22"/>
              </w:rPr>
              <w:t>Patstāvīgi saga</w:t>
            </w:r>
            <w:r>
              <w:rPr>
                <w:sz w:val="22"/>
                <w:szCs w:val="22"/>
              </w:rPr>
              <w:t>tavot prezentāciju par izvēlētā skaņdarba interpretācijām.</w:t>
            </w:r>
          </w:p>
        </w:tc>
      </w:tr>
      <w:tr w:rsidR="00B6337E" w:rsidTr="00BA2E61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4F3350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Konkrēta skaņdarba vai komponista stilistikas jautājumi, skaņdarba idejas, tēla atklāsmē izmantoto interpretācijas paņēmienu apskats.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Default="00B6337E" w:rsidP="00B6337E">
            <w:pPr>
              <w:tabs>
                <w:tab w:val="num" w:pos="567"/>
              </w:tabs>
              <w:rPr>
                <w:rFonts w:eastAsia="Calibri"/>
                <w:iCs/>
                <w:sz w:val="22"/>
                <w:szCs w:val="22"/>
              </w:rPr>
            </w:pPr>
            <w:r w:rsidRPr="00E10C89">
              <w:rPr>
                <w:rFonts w:eastAsia="Calibri"/>
                <w:iCs/>
                <w:sz w:val="22"/>
                <w:szCs w:val="22"/>
              </w:rPr>
              <w:t>Praktiskais uzdevums: veikt norādītā skaņdarba dotos analītiskos uzdevumus.</w:t>
            </w:r>
          </w:p>
          <w:p w:rsidR="00B6337E" w:rsidRDefault="00B6337E" w:rsidP="00B6337E">
            <w:pPr>
              <w:tabs>
                <w:tab w:val="left" w:pos="-340"/>
                <w:tab w:val="left" w:pos="0"/>
              </w:tabs>
              <w:suppressAutoHyphens/>
              <w:autoSpaceDE w:val="0"/>
              <w:ind w:left="53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Lasīt 87-108.lpp. no </w:t>
            </w:r>
            <w:proofErr w:type="spellStart"/>
            <w:r>
              <w:rPr>
                <w:rFonts w:eastAsia="Calibri"/>
                <w:sz w:val="22"/>
                <w:szCs w:val="22"/>
              </w:rPr>
              <w:t>Kivle</w:t>
            </w:r>
            <w:proofErr w:type="spellEnd"/>
            <w:r>
              <w:rPr>
                <w:rFonts w:eastAsia="Calibri"/>
                <w:sz w:val="22"/>
                <w:szCs w:val="22"/>
              </w:rPr>
              <w:t>, I. (2008)</w:t>
            </w:r>
          </w:p>
          <w:p w:rsidR="00B6337E" w:rsidRPr="00FB0DE2" w:rsidRDefault="00B6337E" w:rsidP="00B6337E">
            <w:pPr>
              <w:ind w:left="2"/>
              <w:jc w:val="both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501E2E">
              <w:rPr>
                <w:rFonts w:eastAsia="Calibri"/>
                <w:i/>
                <w:sz w:val="22"/>
                <w:szCs w:val="22"/>
              </w:rPr>
              <w:t>Mūzikas darba ontoloģija: jautājums par būtību un interpretāciju</w:t>
            </w:r>
            <w:r>
              <w:rPr>
                <w:rFonts w:eastAsia="Calibri"/>
                <w:sz w:val="22"/>
                <w:szCs w:val="22"/>
              </w:rPr>
              <w:t>. Mūzikas akadēmijas raksti V.</w:t>
            </w:r>
          </w:p>
        </w:tc>
      </w:tr>
      <w:tr w:rsidR="00B6337E" w:rsidTr="00035AA1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B10845" w:rsidRDefault="00B6337E" w:rsidP="00B6337E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Pr="00C53651">
              <w:rPr>
                <w:rFonts w:eastAsia="Calibri"/>
                <w:sz w:val="22"/>
                <w:szCs w:val="22"/>
              </w:rPr>
              <w:t xml:space="preserve">ritēriju izstrāde </w:t>
            </w:r>
            <w:r>
              <w:rPr>
                <w:rFonts w:eastAsia="Calibri"/>
                <w:sz w:val="22"/>
                <w:szCs w:val="22"/>
              </w:rPr>
              <w:t>interpretācijas analīzē.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2A2C43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2A2C43">
              <w:rPr>
                <w:rFonts w:eastAsia="Calibri"/>
                <w:sz w:val="22"/>
                <w:szCs w:val="22"/>
              </w:rPr>
              <w:t xml:space="preserve">Apgūt literatūras avotu: </w:t>
            </w:r>
          </w:p>
          <w:p w:rsidR="00B6337E" w:rsidRPr="001325A6" w:rsidRDefault="00B6337E" w:rsidP="00B6337E">
            <w:pPr>
              <w:tabs>
                <w:tab w:val="num" w:pos="567"/>
              </w:tabs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1. nodaļu 8-34.lpp.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no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 krājuma (2009)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Mūzikas zinātne šodien: pastāvīgais un mainīgais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; 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lasīt 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1. nodaļu 7-80.lpp.</w:t>
            </w:r>
            <w:r w:rsidRPr="002A2C43"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>no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 krājuma (2008)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 xml:space="preserve">Mūzikas 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vēstures un teorijas mijiedarbe</w:t>
            </w:r>
            <w:r>
              <w:rPr>
                <w:rFonts w:eastAsia="Calibri"/>
                <w:bCs/>
                <w:iCs/>
                <w:sz w:val="22"/>
                <w:szCs w:val="22"/>
                <w:lang w:eastAsia="ar-SA"/>
              </w:rPr>
              <w:t xml:space="preserve">. Daugavpils: DU </w:t>
            </w:r>
            <w:r w:rsidRPr="004506D4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Saule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B6337E" w:rsidTr="0018335C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both"/>
              <w:rPr>
                <w:color w:val="FF0000"/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Skaņdarba interpretāciju </w:t>
            </w:r>
            <w:r>
              <w:rPr>
                <w:sz w:val="22"/>
                <w:szCs w:val="22"/>
              </w:rPr>
              <w:t xml:space="preserve">analīze un </w:t>
            </w:r>
            <w:r w:rsidRPr="00521DE5">
              <w:rPr>
                <w:sz w:val="22"/>
                <w:szCs w:val="22"/>
              </w:rPr>
              <w:t>salīdzināšana, citēto avotu analīze un pieraksts.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FB0DE2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Default="00B6337E" w:rsidP="00B6337E">
            <w:pPr>
              <w:ind w:left="2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Ostrovska, T. 131-149.lpp.(2013). Mūzika ierakstā. Daži uztveres problēmjautājumi. </w:t>
            </w:r>
            <w:r w:rsidRPr="00501E2E">
              <w:rPr>
                <w:rFonts w:eastAsia="Calibri"/>
                <w:i/>
                <w:sz w:val="22"/>
                <w:szCs w:val="22"/>
              </w:rPr>
              <w:t xml:space="preserve">Mūzikas akadēmijas raksti </w:t>
            </w:r>
            <w:r>
              <w:rPr>
                <w:rFonts w:eastAsia="Calibri"/>
                <w:i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.</w:t>
            </w:r>
          </w:p>
          <w:p w:rsidR="00B6337E" w:rsidRPr="00FB0DE2" w:rsidRDefault="00B6337E" w:rsidP="00B6337E">
            <w:pPr>
              <w:ind w:left="2"/>
              <w:rPr>
                <w:rFonts w:eastAsia="Calibri"/>
                <w:color w:val="FF0000"/>
                <w:spacing w:val="-22"/>
                <w:sz w:val="22"/>
                <w:szCs w:val="22"/>
              </w:rPr>
            </w:pPr>
            <w:r w:rsidRPr="003E09E5">
              <w:rPr>
                <w:rFonts w:eastAsia="Calibri"/>
                <w:sz w:val="22"/>
                <w:szCs w:val="22"/>
              </w:rPr>
              <w:t>Norādītās literatūras studēšana un analīze,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3E09E5">
              <w:rPr>
                <w:rFonts w:eastAsia="Calibri"/>
                <w:sz w:val="22"/>
                <w:szCs w:val="22"/>
              </w:rPr>
              <w:t xml:space="preserve">darbs ar pirmavotiem, skaņu ierakstu noklausīšanās, </w:t>
            </w:r>
            <w:r w:rsidRPr="003E09E5">
              <w:rPr>
                <w:rFonts w:eastAsia="Calibri"/>
                <w:sz w:val="22"/>
                <w:szCs w:val="22"/>
                <w:lang w:eastAsia="en-GB"/>
              </w:rPr>
              <w:t xml:space="preserve">dažādu interpretāciju </w:t>
            </w:r>
            <w:r w:rsidRPr="003E09E5">
              <w:rPr>
                <w:rFonts w:eastAsia="Calibri"/>
                <w:sz w:val="22"/>
                <w:szCs w:val="22"/>
              </w:rPr>
              <w:t>iepazīšana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B6337E" w:rsidTr="0018335C">
        <w:trPr>
          <w:trHeight w:val="1293"/>
        </w:trPr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FB0DE2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B10845" w:rsidRDefault="00B6337E" w:rsidP="00B6337E">
            <w:pPr>
              <w:rPr>
                <w:color w:val="FF0000"/>
                <w:sz w:val="22"/>
                <w:szCs w:val="22"/>
              </w:rPr>
            </w:pPr>
            <w:r w:rsidRPr="005A30EC">
              <w:rPr>
                <w:sz w:val="22"/>
                <w:szCs w:val="22"/>
              </w:rPr>
              <w:t>Studiju projekta sagatavošana</w:t>
            </w:r>
            <w:r>
              <w:rPr>
                <w:sz w:val="22"/>
                <w:szCs w:val="22"/>
              </w:rPr>
              <w:t>, prezentācija</w:t>
            </w:r>
            <w:r w:rsidRPr="005A30EC">
              <w:rPr>
                <w:sz w:val="22"/>
                <w:szCs w:val="22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5A30EC">
              <w:rPr>
                <w:rFonts w:eastAsia="Calibri"/>
                <w:sz w:val="22"/>
                <w:szCs w:val="22"/>
              </w:rPr>
              <w:t>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FB0DE2" w:rsidRDefault="00B6337E" w:rsidP="00B6337E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5A30E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37E" w:rsidRPr="001325A6" w:rsidRDefault="00B6337E" w:rsidP="00B6337E">
            <w:pPr>
              <w:ind w:left="2"/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5A30EC">
              <w:rPr>
                <w:sz w:val="22"/>
                <w:szCs w:val="22"/>
              </w:rPr>
              <w:t>Patstāvīgi rakstiski sagatavots studiju projekts. Mutiska darba prezentācija. Atbildes uz jautājumiem.</w:t>
            </w:r>
          </w:p>
        </w:tc>
      </w:tr>
      <w:tr w:rsidR="00B6337E" w:rsidTr="003068BE">
        <w:trPr>
          <w:trHeight w:val="841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Default="00B6337E" w:rsidP="00B6337E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rezultāti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7E" w:rsidRPr="009168A3" w:rsidRDefault="00B6337E" w:rsidP="00B6337E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Zināšanas</w:t>
            </w:r>
          </w:p>
          <w:p w:rsidR="00B6337E" w:rsidRPr="009168A3" w:rsidRDefault="00B6337E" w:rsidP="00B633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uppressAutoHyphens/>
              <w:autoSpaceDE w:val="0"/>
              <w:jc w:val="both"/>
              <w:rPr>
                <w:color w:val="FF0000"/>
                <w:sz w:val="22"/>
                <w:szCs w:val="22"/>
              </w:rPr>
            </w:pPr>
            <w:r w:rsidRPr="009168A3">
              <w:rPr>
                <w:rFonts w:eastAsia="TimesNewRomanPS-BoldMT"/>
                <w:bCs/>
                <w:sz w:val="22"/>
                <w:szCs w:val="22"/>
                <w:lang w:eastAsia="ar-SA"/>
              </w:rPr>
              <w:t xml:space="preserve">Studiju kursa apguves rezultātā students </w:t>
            </w:r>
            <w:r w:rsidRPr="009168A3">
              <w:rPr>
                <w:sz w:val="22"/>
                <w:szCs w:val="22"/>
              </w:rPr>
              <w:t>pārzina mūzikas periodizāciju un estētiskās nostādnes, to saikni ar vēstures norisēm kopumā; pārzina mūzikas dažādus stilus un spēj saskatīt tiem radniecīgas izpausmes arī citās mākslas jomās; pārzina dažādus mūzikas žanrus un to stilistiskās īpatnības atsevišķu komponistu daiļradē.</w:t>
            </w:r>
          </w:p>
          <w:p w:rsidR="00B6337E" w:rsidRPr="009168A3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168A3">
              <w:rPr>
                <w:rFonts w:eastAsia="Calibri"/>
                <w:b/>
                <w:bCs/>
                <w:sz w:val="22"/>
                <w:szCs w:val="22"/>
              </w:rPr>
              <w:t>Prasmes</w:t>
            </w:r>
          </w:p>
          <w:p w:rsidR="00B6337E" w:rsidRPr="009168A3" w:rsidRDefault="00B6337E" w:rsidP="00B6337E">
            <w:pPr>
              <w:suppressAutoHyphens/>
              <w:autoSpaceDE w:val="0"/>
              <w:jc w:val="both"/>
              <w:rPr>
                <w:rFonts w:eastAsia="TrebuchetMS"/>
                <w:kern w:val="2"/>
                <w:sz w:val="22"/>
                <w:szCs w:val="22"/>
                <w:lang w:eastAsia="ar-SA"/>
              </w:rPr>
            </w:pPr>
            <w:r w:rsidRPr="009168A3">
              <w:rPr>
                <w:rFonts w:eastAsia="TrebuchetMS-Bold"/>
                <w:bCs/>
                <w:kern w:val="2"/>
                <w:sz w:val="22"/>
                <w:szCs w:val="22"/>
                <w:lang w:eastAsia="ar-SA"/>
              </w:rPr>
              <w:t>Studiju kursa apguves rezultātā students prot:</w:t>
            </w:r>
          </w:p>
          <w:p w:rsidR="00B6337E" w:rsidRPr="00E577E1" w:rsidRDefault="00B6337E" w:rsidP="00B6337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E577E1">
              <w:rPr>
                <w:sz w:val="22"/>
                <w:szCs w:val="22"/>
              </w:rPr>
              <w:t xml:space="preserve">raksturot atsevišķu komponistu māksliniecisko jaunradi kultūrvēstures kontekstā; noteikt skaņdarba piederību konkrētam mūzikas stilam un žanram; raksturot skaņdarba tēlainību, dramaturģiju, </w:t>
            </w:r>
            <w:proofErr w:type="spellStart"/>
            <w:r w:rsidRPr="00E577E1">
              <w:rPr>
                <w:sz w:val="22"/>
                <w:szCs w:val="22"/>
              </w:rPr>
              <w:t>formveidi</w:t>
            </w:r>
            <w:proofErr w:type="spellEnd"/>
            <w:r w:rsidRPr="00E577E1">
              <w:rPr>
                <w:sz w:val="22"/>
                <w:szCs w:val="22"/>
              </w:rPr>
              <w:t>, harmonisko valodu u. c. būtiskus aspektus</w:t>
            </w:r>
            <w:r>
              <w:rPr>
                <w:sz w:val="22"/>
                <w:szCs w:val="22"/>
              </w:rPr>
              <w:t>;</w:t>
            </w:r>
            <w:r w:rsidRPr="00E577E1">
              <w:rPr>
                <w:sz w:val="22"/>
                <w:szCs w:val="22"/>
              </w:rPr>
              <w:t xml:space="preserve"> salīdzināt skaņdarba interpretācijas; atrast skaņdarbā atskaņojuma tehniskās grūtības, to pārvarēšanas paņēmienus; profesionāli lietot mūzikas </w:t>
            </w:r>
            <w:r w:rsidRPr="00E577E1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terminoloģiju.</w:t>
            </w:r>
          </w:p>
          <w:p w:rsidR="00B6337E" w:rsidRPr="00E577E1" w:rsidRDefault="00B6337E" w:rsidP="00B6337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</w:rPr>
            </w:pPr>
            <w:r w:rsidRPr="00E577E1">
              <w:rPr>
                <w:rFonts w:eastAsia="Calibri"/>
                <w:b/>
                <w:bCs/>
                <w:sz w:val="22"/>
                <w:szCs w:val="22"/>
              </w:rPr>
              <w:t>Kompetence</w:t>
            </w:r>
            <w:r>
              <w:rPr>
                <w:rFonts w:eastAsia="Calibri"/>
                <w:b/>
                <w:bCs/>
                <w:sz w:val="22"/>
                <w:szCs w:val="22"/>
              </w:rPr>
              <w:t>s</w:t>
            </w:r>
          </w:p>
          <w:p w:rsidR="00B6337E" w:rsidRPr="003F01F0" w:rsidRDefault="00B6337E" w:rsidP="00B6337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demonstrē izpratni par mūzikas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vēstures stilistisko </w:t>
            </w:r>
            <w:r w:rsidRPr="003F01F0">
              <w:rPr>
                <w:rFonts w:ascii="Times New Roman" w:hAnsi="Times New Roman" w:cs="Times New Roman"/>
                <w:sz w:val="22"/>
                <w:szCs w:val="22"/>
              </w:rPr>
              <w:t xml:space="preserve">evolūciju, komponistiem un to skaņdarbiem; </w:t>
            </w:r>
          </w:p>
          <w:p w:rsidR="00B6337E" w:rsidRPr="003F01F0" w:rsidRDefault="00B6337E" w:rsidP="00B6337E">
            <w:pPr>
              <w:numPr>
                <w:ilvl w:val="0"/>
                <w:numId w:val="3"/>
              </w:numPr>
              <w:rPr>
                <w:rFonts w:eastAsia="Calibri"/>
                <w:b/>
                <w:bCs/>
                <w:color w:val="FF0000"/>
                <w:sz w:val="22"/>
                <w:szCs w:val="22"/>
              </w:rPr>
            </w:pPr>
            <w:r w:rsidRPr="003F01F0">
              <w:rPr>
                <w:sz w:val="22"/>
                <w:szCs w:val="22"/>
              </w:rPr>
              <w:t xml:space="preserve">prot noteikt un analizēt kompozīcijas likumsakarības dotajā skaņdarbā; prot ilgtspējīgi saistīt vēsturiskās un sistemātiskās muzikoloģijas mācību ar specialitāti; prot iegūtās zināšanas izmantot profesionālā mākslinieciskās jaunrades darbībā; </w:t>
            </w:r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zinātniskās pētniecības </w:t>
            </w:r>
            <w:proofErr w:type="spellStart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pašvadībā</w:t>
            </w:r>
            <w:proofErr w:type="spellEnd"/>
            <w:r w:rsidRPr="003F01F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.</w:t>
            </w:r>
          </w:p>
        </w:tc>
      </w:tr>
      <w:tr w:rsidR="00B6337E" w:rsidTr="003068BE">
        <w:trPr>
          <w:trHeight w:val="85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997A12" w:rsidRDefault="00B6337E" w:rsidP="00B6337E">
            <w:pPr>
              <w:rPr>
                <w:rFonts w:eastAsia="Calibri"/>
                <w:b/>
                <w:bCs/>
                <w:iCs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Studējošo patstāvīgo darbu organizācijas un uzdevumu raksturojums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997A12" w:rsidRDefault="00B6337E" w:rsidP="00B6337E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</w:rPr>
            </w:pPr>
            <w:r w:rsidRPr="00F6106D">
              <w:rPr>
                <w:rFonts w:eastAsia="Calibri"/>
                <w:bCs/>
                <w:sz w:val="22"/>
                <w:szCs w:val="22"/>
              </w:rPr>
              <w:t xml:space="preserve">Patstāvīgajā darbā students nostiprina individuālajās konsultācijās iegūto informāciju par </w:t>
            </w:r>
            <w:r w:rsidRPr="00F6106D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zinātniskā darba pētniecības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saturu, </w:t>
            </w:r>
            <w:r>
              <w:rPr>
                <w:rFonts w:eastAsia="Calibri"/>
                <w:bCs/>
                <w:sz w:val="22"/>
                <w:szCs w:val="22"/>
              </w:rPr>
              <w:t xml:space="preserve">klausās dažādas interpretācijas, </w:t>
            </w:r>
            <w:r w:rsidRPr="00F6106D">
              <w:rPr>
                <w:rFonts w:eastAsia="Calibri"/>
                <w:bCs/>
                <w:sz w:val="22"/>
                <w:szCs w:val="22"/>
              </w:rPr>
              <w:t xml:space="preserve">lasa, analizē, izvērtē un vispārina </w:t>
            </w:r>
            <w:r w:rsidRPr="00F6106D">
              <w:rPr>
                <w:rFonts w:eastAsia="Calibri"/>
                <w:sz w:val="22"/>
                <w:szCs w:val="22"/>
              </w:rPr>
              <w:t>dažādu zinātnisko avotu informāciju.</w:t>
            </w:r>
          </w:p>
        </w:tc>
      </w:tr>
      <w:tr w:rsidR="00B6337E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Default="00B6337E" w:rsidP="00B6337E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Prasības kredītpunktu iegūšanai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7E" w:rsidRPr="00C53651" w:rsidRDefault="00B6337E" w:rsidP="00B6337E">
            <w:pPr>
              <w:jc w:val="both"/>
              <w:rPr>
                <w:rFonts w:eastAsia="Calibri"/>
                <w:sz w:val="22"/>
                <w:szCs w:val="22"/>
              </w:rPr>
            </w:pPr>
            <w:r w:rsidRPr="00C53651">
              <w:rPr>
                <w:rFonts w:eastAsia="Calibri"/>
                <w:sz w:val="22"/>
                <w:szCs w:val="22"/>
              </w:rPr>
              <w:t>Studiju kursa apguves pārbaudes formas: diferencēta ieskaite. Izmantojamās studiju formas: individuālās konsultācijas, (zinātniskās literatūras avotu apguves pārbaude, radošie patstāvīgie uzdevumi: kritēriju izstrāde un piemērošana, skaņdarbu muzikāli-teorētiskā analīze un interpretāciju klausīšanās, analīze un salīdzinājums), ieskaite</w:t>
            </w:r>
            <w:r w:rsidR="004D51BA">
              <w:rPr>
                <w:rFonts w:eastAsia="Calibri"/>
                <w:sz w:val="22"/>
                <w:szCs w:val="22"/>
              </w:rPr>
              <w:t xml:space="preserve"> ar atzīmi</w:t>
            </w:r>
            <w:r w:rsidRPr="00C53651">
              <w:rPr>
                <w:rFonts w:eastAsia="Calibri"/>
                <w:sz w:val="22"/>
                <w:szCs w:val="22"/>
              </w:rPr>
              <w:t>. Kursu apgūst latviešu valodā.</w:t>
            </w:r>
          </w:p>
          <w:p w:rsidR="00B6337E" w:rsidRPr="00C53651" w:rsidRDefault="00B6337E" w:rsidP="00B6337E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  <w:p w:rsidR="00B6337E" w:rsidRPr="00C53651" w:rsidRDefault="00B6337E" w:rsidP="00B6337E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53651">
              <w:rPr>
                <w:rFonts w:eastAsia="Calibri"/>
                <w:b/>
                <w:sz w:val="22"/>
                <w:szCs w:val="22"/>
              </w:rPr>
              <w:t xml:space="preserve">Pārbaudījuma prasības: </w:t>
            </w:r>
          </w:p>
          <w:p w:rsidR="00B6337E" w:rsidRPr="00C53651" w:rsidRDefault="00B6337E" w:rsidP="00B6337E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Regulārs un aktīvs darbs individuālās konsultācijās, demonstrējot zināšanas par studiju projekta </w:t>
            </w:r>
            <w:r w:rsidRPr="00C53651">
              <w:rPr>
                <w:rFonts w:ascii="Times New Roman" w:hAnsi="Times New Roman" w:cs="Times New Roman"/>
                <w:sz w:val="22"/>
                <w:szCs w:val="22"/>
              </w:rPr>
              <w:t>sastāvdaļām un to specifiku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, pētīšanas metodēm un veidiem, pētāmās tēmas aktualitātes izpratni;</w:t>
            </w:r>
          </w:p>
          <w:p w:rsidR="00B6337E" w:rsidRPr="00C53651" w:rsidRDefault="00B6337E" w:rsidP="00B6337E">
            <w:pPr>
              <w:pStyle w:val="ListParagraph"/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Kvalitatīvi izpildīti kursa programmā norādītie patstāvīgie darbi: (norādītās zinātniskās literatūras analīze un izvērtējums, pētījuma metožu pareiza izvēle, 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  <w:lang w:eastAsia="en-GB"/>
              </w:rPr>
              <w:t>pētāmā mūzikas skaņdarba profesionāla muzikāli-teorētiskā analīze un kvalitatīvs interpretāciju salīdzinājums</w:t>
            </w:r>
            <w:r w:rsidRPr="00C53651">
              <w:rPr>
                <w:rFonts w:ascii="Times New Roman" w:eastAsia="Calibri" w:hAnsi="Times New Roman" w:cs="Times New Roman"/>
                <w:sz w:val="22"/>
                <w:szCs w:val="22"/>
              </w:rPr>
              <w:t>).</w:t>
            </w:r>
          </w:p>
          <w:p w:rsidR="00B6337E" w:rsidRPr="00C53651" w:rsidRDefault="00B6337E" w:rsidP="00B6337E">
            <w:pPr>
              <w:suppressAutoHyphens/>
              <w:jc w:val="both"/>
              <w:rPr>
                <w:rFonts w:eastAsia="Calibri"/>
                <w:b/>
                <w:color w:val="FF0000"/>
                <w:sz w:val="22"/>
                <w:szCs w:val="22"/>
              </w:rPr>
            </w:pPr>
          </w:p>
          <w:p w:rsidR="00B6337E" w:rsidRPr="0089011D" w:rsidRDefault="00B6337E" w:rsidP="00B6337E">
            <w:pPr>
              <w:suppressAutoHyphens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89011D">
              <w:rPr>
                <w:rFonts w:eastAsia="Calibri"/>
                <w:b/>
                <w:sz w:val="22"/>
                <w:szCs w:val="22"/>
              </w:rPr>
              <w:t xml:space="preserve">Vērtēšanas metode: </w:t>
            </w:r>
            <w:proofErr w:type="spellStart"/>
            <w:r w:rsidRPr="0089011D">
              <w:rPr>
                <w:rFonts w:eastAsia="Calibri"/>
                <w:sz w:val="22"/>
                <w:szCs w:val="22"/>
              </w:rPr>
              <w:t>summatīvā</w:t>
            </w:r>
            <w:proofErr w:type="spellEnd"/>
            <w:r w:rsidRPr="0089011D">
              <w:rPr>
                <w:rFonts w:eastAsia="Calibri"/>
                <w:sz w:val="22"/>
                <w:szCs w:val="22"/>
              </w:rPr>
              <w:t xml:space="preserve"> (ar atzīmi)</w:t>
            </w:r>
          </w:p>
          <w:p w:rsidR="00B6337E" w:rsidRPr="0074343F" w:rsidRDefault="00B6337E" w:rsidP="00B6337E">
            <w:pPr>
              <w:suppressAutoHyphens/>
              <w:ind w:right="176"/>
              <w:jc w:val="both"/>
              <w:rPr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 xml:space="preserve">Vērtēšanas forma: </w:t>
            </w:r>
            <w:proofErr w:type="gramStart"/>
            <w:r w:rsidRPr="0074343F">
              <w:rPr>
                <w:sz w:val="22"/>
                <w:szCs w:val="22"/>
              </w:rPr>
              <w:t xml:space="preserve">rakstiska, </w:t>
            </w:r>
            <w:r w:rsidRPr="0074343F">
              <w:rPr>
                <w:rFonts w:eastAsia="Calibri"/>
                <w:sz w:val="22"/>
                <w:szCs w:val="22"/>
              </w:rPr>
              <w:t>iesniegts</w:t>
            </w:r>
            <w:proofErr w:type="gramEnd"/>
            <w:r w:rsidRPr="0074343F">
              <w:rPr>
                <w:rFonts w:eastAsia="Calibri"/>
                <w:sz w:val="22"/>
                <w:szCs w:val="22"/>
              </w:rPr>
              <w:t xml:space="preserve"> pabeigts studiju projekts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atbilstošs </w:t>
            </w:r>
            <w:r w:rsidRPr="0074343F">
              <w:rPr>
                <w:sz w:val="22"/>
                <w:szCs w:val="22"/>
              </w:rPr>
              <w:t xml:space="preserve">darba izstrādes noteikumiem, </w:t>
            </w:r>
            <w:r w:rsidRPr="0074343F">
              <w:rPr>
                <w:rFonts w:eastAsia="Calibri"/>
                <w:sz w:val="22"/>
                <w:szCs w:val="22"/>
              </w:rPr>
              <w:t xml:space="preserve">mūzikas </w:t>
            </w:r>
            <w:r w:rsidRPr="0074343F">
              <w:rPr>
                <w:sz w:val="22"/>
                <w:szCs w:val="22"/>
              </w:rPr>
              <w:t>zinātnisk</w:t>
            </w:r>
            <w:r>
              <w:rPr>
                <w:sz w:val="22"/>
                <w:szCs w:val="22"/>
              </w:rPr>
              <w:t>ā</w:t>
            </w:r>
            <w:r w:rsidRPr="0074343F">
              <w:rPr>
                <w:sz w:val="22"/>
                <w:szCs w:val="22"/>
              </w:rPr>
              <w:t xml:space="preserve"> darba specifik</w:t>
            </w:r>
            <w:r>
              <w:rPr>
                <w:sz w:val="22"/>
                <w:szCs w:val="22"/>
              </w:rPr>
              <w:t>ai</w:t>
            </w:r>
            <w:r w:rsidRPr="0074343F">
              <w:rPr>
                <w:rFonts w:eastAsia="Calibri"/>
                <w:sz w:val="22"/>
                <w:szCs w:val="22"/>
              </w:rPr>
              <w:t>, pētīšanas metodēm un veidiem</w:t>
            </w:r>
            <w:r w:rsidRPr="0074343F">
              <w:rPr>
                <w:rFonts w:eastAsia="TimesNewRomanPSMT"/>
                <w:sz w:val="22"/>
                <w:szCs w:val="22"/>
                <w:lang w:eastAsia="ar-SA"/>
              </w:rPr>
              <w:t>.</w:t>
            </w:r>
          </w:p>
          <w:p w:rsidR="00B6337E" w:rsidRPr="0074343F" w:rsidRDefault="00B6337E" w:rsidP="00B6337E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74343F">
              <w:rPr>
                <w:rFonts w:eastAsia="Calibri"/>
                <w:b/>
                <w:sz w:val="22"/>
                <w:szCs w:val="22"/>
              </w:rPr>
              <w:t>Vērtēšanas kritēriji:</w:t>
            </w:r>
          </w:p>
          <w:p w:rsidR="00B6337E" w:rsidRPr="00043AEC" w:rsidRDefault="00B6337E" w:rsidP="00B6337E">
            <w:pPr>
              <w:pStyle w:val="ListParagraph"/>
              <w:suppressAutoHyphens/>
              <w:ind w:left="0" w:right="176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  <w:lang w:eastAsia="ar-SA"/>
              </w:rPr>
            </w:pPr>
            <w:r w:rsidRPr="00043AEC">
              <w:rPr>
                <w:rFonts w:ascii="Times New Roman" w:hAnsi="Times New Roman" w:cs="Times New Roman"/>
                <w:sz w:val="22"/>
                <w:szCs w:val="22"/>
              </w:rPr>
              <w:t>Vērtējuma galvenie kritēriji ir izklāstītā materiāla kvalitāte, zinātniskās literatūras pārzināšana, būtiskākās informācijas iekļāvums, prasme saistīt mūzikas vēstures un teorijas zināšanas ar konkrēta laikmeta kultūrvēstures norisēm, noformējuma prasību ievērošana.</w:t>
            </w:r>
          </w:p>
          <w:p w:rsidR="00B6337E" w:rsidRPr="003E34E7" w:rsidRDefault="00B6337E" w:rsidP="00B6337E">
            <w:pPr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Studenta kompetenci </w:t>
            </w:r>
            <w:r w:rsidRPr="003E34E7">
              <w:rPr>
                <w:rFonts w:eastAsia="Calibri"/>
                <w:bCs/>
                <w:sz w:val="22"/>
                <w:szCs w:val="22"/>
              </w:rPr>
              <w:t xml:space="preserve">ieskaitē </w:t>
            </w:r>
            <w:r w:rsidRPr="003E34E7">
              <w:rPr>
                <w:rFonts w:eastAsia="Calibri"/>
                <w:sz w:val="22"/>
                <w:szCs w:val="22"/>
              </w:rPr>
              <w:t xml:space="preserve">vērtē 10 ballu skalā. </w:t>
            </w:r>
            <w:bookmarkStart w:id="3" w:name="p47"/>
            <w:bookmarkStart w:id="4" w:name="p-525771"/>
            <w:bookmarkEnd w:id="3"/>
            <w:bookmarkEnd w:id="4"/>
            <w:r w:rsidRPr="003E34E7">
              <w:rPr>
                <w:rFonts w:eastAsia="Calibri"/>
                <w:sz w:val="22"/>
                <w:szCs w:val="22"/>
                <w:lang w:eastAsia="lv-LV"/>
              </w:rPr>
              <w:t>Studiju rezultātu vērtējumi 10 ballu skalā ir šādi:</w:t>
            </w:r>
          </w:p>
          <w:p w:rsidR="00B6337E" w:rsidRPr="003E34E7" w:rsidRDefault="00B6337E" w:rsidP="00B6337E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B6337E" w:rsidRPr="003E34E7" w:rsidRDefault="00B6337E" w:rsidP="00B6337E">
            <w:pPr>
              <w:ind w:right="-58"/>
              <w:jc w:val="both"/>
              <w:rPr>
                <w:rFonts w:eastAsia="Calibri"/>
                <w:bCs/>
                <w:sz w:val="22"/>
                <w:szCs w:val="22"/>
                <w:lang w:eastAsia="lv-LV"/>
              </w:rPr>
            </w:pPr>
            <w:r w:rsidRPr="003E34E7">
              <w:rPr>
                <w:rFonts w:eastAsia="Calibri"/>
                <w:sz w:val="22"/>
                <w:szCs w:val="22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labi (8)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ilnā mērā apgūtas studiju kursa prasības, iegūta prasme patstāvīgi realizēt apgūto.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Labi (7)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iegūtas zināšanas un prasmes, taču ne vienmēr spēj patstāvīgi realizēt apgūto.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labi (6)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studiju kursa prasības, taču atsevišķās zināšanu un praktiskā darba jomās sniegums ir nepietiekoši stabils un pārliecinošs.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Viduvēji (5)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Gandrīz viduvēji (4)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p</w:t>
            </w:r>
            <w:r w:rsidRPr="003E34E7">
              <w:rPr>
                <w:rFonts w:eastAsia="Calibri"/>
                <w:sz w:val="22"/>
                <w:szCs w:val="22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Vāji (3)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z</w:t>
            </w:r>
            <w:r w:rsidRPr="003E34E7">
              <w:rPr>
                <w:rFonts w:eastAsia="Calibri"/>
                <w:sz w:val="22"/>
                <w:szCs w:val="22"/>
              </w:rPr>
              <w:t>ināšanas, prasmes un iemaņas dotajā studiju kursā apgūtas virspusēji, nav spēju tās praktiski pielietot.</w:t>
            </w:r>
          </w:p>
          <w:p w:rsidR="00B6337E" w:rsidRPr="003E34E7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 vāji (2)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a</w:t>
            </w:r>
            <w:r w:rsidRPr="003E34E7">
              <w:rPr>
                <w:rFonts w:eastAsia="Calibri"/>
                <w:sz w:val="22"/>
                <w:szCs w:val="22"/>
              </w:rPr>
              <w:t>pgūtas tikai atsevišķas zināšanas un prasmes, taču kopumā trūkst orientācijas un izpratnes studiju kursa prasībās.</w:t>
            </w:r>
          </w:p>
          <w:p w:rsidR="00B6337E" w:rsidRPr="00C53651" w:rsidRDefault="00B6337E" w:rsidP="00B6337E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3E34E7">
              <w:rPr>
                <w:rFonts w:eastAsia="Calibri"/>
                <w:sz w:val="22"/>
                <w:szCs w:val="22"/>
              </w:rPr>
              <w:t xml:space="preserve">Ļoti, ļoti vāji (1) </w:t>
            </w:r>
            <w:r w:rsidRPr="003E34E7">
              <w:rPr>
                <w:rFonts w:eastAsia="Calibri"/>
                <w:sz w:val="22"/>
                <w:szCs w:val="22"/>
                <w:lang w:eastAsia="lv-LV"/>
              </w:rPr>
              <w:t>– n</w:t>
            </w:r>
            <w:r w:rsidRPr="003E34E7">
              <w:rPr>
                <w:rFonts w:eastAsia="Calibri"/>
                <w:sz w:val="22"/>
                <w:szCs w:val="22"/>
              </w:rPr>
              <w:t>av priekšstata par studiju kursa būtību.</w:t>
            </w:r>
          </w:p>
        </w:tc>
      </w:tr>
      <w:tr w:rsidR="00B6337E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7E" w:rsidRDefault="00B6337E" w:rsidP="00B6337E">
            <w:pPr>
              <w:rPr>
                <w:rFonts w:eastAsia="Calibri"/>
                <w:color w:val="414142"/>
                <w:sz w:val="22"/>
                <w:szCs w:val="22"/>
                <w:shd w:val="clear" w:color="auto" w:fill="F1F1F1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Kursa saturs</w:t>
            </w:r>
            <w:r>
              <w:rPr>
                <w:rFonts w:eastAsia="Calibri"/>
                <w:color w:val="414142"/>
                <w:sz w:val="22"/>
                <w:szCs w:val="22"/>
                <w:shd w:val="clear" w:color="auto" w:fill="F1F1F1"/>
              </w:rPr>
              <w:t xml:space="preserve"> </w:t>
            </w:r>
          </w:p>
          <w:p w:rsidR="00B6337E" w:rsidRDefault="00B6337E" w:rsidP="00B6337E">
            <w:pPr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521DE5" w:rsidRDefault="00B6337E" w:rsidP="00B6337E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Studiju projekta izstrādes ieteikumi.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Zinātniskā pētījuma aktualitātes, problēmas izvēles pamatojums. 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Zinātniskā pētījuma objekts, priekšmets, pētījuma mērķis, uzdevumi, pētījuma metodes.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Darba novitāte un aprobācija.</w:t>
            </w:r>
          </w:p>
          <w:p w:rsidR="00B6337E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Speciālās literatūras studijas, izvērtējums, jaunākās pētniecības un radošās metodes mūzikā. </w:t>
            </w:r>
          </w:p>
          <w:p w:rsidR="00B6337E" w:rsidRPr="00521DE5" w:rsidRDefault="00B6337E" w:rsidP="00B6337E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Terminoloģija. 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Mūzikas stils, estētika, filozofija, žanri, tematika laikmeta kultūrvēstures kontekstā.</w:t>
            </w:r>
          </w:p>
          <w:p w:rsidR="00B6337E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Specialitātes instrumenta (klavieres, akordeons, vijole u.c.) uzbūve un tā vēsturisko evolūcija 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Konkrēta skaņdarba vai komponista stilistikas jautājumi, skaņdarba idejas, tēla atklāsmē izmantoto interpretācijas paņēmienu apskats.</w:t>
            </w:r>
          </w:p>
          <w:p w:rsidR="00B6337E" w:rsidRPr="00521DE5" w:rsidRDefault="00B6337E" w:rsidP="00B6337E">
            <w:pPr>
              <w:pStyle w:val="BodyText"/>
              <w:spacing w:line="240" w:lineRule="auto"/>
              <w:ind w:left="34" w:firstLine="35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>Specialitātē apgūstamā skaņdarba muzikāli teorētiskā analīze, metodisko paņēmienu apskats.</w:t>
            </w:r>
          </w:p>
          <w:p w:rsidR="00B6337E" w:rsidRPr="003B0EAD" w:rsidRDefault="00B6337E" w:rsidP="00B6337E">
            <w:pPr>
              <w:ind w:left="34"/>
              <w:jc w:val="both"/>
              <w:rPr>
                <w:sz w:val="22"/>
                <w:szCs w:val="22"/>
              </w:rPr>
            </w:pPr>
            <w:r w:rsidRPr="00521DE5">
              <w:rPr>
                <w:sz w:val="22"/>
                <w:szCs w:val="22"/>
              </w:rPr>
              <w:t xml:space="preserve">Skaņdarba interpretāciju </w:t>
            </w:r>
            <w:r>
              <w:rPr>
                <w:sz w:val="22"/>
                <w:szCs w:val="22"/>
              </w:rPr>
              <w:t xml:space="preserve">analīze un </w:t>
            </w:r>
            <w:r w:rsidRPr="00521DE5">
              <w:rPr>
                <w:sz w:val="22"/>
                <w:szCs w:val="22"/>
              </w:rPr>
              <w:t>salīdzināšana, citēto avotu analīze un pieraksts.</w:t>
            </w:r>
          </w:p>
        </w:tc>
      </w:tr>
      <w:tr w:rsidR="00B6337E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231DC2" w:rsidRDefault="00B6337E" w:rsidP="00B6337E">
            <w:pPr>
              <w:rPr>
                <w:rFonts w:eastAsia="Calibri"/>
                <w:b/>
                <w:bCs/>
                <w:strike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Obligāti izmantojamie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7E" w:rsidRPr="00231DC2" w:rsidRDefault="00704CD2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sdt>
              <w:sdtPr>
                <w:rPr>
                  <w:bCs/>
                  <w:iCs/>
                  <w:sz w:val="22"/>
                  <w:szCs w:val="22"/>
                </w:rPr>
                <w:id w:val="-668713926"/>
                <w:placeholder>
                  <w:docPart w:val="279587490817421B9C1D554B771B21C3"/>
                </w:placeholder>
              </w:sdtPr>
              <w:sdtEndPr>
                <w:rPr>
                  <w:sz w:val="20"/>
                  <w:szCs w:val="24"/>
                </w:rPr>
              </w:sdtEndPr>
              <w:sdtContent>
                <w:r w:rsidR="00B6337E" w:rsidRPr="00231DC2">
                  <w:rPr>
                    <w:sz w:val="22"/>
                    <w:szCs w:val="22"/>
                  </w:rPr>
                  <w:t>Attiecīgā muzikoloģijas literatūra</w:t>
                </w:r>
              </w:sdtContent>
            </w:sdt>
            <w:r w:rsidR="00B6337E" w:rsidRPr="00231DC2">
              <w:rPr>
                <w:rFonts w:eastAsia="Calibri"/>
                <w:sz w:val="22"/>
                <w:szCs w:val="22"/>
              </w:rPr>
              <w:t>.</w:t>
            </w: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lastRenderedPageBreak/>
              <w:t xml:space="preserve">Torgāns, J. (2004). </w:t>
            </w:r>
            <w:r w:rsidRPr="00231DC2">
              <w:rPr>
                <w:rFonts w:eastAsia="Calibri"/>
                <w:i/>
                <w:sz w:val="22"/>
                <w:szCs w:val="22"/>
              </w:rPr>
              <w:t>Personvārdu saraksts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Torgāns, J. (2003). </w:t>
            </w:r>
            <w:r w:rsidRPr="00231DC2">
              <w:rPr>
                <w:rFonts w:eastAsia="Calibri"/>
                <w:i/>
                <w:sz w:val="22"/>
                <w:szCs w:val="22"/>
              </w:rPr>
              <w:t>Palīgs rakstu darbā</w:t>
            </w:r>
            <w:r w:rsidRPr="00231DC2">
              <w:rPr>
                <w:rFonts w:eastAsia="Calibri"/>
                <w:sz w:val="22"/>
                <w:szCs w:val="22"/>
              </w:rPr>
              <w:t>. Rīga: JVLMA</w:t>
            </w: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Latviešu mūzika</w:t>
            </w:r>
            <w:r w:rsidRPr="00231DC2">
              <w:rPr>
                <w:sz w:val="22"/>
                <w:szCs w:val="22"/>
              </w:rPr>
              <w:t xml:space="preserve"> (1.–19. sējums; 1958–90)</w:t>
            </w: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Latvju mūzika</w:t>
            </w:r>
            <w:r w:rsidRPr="00231DC2">
              <w:rPr>
                <w:sz w:val="22"/>
                <w:szCs w:val="22"/>
              </w:rPr>
              <w:t xml:space="preserve"> (</w:t>
            </w:r>
            <w:proofErr w:type="spellStart"/>
            <w:r w:rsidRPr="00231DC2">
              <w:rPr>
                <w:sz w:val="22"/>
                <w:szCs w:val="22"/>
              </w:rPr>
              <w:t>Kalamazū</w:t>
            </w:r>
            <w:proofErr w:type="spellEnd"/>
            <w:r w:rsidRPr="00231DC2">
              <w:rPr>
                <w:sz w:val="22"/>
                <w:szCs w:val="22"/>
              </w:rPr>
              <w:t xml:space="preserve">, 1.–30. sējums; 1968–2005) </w:t>
            </w:r>
            <w:r w:rsidRPr="00231DC2">
              <w:rPr>
                <w:i/>
                <w:sz w:val="22"/>
                <w:szCs w:val="22"/>
              </w:rPr>
              <w:t>Mūzikas akadēmijas raksti</w:t>
            </w:r>
            <w:r w:rsidRPr="00231DC2">
              <w:rPr>
                <w:sz w:val="22"/>
                <w:szCs w:val="22"/>
              </w:rPr>
              <w:t xml:space="preserve"> (kopš 2004)</w:t>
            </w:r>
          </w:p>
          <w:p w:rsidR="00B6337E" w:rsidRPr="00231DC2" w:rsidRDefault="00B6337E" w:rsidP="00B6337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Mūzikas Saule</w:t>
            </w:r>
            <w:r w:rsidRPr="00231DC2">
              <w:rPr>
                <w:sz w:val="22"/>
                <w:szCs w:val="22"/>
              </w:rPr>
              <w:t xml:space="preserve"> (kopš 2000).</w:t>
            </w:r>
          </w:p>
          <w:p w:rsidR="00B6337E" w:rsidRPr="00231DC2" w:rsidRDefault="00B6337E" w:rsidP="00B6337E">
            <w:pPr>
              <w:rPr>
                <w:sz w:val="22"/>
                <w:szCs w:val="22"/>
                <w:lang w:val="de-DE" w:eastAsia="ru-RU"/>
              </w:rPr>
            </w:pPr>
            <w:r w:rsidRPr="00231DC2">
              <w:rPr>
                <w:sz w:val="22"/>
                <w:szCs w:val="22"/>
                <w:lang w:val="de-DE" w:eastAsia="ru-RU"/>
              </w:rPr>
              <w:t xml:space="preserve">Dambis, P. (2003). </w:t>
            </w:r>
            <w:r w:rsidRPr="00231DC2">
              <w:rPr>
                <w:i/>
                <w:sz w:val="22"/>
                <w:szCs w:val="22"/>
                <w:lang w:val="de-DE" w:eastAsia="ru-RU"/>
              </w:rPr>
              <w:t>20.gadsimta mūzikas vēsture. Ceļi un krustceļi</w:t>
            </w:r>
            <w:r w:rsidRPr="00231DC2">
              <w:rPr>
                <w:sz w:val="22"/>
                <w:szCs w:val="22"/>
                <w:lang w:val="de-DE" w:eastAsia="ru-RU"/>
              </w:rPr>
              <w:t>. Rīga: Zvaigzne ABC</w:t>
            </w:r>
          </w:p>
          <w:p w:rsidR="00B6337E" w:rsidRPr="00231DC2" w:rsidRDefault="00B6337E" w:rsidP="00B6337E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r w:rsidRPr="00231DC2">
              <w:rPr>
                <w:sz w:val="22"/>
                <w:szCs w:val="22"/>
              </w:rPr>
              <w:t xml:space="preserve">Hamilton, K. (2008). </w:t>
            </w:r>
            <w:proofErr w:type="spellStart"/>
            <w:r w:rsidRPr="00231DC2">
              <w:rPr>
                <w:i/>
                <w:sz w:val="22"/>
                <w:szCs w:val="22"/>
              </w:rPr>
              <w:t>After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golden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age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i/>
                <w:sz w:val="22"/>
                <w:szCs w:val="22"/>
              </w:rPr>
              <w:t>romantic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pianism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performance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</w:p>
          <w:p w:rsidR="00B6337E" w:rsidRPr="00231DC2" w:rsidRDefault="00B6337E" w:rsidP="00B6337E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bCs/>
                <w:sz w:val="22"/>
                <w:szCs w:val="22"/>
              </w:rPr>
              <w:t>Hodge</w:t>
            </w:r>
            <w:proofErr w:type="spellEnd"/>
            <w:r w:rsidRPr="00231DC2">
              <w:rPr>
                <w:bCs/>
                <w:sz w:val="22"/>
                <w:szCs w:val="22"/>
              </w:rPr>
              <w:t>, S. (2017).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Modern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art </w:t>
            </w:r>
            <w:proofErr w:type="spellStart"/>
            <w:r w:rsidRPr="00231DC2">
              <w:rPr>
                <w:i/>
                <w:sz w:val="22"/>
                <w:szCs w:val="22"/>
              </w:rPr>
              <w:t>in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detail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75 </w:t>
            </w:r>
            <w:proofErr w:type="spellStart"/>
            <w:r w:rsidRPr="00231DC2">
              <w:rPr>
                <w:i/>
                <w:sz w:val="22"/>
                <w:szCs w:val="22"/>
              </w:rPr>
              <w:t>masterpieces</w:t>
            </w:r>
            <w:proofErr w:type="spellEnd"/>
            <w:r w:rsidRPr="00231DC2">
              <w:rPr>
                <w:i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, NY: </w:t>
            </w:r>
            <w:proofErr w:type="spellStart"/>
            <w:r w:rsidRPr="00231DC2">
              <w:rPr>
                <w:sz w:val="22"/>
                <w:szCs w:val="22"/>
              </w:rPr>
              <w:t>Thames</w:t>
            </w:r>
            <w:proofErr w:type="spellEnd"/>
            <w:r w:rsidRPr="00231DC2">
              <w:rPr>
                <w:sz w:val="22"/>
                <w:szCs w:val="22"/>
              </w:rPr>
              <w:t xml:space="preserve"> &amp; </w:t>
            </w:r>
            <w:proofErr w:type="spellStart"/>
            <w:r w:rsidRPr="00231DC2">
              <w:rPr>
                <w:sz w:val="22"/>
                <w:szCs w:val="22"/>
              </w:rPr>
              <w:t>Hudson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</w:p>
          <w:p w:rsidR="00B6337E" w:rsidRPr="00231DC2" w:rsidRDefault="00B6337E" w:rsidP="00B6337E">
            <w:pPr>
              <w:rPr>
                <w:i/>
                <w:sz w:val="22"/>
                <w:szCs w:val="22"/>
              </w:rPr>
            </w:pPr>
            <w:r w:rsidRPr="00231DC2">
              <w:rPr>
                <w:sz w:val="22"/>
                <w:szCs w:val="22"/>
              </w:rPr>
              <w:t xml:space="preserve">Gordon, S. (2017). </w:t>
            </w:r>
            <w:proofErr w:type="spellStart"/>
            <w:r w:rsidRPr="00231DC2">
              <w:rPr>
                <w:i/>
                <w:sz w:val="22"/>
                <w:szCs w:val="22"/>
              </w:rPr>
              <w:t>Beethoven's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32 </w:t>
            </w:r>
            <w:proofErr w:type="spellStart"/>
            <w:r w:rsidRPr="00231DC2">
              <w:rPr>
                <w:i/>
                <w:sz w:val="22"/>
                <w:szCs w:val="22"/>
              </w:rPr>
              <w:t>piano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sonatas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: a </w:t>
            </w:r>
            <w:proofErr w:type="spellStart"/>
            <w:r w:rsidRPr="00231DC2">
              <w:rPr>
                <w:i/>
                <w:sz w:val="22"/>
                <w:szCs w:val="22"/>
              </w:rPr>
              <w:t>handbook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for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performers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</w:p>
          <w:p w:rsidR="00B6337E" w:rsidRPr="00231DC2" w:rsidRDefault="00B6337E" w:rsidP="00B6337E">
            <w:pPr>
              <w:rPr>
                <w:sz w:val="22"/>
                <w:szCs w:val="22"/>
                <w:lang w:val="en-US" w:eastAsia="ru-RU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Morgan R. (1991).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</w:p>
          <w:p w:rsidR="00B6337E" w:rsidRPr="00231DC2" w:rsidRDefault="00B6337E" w:rsidP="00B6337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Lawson C.;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Stowell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R. The Historical Performance of Music. Cambridge: Cambridge University Press, 2005.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</w:rPr>
              <w:t xml:space="preserve">Ļebedeva, J. (1988). </w:t>
            </w:r>
            <w:r w:rsidRPr="00231DC2">
              <w:rPr>
                <w:i/>
                <w:sz w:val="22"/>
                <w:szCs w:val="22"/>
              </w:rPr>
              <w:t>20. gadsimta latviešu komponistu mūzika skaņdarbu analīzes kursā</w:t>
            </w:r>
            <w:r w:rsidRPr="00231DC2">
              <w:rPr>
                <w:sz w:val="22"/>
                <w:szCs w:val="22"/>
              </w:rPr>
              <w:t>. Rīga: Zvaigzne</w:t>
            </w:r>
          </w:p>
          <w:p w:rsidR="00B6337E" w:rsidRPr="00231DC2" w:rsidRDefault="00B6337E" w:rsidP="00B6337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proofErr w:type="spellStart"/>
            <w:r w:rsidRPr="00231DC2">
              <w:rPr>
                <w:sz w:val="22"/>
                <w:szCs w:val="22"/>
                <w:lang w:eastAsia="ru-RU"/>
              </w:rPr>
              <w:t>Lobanova</w:t>
            </w:r>
            <w:proofErr w:type="spellEnd"/>
            <w:r w:rsidRPr="00231DC2">
              <w:rPr>
                <w:sz w:val="22"/>
                <w:szCs w:val="22"/>
                <w:lang w:eastAsia="ru-RU"/>
              </w:rPr>
              <w:t>, M. (2000).</w:t>
            </w:r>
            <w:r w:rsidRPr="00231DC2">
              <w:rPr>
                <w:i/>
                <w:sz w:val="22"/>
                <w:szCs w:val="22"/>
                <w:lang w:eastAsia="ru-RU"/>
              </w:rPr>
              <w:t xml:space="preserve">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Musical Style And Genre: History and Modernity. 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Australia: Harwood Academic Publishers </w:t>
            </w:r>
            <w:r w:rsidRPr="00231DC2">
              <w:rPr>
                <w:sz w:val="22"/>
                <w:szCs w:val="22"/>
                <w:lang w:val="en-US" w:eastAsia="ru-RU"/>
              </w:rPr>
              <w:br/>
              <w:t xml:space="preserve">Meyer, L. B. (1989). 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Style and Music: Theory,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Histoty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>, and Ideology.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Chicago: The University of Chicago </w:t>
            </w:r>
            <w:proofErr w:type="gramStart"/>
            <w:r w:rsidRPr="00231DC2">
              <w:rPr>
                <w:sz w:val="22"/>
                <w:szCs w:val="22"/>
                <w:lang w:val="en-US" w:eastAsia="ru-RU"/>
              </w:rPr>
              <w:t xml:space="preserve">Press  </w:t>
            </w:r>
            <w:proofErr w:type="gramEnd"/>
            <w:r w:rsidRPr="00231DC2">
              <w:rPr>
                <w:sz w:val="22"/>
                <w:szCs w:val="22"/>
                <w:lang w:val="en-US" w:eastAsia="ru-RU"/>
              </w:rPr>
              <w:br/>
              <w:t>Morgan, R. (1991).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Twentieth-Century Music: A History of Musical Style in Modern Europe and America</w:t>
            </w:r>
            <w:r w:rsidRPr="00231DC2">
              <w:rPr>
                <w:sz w:val="22"/>
                <w:szCs w:val="22"/>
                <w:lang w:val="en-US" w:eastAsia="ru-RU"/>
              </w:rPr>
              <w:t>. New York: W. W. Norton &amp; Company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Whittal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>, A. (2006</w:t>
            </w:r>
            <w:r w:rsidRPr="00231DC2">
              <w:rPr>
                <w:i/>
                <w:sz w:val="22"/>
                <w:szCs w:val="22"/>
                <w:lang w:val="en-US" w:eastAsia="ru-RU"/>
              </w:rPr>
              <w:t>). Exploring Twentieth-Century Music: Tradition and Innovation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. Cambridge: Cambridge University Press </w:t>
            </w:r>
          </w:p>
          <w:p w:rsidR="00B6337E" w:rsidRPr="00231DC2" w:rsidRDefault="00B6337E" w:rsidP="00B6337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Opera.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Pasaules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opermākslas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šedevri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(1998)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Juventa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</w:p>
          <w:p w:rsidR="00B6337E" w:rsidRPr="00231DC2" w:rsidRDefault="00B6337E" w:rsidP="00E131C2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en-US" w:eastAsia="ru-RU"/>
              </w:rPr>
              <w:t xml:space="preserve">Ross, A. (2012).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Viss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cits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ir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troksnis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. 20. </w:t>
            </w:r>
            <w:proofErr w:type="spellStart"/>
            <w:proofErr w:type="gramStart"/>
            <w:r w:rsidRPr="00231DC2">
              <w:rPr>
                <w:i/>
                <w:sz w:val="22"/>
                <w:szCs w:val="22"/>
                <w:lang w:val="en-US" w:eastAsia="ru-RU"/>
              </w:rPr>
              <w:t>gadsimta</w:t>
            </w:r>
            <w:proofErr w:type="spellEnd"/>
            <w:proofErr w:type="gram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  <w:lang w:val="en-US" w:eastAsia="ru-RU"/>
              </w:rPr>
              <w:t>vēsture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Jāņa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Rozes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apgāds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Vispārējā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mūzikas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vesture (1984/5).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N.Grīnfelda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redakcijā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. 1., 2.d.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Rīga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Zvaigzne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</w:t>
            </w:r>
            <w:r w:rsidRPr="00231DC2">
              <w:rPr>
                <w:sz w:val="22"/>
                <w:szCs w:val="22"/>
                <w:lang w:val="en-US" w:eastAsia="ru-RU"/>
              </w:rPr>
              <w:br/>
            </w:r>
            <w:r w:rsidRPr="00231DC2">
              <w:rPr>
                <w:sz w:val="22"/>
                <w:szCs w:val="22"/>
                <w:lang w:eastAsia="ru-RU"/>
              </w:rPr>
              <w:t xml:space="preserve">Torgāns, J. (1983). </w:t>
            </w:r>
            <w:r w:rsidRPr="00231DC2">
              <w:rPr>
                <w:i/>
                <w:sz w:val="22"/>
                <w:szCs w:val="22"/>
                <w:lang w:eastAsia="ru-RU"/>
              </w:rPr>
              <w:t>Mūzika šodien</w:t>
            </w:r>
            <w:r w:rsidRPr="00231DC2">
              <w:rPr>
                <w:sz w:val="22"/>
                <w:szCs w:val="22"/>
                <w:lang w:eastAsia="ru-RU"/>
              </w:rPr>
              <w:t xml:space="preserve">. Rīga: Zvaigzne </w:t>
            </w:r>
          </w:p>
          <w:p w:rsidR="00B6337E" w:rsidRPr="00231DC2" w:rsidRDefault="00B6337E" w:rsidP="00B6337E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DC2">
              <w:rPr>
                <w:i/>
                <w:sz w:val="22"/>
                <w:szCs w:val="22"/>
              </w:rPr>
              <w:t>Skaņdarbu analīze</w:t>
            </w:r>
            <w:r w:rsidRPr="00231DC2">
              <w:rPr>
                <w:sz w:val="22"/>
                <w:szCs w:val="22"/>
              </w:rPr>
              <w:t xml:space="preserve"> (1978). </w:t>
            </w:r>
            <w:proofErr w:type="spellStart"/>
            <w:r w:rsidRPr="00231DC2">
              <w:rPr>
                <w:sz w:val="22"/>
                <w:szCs w:val="22"/>
              </w:rPr>
              <w:t>L.Kārkļiņa</w:t>
            </w:r>
            <w:proofErr w:type="spellEnd"/>
            <w:r w:rsidRPr="00231DC2">
              <w:rPr>
                <w:sz w:val="22"/>
                <w:szCs w:val="22"/>
              </w:rPr>
              <w:t xml:space="preserve"> red. Rīga: Zvaigzne 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704CD2">
              <w:rPr>
                <w:sz w:val="22"/>
                <w:szCs w:val="22"/>
              </w:rPr>
              <w:t>Когоутек</w:t>
            </w:r>
            <w:proofErr w:type="spellEnd"/>
            <w:r w:rsidRPr="00704CD2">
              <w:rPr>
                <w:sz w:val="22"/>
                <w:szCs w:val="22"/>
              </w:rPr>
              <w:t xml:space="preserve"> Ц. </w:t>
            </w:r>
            <w:proofErr w:type="spellStart"/>
            <w:r w:rsidRPr="00704CD2">
              <w:rPr>
                <w:sz w:val="22"/>
                <w:szCs w:val="22"/>
              </w:rPr>
              <w:t>Техника</w:t>
            </w:r>
            <w:proofErr w:type="spellEnd"/>
            <w:r w:rsidRPr="00704CD2">
              <w:rPr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sz w:val="22"/>
                <w:szCs w:val="22"/>
              </w:rPr>
              <w:t>композиции</w:t>
            </w:r>
            <w:proofErr w:type="spellEnd"/>
            <w:r w:rsidRPr="00704CD2">
              <w:rPr>
                <w:sz w:val="22"/>
                <w:szCs w:val="22"/>
              </w:rPr>
              <w:t xml:space="preserve"> в </w:t>
            </w:r>
            <w:proofErr w:type="spellStart"/>
            <w:r w:rsidRPr="00704CD2">
              <w:rPr>
                <w:sz w:val="22"/>
                <w:szCs w:val="22"/>
              </w:rPr>
              <w:t>музыке</w:t>
            </w:r>
            <w:proofErr w:type="spellEnd"/>
            <w:r w:rsidRPr="00704CD2">
              <w:rPr>
                <w:sz w:val="22"/>
                <w:szCs w:val="22"/>
              </w:rPr>
              <w:t xml:space="preserve"> </w:t>
            </w:r>
            <w:r w:rsidRPr="00231DC2">
              <w:rPr>
                <w:sz w:val="22"/>
                <w:szCs w:val="22"/>
              </w:rPr>
              <w:t>XX</w:t>
            </w:r>
            <w:r w:rsidRPr="00704CD2">
              <w:rPr>
                <w:sz w:val="22"/>
                <w:szCs w:val="22"/>
              </w:rPr>
              <w:t xml:space="preserve"> </w:t>
            </w:r>
            <w:proofErr w:type="spellStart"/>
            <w:r w:rsidRPr="00704CD2">
              <w:rPr>
                <w:sz w:val="22"/>
                <w:szCs w:val="22"/>
              </w:rPr>
              <w:t>века</w:t>
            </w:r>
            <w:proofErr w:type="spellEnd"/>
            <w:r w:rsidRPr="00704CD2">
              <w:rPr>
                <w:sz w:val="22"/>
                <w:szCs w:val="22"/>
              </w:rPr>
              <w:t xml:space="preserve">. </w:t>
            </w:r>
            <w:r w:rsidRPr="00231DC2">
              <w:rPr>
                <w:sz w:val="22"/>
                <w:szCs w:val="22"/>
                <w:lang w:val="ru-RU"/>
              </w:rPr>
              <w:t>Москва: Музыка, 1976.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Мазель, Л. (1991). </w:t>
            </w:r>
            <w:r w:rsidRPr="00231DC2">
              <w:rPr>
                <w:i/>
                <w:sz w:val="22"/>
                <w:szCs w:val="22"/>
                <w:lang w:val="ru-RU"/>
              </w:rPr>
              <w:t>Вопросы анализа музыки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B6337E" w:rsidRPr="00231DC2" w:rsidRDefault="00B6337E" w:rsidP="00B6337E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 w:eastAsia="ru-RU"/>
              </w:rPr>
              <w:t xml:space="preserve">Рабинович, Д. (1979). </w:t>
            </w:r>
            <w:r w:rsidRPr="00231DC2">
              <w:rPr>
                <w:i/>
                <w:sz w:val="22"/>
                <w:szCs w:val="22"/>
                <w:lang w:val="ru-RU" w:eastAsia="ru-RU"/>
              </w:rPr>
              <w:t>Исполнитель и стиль</w:t>
            </w:r>
            <w:r w:rsidRPr="00231DC2">
              <w:rPr>
                <w:sz w:val="22"/>
                <w:szCs w:val="22"/>
                <w:lang w:val="ru-RU" w:eastAsia="ru-RU"/>
              </w:rPr>
              <w:t>. Москва: Музыка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Очеретовская, Н. (1985). </w:t>
            </w:r>
            <w:r w:rsidRPr="00231DC2">
              <w:rPr>
                <w:i/>
                <w:sz w:val="22"/>
                <w:szCs w:val="22"/>
                <w:lang w:val="ru-RU"/>
              </w:rPr>
              <w:t>Содержание и форма в музыке</w:t>
            </w:r>
            <w:r w:rsidRPr="00231DC2">
              <w:rPr>
                <w:sz w:val="22"/>
                <w:szCs w:val="22"/>
                <w:lang w:val="ru-RU"/>
              </w:rPr>
              <w:t>. Ленинград: Музыка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Ручьевская, Е. (1998). </w:t>
            </w:r>
            <w:r w:rsidRPr="00231DC2">
              <w:rPr>
                <w:i/>
                <w:sz w:val="22"/>
                <w:szCs w:val="22"/>
                <w:lang w:val="ru-RU"/>
              </w:rPr>
              <w:t>Классическая музыкальная форма</w:t>
            </w:r>
            <w:r w:rsidRPr="00231DC2">
              <w:rPr>
                <w:sz w:val="22"/>
                <w:szCs w:val="22"/>
                <w:lang w:val="ru-RU"/>
              </w:rPr>
              <w:t>. Санкт-Петербург: Музыка</w:t>
            </w:r>
          </w:p>
        </w:tc>
      </w:tr>
      <w:tr w:rsidR="00B6337E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231DC2" w:rsidRDefault="00B6337E" w:rsidP="00B6337E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Papildus informācijas 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1C2" w:rsidRPr="00231DC2" w:rsidRDefault="00E131C2" w:rsidP="00E131C2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231DC2">
              <w:rPr>
                <w:i/>
                <w:sz w:val="22"/>
                <w:szCs w:val="22"/>
                <w:lang w:val="en-US" w:eastAsia="ru-RU"/>
              </w:rPr>
              <w:t>The New Grove Dictionary of Music and Musicians</w:t>
            </w:r>
            <w:r w:rsidRPr="00231DC2">
              <w:rPr>
                <w:sz w:val="22"/>
                <w:szCs w:val="22"/>
                <w:lang w:val="en-US" w:eastAsia="ru-RU"/>
              </w:rPr>
              <w:t xml:space="preserve"> (</w:t>
            </w:r>
            <w:proofErr w:type="spellStart"/>
            <w:r w:rsidRPr="00231DC2">
              <w:rPr>
                <w:sz w:val="22"/>
                <w:szCs w:val="22"/>
                <w:lang w:val="en-US" w:eastAsia="ru-RU"/>
              </w:rPr>
              <w:t>Ed.Stanley</w:t>
            </w:r>
            <w:proofErr w:type="spellEnd"/>
            <w:r w:rsidRPr="00231DC2">
              <w:rPr>
                <w:sz w:val="22"/>
                <w:szCs w:val="22"/>
                <w:lang w:val="en-US" w:eastAsia="ru-RU"/>
              </w:rPr>
              <w:t xml:space="preserve"> Sadie; Executive ed. John Tyrrell). London: Macmillan, 2001. </w:t>
            </w:r>
          </w:p>
          <w:p w:rsidR="00E131C2" w:rsidRPr="00231DC2" w:rsidRDefault="00E131C2" w:rsidP="00E131C2">
            <w:pPr>
              <w:rPr>
                <w:i/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-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</w:t>
            </w:r>
          </w:p>
          <w:p w:rsidR="00E131C2" w:rsidRPr="00231DC2" w:rsidRDefault="00E131C2" w:rsidP="00E131C2">
            <w:pPr>
              <w:rPr>
                <w:i/>
                <w:sz w:val="22"/>
                <w:szCs w:val="22"/>
                <w:lang w:val="en-GB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2. </w:t>
            </w:r>
          </w:p>
          <w:p w:rsidR="00E131C2" w:rsidRPr="00231DC2" w:rsidRDefault="00E131C2" w:rsidP="00E131C2">
            <w:pPr>
              <w:rPr>
                <w:i/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  <w:proofErr w:type="spellStart"/>
            <w:r w:rsidRPr="00231DC2">
              <w:rPr>
                <w:sz w:val="22"/>
                <w:szCs w:val="22"/>
              </w:rPr>
              <w:lastRenderedPageBreak/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musical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instruments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Laurence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Libin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Second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2014.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</w:t>
            </w:r>
            <w:r w:rsidRPr="00231DC2">
              <w:rPr>
                <w:sz w:val="22"/>
                <w:szCs w:val="22"/>
              </w:rPr>
              <w:t>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2. </w:t>
            </w:r>
            <w:proofErr w:type="spellStart"/>
            <w:r w:rsidRPr="00231DC2">
              <w:rPr>
                <w:sz w:val="22"/>
                <w:szCs w:val="22"/>
              </w:rPr>
              <w:t>Gabler-Niewood.</w:t>
            </w:r>
            <w:proofErr w:type="spellEnd"/>
            <w:r w:rsidRPr="00231DC2">
              <w:rPr>
                <w:sz w:val="22"/>
                <w:szCs w:val="22"/>
              </w:rPr>
              <w:t xml:space="preserve"> 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jazz</w:t>
            </w:r>
            <w:proofErr w:type="spellEnd"/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Barry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Kernfeld</w:t>
            </w:r>
            <w:proofErr w:type="spellEnd"/>
            <w:r w:rsidRPr="00231DC2">
              <w:rPr>
                <w:sz w:val="22"/>
                <w:szCs w:val="22"/>
              </w:rPr>
              <w:t xml:space="preserve">. - 2nd </w:t>
            </w:r>
            <w:proofErr w:type="spellStart"/>
            <w:r w:rsidRPr="00231DC2">
              <w:rPr>
                <w:sz w:val="22"/>
                <w:szCs w:val="22"/>
              </w:rPr>
              <w:t>ed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Nightclubs-Zwingenberger.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2002.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1. A-D.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>. 2. E-</w:t>
            </w:r>
            <w:proofErr w:type="spellStart"/>
            <w:r w:rsidRPr="00231DC2">
              <w:rPr>
                <w:sz w:val="22"/>
                <w:szCs w:val="22"/>
              </w:rPr>
              <w:t>Lom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>, 1997.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 </w:t>
            </w:r>
            <w:r w:rsidRPr="00231DC2">
              <w:rPr>
                <w:sz w:val="22"/>
                <w:szCs w:val="22"/>
              </w:rPr>
              <w:t xml:space="preserve">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3. </w:t>
            </w:r>
            <w:proofErr w:type="spellStart"/>
            <w:r w:rsidRPr="00231DC2">
              <w:rPr>
                <w:sz w:val="22"/>
                <w:szCs w:val="22"/>
              </w:rPr>
              <w:t>Lon-Rod.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1997. </w:t>
            </w:r>
          </w:p>
          <w:p w:rsidR="00E131C2" w:rsidRPr="00231DC2" w:rsidRDefault="00E131C2" w:rsidP="00E131C2">
            <w:pPr>
              <w:rPr>
                <w:sz w:val="22"/>
                <w:szCs w:val="22"/>
              </w:rPr>
            </w:pPr>
            <w:proofErr w:type="spellStart"/>
            <w:r w:rsidRPr="00231DC2">
              <w:rPr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New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Grove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dictionary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i/>
                <w:sz w:val="22"/>
                <w:szCs w:val="22"/>
              </w:rPr>
              <w:t>of</w:t>
            </w:r>
            <w:proofErr w:type="spellEnd"/>
            <w:r w:rsidRPr="00231DC2">
              <w:rPr>
                <w:i/>
                <w:sz w:val="22"/>
                <w:szCs w:val="22"/>
              </w:rPr>
              <w:t xml:space="preserve"> opera</w:t>
            </w:r>
            <w:r w:rsidRPr="00231DC2">
              <w:rPr>
                <w:sz w:val="22"/>
                <w:szCs w:val="22"/>
              </w:rPr>
              <w:t xml:space="preserve"> / </w:t>
            </w:r>
            <w:proofErr w:type="spellStart"/>
            <w:r w:rsidRPr="00231DC2">
              <w:rPr>
                <w:sz w:val="22"/>
                <w:szCs w:val="22"/>
              </w:rPr>
              <w:t>edited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by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Stanley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Sadie</w:t>
            </w:r>
            <w:proofErr w:type="spellEnd"/>
            <w:r w:rsidRPr="00231DC2">
              <w:rPr>
                <w:sz w:val="22"/>
                <w:szCs w:val="22"/>
              </w:rPr>
              <w:t xml:space="preserve">. </w:t>
            </w:r>
            <w:proofErr w:type="spellStart"/>
            <w:r w:rsidRPr="00231DC2">
              <w:rPr>
                <w:sz w:val="22"/>
                <w:szCs w:val="22"/>
              </w:rPr>
              <w:t>Vol</w:t>
            </w:r>
            <w:proofErr w:type="spellEnd"/>
            <w:r w:rsidRPr="00231DC2">
              <w:rPr>
                <w:sz w:val="22"/>
                <w:szCs w:val="22"/>
              </w:rPr>
              <w:t xml:space="preserve">. 4. </w:t>
            </w:r>
            <w:proofErr w:type="spellStart"/>
            <w:r w:rsidRPr="00231DC2">
              <w:rPr>
                <w:sz w:val="22"/>
                <w:szCs w:val="22"/>
              </w:rPr>
              <w:t>Roe-Z.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New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York</w:t>
            </w:r>
            <w:proofErr w:type="spellEnd"/>
            <w:r w:rsidRPr="00231DC2">
              <w:rPr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sz w:val="22"/>
                <w:szCs w:val="22"/>
              </w:rPr>
              <w:t>Oxford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University</w:t>
            </w:r>
            <w:proofErr w:type="spellEnd"/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Press</w:t>
            </w:r>
            <w:proofErr w:type="spellEnd"/>
            <w:r w:rsidRPr="00231DC2">
              <w:rPr>
                <w:sz w:val="22"/>
                <w:szCs w:val="22"/>
              </w:rPr>
              <w:t xml:space="preserve">, 1997 </w:t>
            </w:r>
          </w:p>
          <w:p w:rsidR="00B6337E" w:rsidRPr="00231DC2" w:rsidRDefault="00B6337E" w:rsidP="00B6337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Spring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Glenn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;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Hutcheson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, </w:t>
            </w:r>
            <w:proofErr w:type="spellStart"/>
            <w:r w:rsidRPr="00231DC2">
              <w:rPr>
                <w:bCs/>
                <w:kern w:val="36"/>
                <w:sz w:val="22"/>
                <w:szCs w:val="22"/>
              </w:rPr>
              <w:t>Jere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 xml:space="preserve"> (1994).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Musical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Form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and</w:t>
            </w:r>
            <w:proofErr w:type="spellEnd"/>
            <w:r w:rsidRPr="00231DC2">
              <w:rPr>
                <w:bCs/>
                <w:i/>
                <w:kern w:val="36"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bCs/>
                <w:i/>
                <w:kern w:val="36"/>
                <w:sz w:val="22"/>
                <w:szCs w:val="22"/>
              </w:rPr>
              <w:t>Analysis</w:t>
            </w:r>
            <w:proofErr w:type="spellEnd"/>
            <w:r w:rsidRPr="00231DC2">
              <w:rPr>
                <w:bCs/>
                <w:kern w:val="36"/>
                <w:sz w:val="22"/>
                <w:szCs w:val="22"/>
              </w:rPr>
              <w:t>.</w:t>
            </w:r>
            <w:r w:rsidRPr="00231DC2">
              <w:rPr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sz w:val="22"/>
                <w:szCs w:val="22"/>
              </w:rPr>
              <w:t>Edition</w:t>
            </w:r>
            <w:proofErr w:type="spellEnd"/>
            <w:r w:rsidRPr="00231DC2">
              <w:rPr>
                <w:sz w:val="22"/>
                <w:szCs w:val="22"/>
                <w:lang w:val="ru-RU"/>
              </w:rPr>
              <w:t xml:space="preserve"> 1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Лобанова, М. (1990). </w:t>
            </w:r>
            <w:r w:rsidRPr="00231DC2">
              <w:rPr>
                <w:i/>
                <w:sz w:val="22"/>
                <w:szCs w:val="22"/>
                <w:lang w:val="ru-RU"/>
              </w:rPr>
              <w:t>Музыкальный стиль и жанр. История и современность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Холопова, В. (1983). </w:t>
            </w:r>
            <w:r w:rsidRPr="00231DC2">
              <w:rPr>
                <w:i/>
                <w:sz w:val="22"/>
                <w:szCs w:val="22"/>
                <w:lang w:val="ru-RU"/>
              </w:rPr>
              <w:t>Музыкальный тематизм</w:t>
            </w:r>
            <w:r w:rsidRPr="00231DC2">
              <w:rPr>
                <w:sz w:val="22"/>
                <w:szCs w:val="22"/>
                <w:lang w:val="ru-RU"/>
              </w:rPr>
              <w:t>. Москва: Музыка</w:t>
            </w:r>
          </w:p>
          <w:p w:rsidR="00B6337E" w:rsidRPr="00231DC2" w:rsidRDefault="00B6337E" w:rsidP="00B6337E">
            <w:pPr>
              <w:jc w:val="both"/>
              <w:rPr>
                <w:sz w:val="22"/>
                <w:szCs w:val="22"/>
                <w:lang w:val="ru-RU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Цуккерман, В. (1980). </w:t>
            </w:r>
            <w:r w:rsidRPr="00231DC2">
              <w:rPr>
                <w:i/>
                <w:sz w:val="22"/>
                <w:szCs w:val="22"/>
                <w:lang w:val="ru-RU"/>
              </w:rPr>
              <w:t>Анализ музыкальных произведений: общие принципы развития и формообразования</w:t>
            </w:r>
            <w:r w:rsidRPr="00231DC2">
              <w:rPr>
                <w:sz w:val="22"/>
                <w:szCs w:val="22"/>
                <w:lang w:val="ru-RU"/>
              </w:rPr>
              <w:t>. Простые формы. Москва: Музыка</w:t>
            </w:r>
          </w:p>
          <w:p w:rsidR="00B6337E" w:rsidRPr="00231DC2" w:rsidRDefault="00B6337E" w:rsidP="00B6337E">
            <w:pPr>
              <w:rPr>
                <w:sz w:val="22"/>
                <w:szCs w:val="22"/>
              </w:rPr>
            </w:pPr>
            <w:r w:rsidRPr="00231DC2">
              <w:rPr>
                <w:sz w:val="22"/>
                <w:szCs w:val="22"/>
                <w:lang w:val="ru-RU"/>
              </w:rPr>
              <w:t xml:space="preserve">Холопова, В. (2013). </w:t>
            </w:r>
            <w:r w:rsidRPr="00231DC2">
              <w:rPr>
                <w:bCs/>
                <w:i/>
                <w:kern w:val="36"/>
                <w:sz w:val="22"/>
                <w:szCs w:val="22"/>
                <w:lang w:val="ru-RU"/>
              </w:rPr>
              <w:t>Формы музыкальных произведений</w:t>
            </w:r>
            <w:r w:rsidRPr="00231DC2">
              <w:rPr>
                <w:bCs/>
                <w:kern w:val="36"/>
                <w:sz w:val="22"/>
                <w:szCs w:val="22"/>
                <w:lang w:val="ru-RU"/>
              </w:rPr>
              <w:t xml:space="preserve">. Учебное пособие. </w:t>
            </w:r>
            <w:r w:rsidRPr="00231DC2">
              <w:rPr>
                <w:sz w:val="22"/>
                <w:szCs w:val="22"/>
                <w:lang w:val="ru-RU"/>
              </w:rPr>
              <w:t>Москва: Лань</w:t>
            </w:r>
          </w:p>
        </w:tc>
      </w:tr>
      <w:tr w:rsidR="00B6337E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231DC2" w:rsidRDefault="00B6337E" w:rsidP="00B6337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Periodika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un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citi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inform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cijas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avoti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231DC2" w:rsidRDefault="00B6337E" w:rsidP="00B6337E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sz w:val="22"/>
                <w:szCs w:val="22"/>
                <w:lang w:val="en-US"/>
              </w:rPr>
              <w:t>Ž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urn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li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B6337E" w:rsidRPr="00231DC2" w:rsidRDefault="00B6337E" w:rsidP="00B6337E">
            <w:pPr>
              <w:rPr>
                <w:rFonts w:eastAsia="Calibri"/>
                <w:i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Theory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Spectrum</w:t>
            </w:r>
            <w:proofErr w:type="spellEnd"/>
          </w:p>
          <w:p w:rsidR="00B6337E" w:rsidRPr="00231DC2" w:rsidRDefault="00B6337E" w:rsidP="00B6337E">
            <w:pPr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231DC2">
              <w:rPr>
                <w:rFonts w:eastAsia="Calibri"/>
                <w:sz w:val="22"/>
                <w:szCs w:val="22"/>
              </w:rPr>
              <w:t>Kr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ā</w:t>
            </w:r>
            <w:r w:rsidRPr="00231DC2">
              <w:rPr>
                <w:rFonts w:eastAsia="Calibri"/>
                <w:sz w:val="22"/>
                <w:szCs w:val="22"/>
              </w:rPr>
              <w:t>jumi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B6337E" w:rsidRPr="00231DC2" w:rsidRDefault="00B6337E" w:rsidP="00B6337E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sz w:val="22"/>
                <w:szCs w:val="22"/>
              </w:rPr>
              <w:t>M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>ū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zikas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sz w:val="22"/>
                <w:szCs w:val="22"/>
              </w:rPr>
              <w:t>akad</w:t>
            </w:r>
            <w:proofErr w:type="spellEnd"/>
            <w:r w:rsidRPr="00231DC2">
              <w:rPr>
                <w:rFonts w:eastAsia="Calibri"/>
                <w:sz w:val="22"/>
                <w:szCs w:val="22"/>
                <w:lang w:val="en-US"/>
              </w:rPr>
              <w:t>ē</w:t>
            </w:r>
            <w:r w:rsidRPr="00231DC2">
              <w:rPr>
                <w:rFonts w:eastAsia="Calibri"/>
                <w:sz w:val="22"/>
                <w:szCs w:val="22"/>
              </w:rPr>
              <w:t>mijas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raksti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(</w:t>
            </w:r>
            <w:r w:rsidRPr="00231DC2">
              <w:rPr>
                <w:rFonts w:eastAsia="Calibri"/>
                <w:sz w:val="22"/>
                <w:szCs w:val="22"/>
              </w:rPr>
              <w:t>JVLMA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sz w:val="22"/>
                <w:szCs w:val="22"/>
              </w:rPr>
              <w:t>izdevums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r w:rsidRPr="00231DC2">
              <w:rPr>
                <w:rFonts w:eastAsia="Calibri"/>
                <w:sz w:val="22"/>
                <w:szCs w:val="22"/>
              </w:rPr>
              <w:t>no</w:t>
            </w:r>
            <w:r w:rsidRPr="00231DC2">
              <w:rPr>
                <w:rFonts w:eastAsia="Calibri"/>
                <w:sz w:val="22"/>
                <w:szCs w:val="22"/>
                <w:lang w:val="en-US"/>
              </w:rPr>
              <w:t xml:space="preserve"> 200</w:t>
            </w:r>
            <w:r w:rsidRPr="00231DC2">
              <w:rPr>
                <w:rFonts w:eastAsia="Calibri"/>
                <w:sz w:val="22"/>
                <w:szCs w:val="22"/>
              </w:rPr>
              <w:t>4)</w:t>
            </w:r>
          </w:p>
          <w:p w:rsidR="00B6337E" w:rsidRPr="00231DC2" w:rsidRDefault="00B6337E" w:rsidP="00B6337E">
            <w:pPr>
              <w:rPr>
                <w:rFonts w:eastAsia="Calibri"/>
                <w:sz w:val="22"/>
                <w:szCs w:val="22"/>
              </w:rPr>
            </w:pPr>
            <w:r w:rsidRPr="00231DC2">
              <w:rPr>
                <w:rFonts w:eastAsia="Calibri"/>
                <w:sz w:val="22"/>
                <w:szCs w:val="22"/>
              </w:rPr>
              <w:t xml:space="preserve">Mūzikas zinātne šodien: pastāvīgais un mainīgais /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Science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Today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: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Permanent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and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231DC2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231DC2">
              <w:rPr>
                <w:rFonts w:eastAsia="Calibri"/>
                <w:i/>
                <w:sz w:val="22"/>
                <w:szCs w:val="22"/>
              </w:rPr>
              <w:t>Changeable</w:t>
            </w:r>
            <w:proofErr w:type="spellEnd"/>
            <w:r w:rsidRPr="00231DC2">
              <w:rPr>
                <w:rFonts w:eastAsia="Calibri"/>
                <w:sz w:val="22"/>
                <w:szCs w:val="22"/>
              </w:rPr>
              <w:t xml:space="preserve"> (DU MMF izdevums, no 2009)</w:t>
            </w:r>
          </w:p>
          <w:p w:rsidR="00B6337E" w:rsidRPr="00231DC2" w:rsidRDefault="00B6337E" w:rsidP="00B6337E">
            <w:pPr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t>Interneta resursi</w:t>
            </w:r>
          </w:p>
        </w:tc>
      </w:tr>
      <w:tr w:rsidR="00B6337E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7E" w:rsidRPr="00231DC2" w:rsidRDefault="00B6337E" w:rsidP="00B6337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sz w:val="22"/>
                <w:szCs w:val="22"/>
              </w:rPr>
              <w:t>Piezīmes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37E" w:rsidRPr="00231DC2" w:rsidRDefault="00B6337E" w:rsidP="00B6337E">
            <w:pPr>
              <w:jc w:val="both"/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rPr>
                <w:rFonts w:eastAsia="Calibri"/>
                <w:sz w:val="22"/>
                <w:szCs w:val="22"/>
              </w:rPr>
              <w:t>Profesionālā bakalaura studiju programmas B2 daļa</w:t>
            </w:r>
          </w:p>
        </w:tc>
      </w:tr>
      <w:bookmarkEnd w:id="0"/>
      <w:bookmarkEnd w:id="1"/>
    </w:tbl>
    <w:p w:rsidR="00C45F47" w:rsidRPr="00231DC2" w:rsidRDefault="00C45F47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1B5AF5" w:rsidRDefault="001B5AF5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C45F47" w:rsidRDefault="00C45F47" w:rsidP="00255B6D">
      <w:pPr>
        <w:pStyle w:val="BodyText"/>
        <w:spacing w:line="240" w:lineRule="auto"/>
        <w:ind w:firstLine="720"/>
        <w:rPr>
          <w:sz w:val="24"/>
          <w:szCs w:val="24"/>
        </w:rPr>
      </w:pPr>
    </w:p>
    <w:p w:rsidR="00255B6D" w:rsidRDefault="00255B6D" w:rsidP="00255B6D">
      <w:pPr>
        <w:pStyle w:val="apaknodaa2"/>
        <w:spacing w:before="0" w:after="0"/>
        <w:rPr>
          <w:sz w:val="24"/>
          <w:szCs w:val="24"/>
        </w:rPr>
      </w:pPr>
      <w:bookmarkStart w:id="5" w:name="_Toc40081103"/>
      <w:bookmarkStart w:id="6" w:name="_Toc37062341"/>
    </w:p>
    <w:bookmarkEnd w:id="5"/>
    <w:bookmarkEnd w:id="6"/>
    <w:p w:rsidR="00255B6D" w:rsidRDefault="00255B6D" w:rsidP="00255B6D">
      <w:pPr>
        <w:jc w:val="center"/>
        <w:rPr>
          <w:b/>
          <w:sz w:val="24"/>
          <w:szCs w:val="24"/>
        </w:rPr>
      </w:pPr>
    </w:p>
    <w:sectPr w:rsidR="00255B6D" w:rsidSect="00DF7F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rebuchetMS-Bold">
    <w:charset w:val="00"/>
    <w:family w:val="auto"/>
    <w:pitch w:val="default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8044A"/>
    <w:multiLevelType w:val="hybridMultilevel"/>
    <w:tmpl w:val="5EBE363A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6561F"/>
    <w:multiLevelType w:val="multilevel"/>
    <w:tmpl w:val="1286EB98"/>
    <w:lvl w:ilvl="0">
      <w:start w:val="1"/>
      <w:numFmt w:val="decimal"/>
      <w:lvlText w:val="%1)"/>
      <w:lvlJc w:val="left"/>
      <w:pPr>
        <w:tabs>
          <w:tab w:val="num" w:pos="1211"/>
        </w:tabs>
        <w:ind w:left="360" w:firstLine="491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B6D"/>
    <w:rsid w:val="00043AEC"/>
    <w:rsid w:val="00047F9E"/>
    <w:rsid w:val="000723D6"/>
    <w:rsid w:val="000C08E4"/>
    <w:rsid w:val="00124E53"/>
    <w:rsid w:val="0013547F"/>
    <w:rsid w:val="00183DF3"/>
    <w:rsid w:val="001851B1"/>
    <w:rsid w:val="001B5AF5"/>
    <w:rsid w:val="00231DC2"/>
    <w:rsid w:val="00255B6D"/>
    <w:rsid w:val="002A203E"/>
    <w:rsid w:val="002D7F59"/>
    <w:rsid w:val="003068BE"/>
    <w:rsid w:val="0038233A"/>
    <w:rsid w:val="003B0EAD"/>
    <w:rsid w:val="003B7624"/>
    <w:rsid w:val="003E09E5"/>
    <w:rsid w:val="003E34E7"/>
    <w:rsid w:val="003F01F0"/>
    <w:rsid w:val="004876B6"/>
    <w:rsid w:val="004D32E7"/>
    <w:rsid w:val="004D51BA"/>
    <w:rsid w:val="004F3350"/>
    <w:rsid w:val="00513691"/>
    <w:rsid w:val="00521DE5"/>
    <w:rsid w:val="005A30EC"/>
    <w:rsid w:val="005B1E63"/>
    <w:rsid w:val="005B33E3"/>
    <w:rsid w:val="0060360A"/>
    <w:rsid w:val="006D55E1"/>
    <w:rsid w:val="006F6A1F"/>
    <w:rsid w:val="00704CD2"/>
    <w:rsid w:val="00724968"/>
    <w:rsid w:val="0074343F"/>
    <w:rsid w:val="007D5058"/>
    <w:rsid w:val="00860B74"/>
    <w:rsid w:val="00860F82"/>
    <w:rsid w:val="0089011D"/>
    <w:rsid w:val="00907BE0"/>
    <w:rsid w:val="009168A3"/>
    <w:rsid w:val="009433B4"/>
    <w:rsid w:val="00956A74"/>
    <w:rsid w:val="009825DB"/>
    <w:rsid w:val="00993D7F"/>
    <w:rsid w:val="00997A12"/>
    <w:rsid w:val="00A504F1"/>
    <w:rsid w:val="00AB1556"/>
    <w:rsid w:val="00B069D4"/>
    <w:rsid w:val="00B10845"/>
    <w:rsid w:val="00B6337E"/>
    <w:rsid w:val="00BE5D11"/>
    <w:rsid w:val="00C330AA"/>
    <w:rsid w:val="00C45F47"/>
    <w:rsid w:val="00C53651"/>
    <w:rsid w:val="00C94799"/>
    <w:rsid w:val="00D37B61"/>
    <w:rsid w:val="00D53C63"/>
    <w:rsid w:val="00DF7F88"/>
    <w:rsid w:val="00E131C2"/>
    <w:rsid w:val="00E31358"/>
    <w:rsid w:val="00E44C26"/>
    <w:rsid w:val="00E571F3"/>
    <w:rsid w:val="00E577E1"/>
    <w:rsid w:val="00EE1438"/>
    <w:rsid w:val="00F101C4"/>
    <w:rsid w:val="00F32489"/>
    <w:rsid w:val="00F6106D"/>
    <w:rsid w:val="00FB0DE2"/>
    <w:rsid w:val="00FB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79587490817421B9C1D554B771B2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8E753-AD0D-4B6A-A400-0FB2172FEAEE}"/>
      </w:docPartPr>
      <w:docPartBody>
        <w:p w:rsidR="00264042" w:rsidRDefault="00D13089" w:rsidP="00D13089">
          <w:pPr>
            <w:pStyle w:val="279587490817421B9C1D554B771B21C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rebuchetMS-Bold">
    <w:charset w:val="00"/>
    <w:family w:val="auto"/>
    <w:pitch w:val="default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7ABF"/>
    <w:rsid w:val="00101611"/>
    <w:rsid w:val="00197ABF"/>
    <w:rsid w:val="00264042"/>
    <w:rsid w:val="0027468D"/>
    <w:rsid w:val="00475B43"/>
    <w:rsid w:val="00491C1C"/>
    <w:rsid w:val="006B62FD"/>
    <w:rsid w:val="0092264D"/>
    <w:rsid w:val="00A80254"/>
    <w:rsid w:val="00AB1487"/>
    <w:rsid w:val="00B47E71"/>
    <w:rsid w:val="00C73DCA"/>
    <w:rsid w:val="00D13089"/>
    <w:rsid w:val="00E1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3089"/>
    <w:rPr>
      <w:color w:val="808080"/>
    </w:rPr>
  </w:style>
  <w:style w:type="paragraph" w:customStyle="1" w:styleId="F263BF921AE941D3A8061FB2B699A181">
    <w:name w:val="F263BF921AE941D3A8061FB2B699A181"/>
    <w:rsid w:val="00197ABF"/>
  </w:style>
  <w:style w:type="paragraph" w:customStyle="1" w:styleId="83C51038B69E4D17B56C315C478568F0">
    <w:name w:val="83C51038B69E4D17B56C315C478568F0"/>
    <w:rsid w:val="00197ABF"/>
  </w:style>
  <w:style w:type="paragraph" w:customStyle="1" w:styleId="2134C64FD4ED484EB5F204C9FA81AEDE">
    <w:name w:val="2134C64FD4ED484EB5F204C9FA81AEDE"/>
    <w:rsid w:val="00C73DCA"/>
  </w:style>
  <w:style w:type="paragraph" w:customStyle="1" w:styleId="8978E00540124AE7B40FF9C06DDD1578">
    <w:name w:val="8978E00540124AE7B40FF9C06DDD1578"/>
    <w:rsid w:val="00C73DCA"/>
  </w:style>
  <w:style w:type="paragraph" w:customStyle="1" w:styleId="82EDF5679462455C8C6BA3AB016AB5E0">
    <w:name w:val="82EDF5679462455C8C6BA3AB016AB5E0"/>
    <w:rsid w:val="00C73DCA"/>
  </w:style>
  <w:style w:type="paragraph" w:customStyle="1" w:styleId="E21D97BD42604DB181518DC89A777DC9">
    <w:name w:val="E21D97BD42604DB181518DC89A777DC9"/>
    <w:rsid w:val="00C73DCA"/>
  </w:style>
  <w:style w:type="paragraph" w:customStyle="1" w:styleId="C4503AA253E145F293ACD76278DEA205">
    <w:name w:val="C4503AA253E145F293ACD76278DEA205"/>
    <w:rsid w:val="00C73DCA"/>
  </w:style>
  <w:style w:type="paragraph" w:customStyle="1" w:styleId="5A6BB976479048C898BFE2BB335A4CA2">
    <w:name w:val="5A6BB976479048C898BFE2BB335A4CA2"/>
    <w:rsid w:val="00C73DCA"/>
  </w:style>
  <w:style w:type="paragraph" w:customStyle="1" w:styleId="8794A1C293B243BB93D5ECE68AFEB047">
    <w:name w:val="8794A1C293B243BB93D5ECE68AFEB047"/>
    <w:rsid w:val="00C73DCA"/>
  </w:style>
  <w:style w:type="paragraph" w:customStyle="1" w:styleId="F7385E1E1D4C4DEC9388C0906CB8CEAD">
    <w:name w:val="F7385E1E1D4C4DEC9388C0906CB8CEAD"/>
    <w:rsid w:val="00C73DCA"/>
  </w:style>
  <w:style w:type="paragraph" w:customStyle="1" w:styleId="52444FC3884B40B4A72B4C94A5FD3D2F">
    <w:name w:val="52444FC3884B40B4A72B4C94A5FD3D2F"/>
    <w:rsid w:val="00C73DCA"/>
  </w:style>
  <w:style w:type="paragraph" w:customStyle="1" w:styleId="9EA5A1C747AE4D75A75BBB58BF0C9591">
    <w:name w:val="9EA5A1C747AE4D75A75BBB58BF0C9591"/>
    <w:rsid w:val="00C73DCA"/>
  </w:style>
  <w:style w:type="paragraph" w:customStyle="1" w:styleId="AAE6A16A6BED430FA1A16F94E0C3F17B">
    <w:name w:val="AAE6A16A6BED430FA1A16F94E0C3F17B"/>
    <w:rsid w:val="00C73DCA"/>
  </w:style>
  <w:style w:type="paragraph" w:customStyle="1" w:styleId="23490778F690495390FE228B885DC268">
    <w:name w:val="23490778F690495390FE228B885DC268"/>
    <w:rsid w:val="00C73DCA"/>
  </w:style>
  <w:style w:type="paragraph" w:customStyle="1" w:styleId="1DB6B0DD3B6C44D4973A525C20E247C3">
    <w:name w:val="1DB6B0DD3B6C44D4973A525C20E247C3"/>
    <w:rsid w:val="00C73DCA"/>
  </w:style>
  <w:style w:type="paragraph" w:customStyle="1" w:styleId="2C2B2F4745054E409F931FF734812771">
    <w:name w:val="2C2B2F4745054E409F931FF734812771"/>
    <w:rsid w:val="00C73DCA"/>
  </w:style>
  <w:style w:type="paragraph" w:customStyle="1" w:styleId="66FDF5AC04D945A8A01F42F7EEC17133">
    <w:name w:val="66FDF5AC04D945A8A01F42F7EEC17133"/>
    <w:rsid w:val="00C73DCA"/>
  </w:style>
  <w:style w:type="paragraph" w:customStyle="1" w:styleId="80290EB9BC2C4C299C66C5EDE99A9453">
    <w:name w:val="80290EB9BC2C4C299C66C5EDE99A9453"/>
    <w:rsid w:val="00C73DCA"/>
  </w:style>
  <w:style w:type="paragraph" w:customStyle="1" w:styleId="04102F9016D24C13AF6C745422679855">
    <w:name w:val="04102F9016D24C13AF6C745422679855"/>
    <w:rsid w:val="00C73DCA"/>
  </w:style>
  <w:style w:type="paragraph" w:customStyle="1" w:styleId="BC640BA96D3A4AA6B11A2BDD1F29AE91">
    <w:name w:val="BC640BA96D3A4AA6B11A2BDD1F29AE91"/>
    <w:rsid w:val="00D13089"/>
  </w:style>
  <w:style w:type="paragraph" w:customStyle="1" w:styleId="279587490817421B9C1D554B771B21C3">
    <w:name w:val="279587490817421B9C1D554B771B21C3"/>
    <w:rsid w:val="00D130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10334</Words>
  <Characters>5891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2020-02-05T16:01:00Z</dcterms:created>
  <dcterms:modified xsi:type="dcterms:W3CDTF">2023-07-13T06:22:00Z</dcterms:modified>
</cp:coreProperties>
</file>