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E51" w:rsidRPr="00ED18EB" w:rsidRDefault="00202E51" w:rsidP="00202E51">
      <w:pPr>
        <w:pStyle w:val="Header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18EB">
        <w:rPr>
          <w:rFonts w:ascii="Times New Roman" w:hAnsi="Times New Roman" w:cs="Times New Roman"/>
          <w:b/>
          <w:sz w:val="32"/>
          <w:szCs w:val="32"/>
        </w:rPr>
        <w:t>DAUGAVPILS UNIVERSITĀTES</w:t>
      </w:r>
    </w:p>
    <w:p w:rsidR="00202E51" w:rsidRPr="00ED18EB" w:rsidRDefault="00202E51" w:rsidP="00202E51">
      <w:pPr>
        <w:jc w:val="center"/>
        <w:rPr>
          <w:b/>
          <w:sz w:val="32"/>
          <w:szCs w:val="32"/>
          <w:lang w:val="de-DE"/>
        </w:rPr>
      </w:pPr>
      <w:r w:rsidRPr="00ED18EB">
        <w:rPr>
          <w:b/>
          <w:sz w:val="32"/>
          <w:szCs w:val="32"/>
        </w:rPr>
        <w:t>STUDIJU KURSA APRAKSTS</w:t>
      </w:r>
    </w:p>
    <w:p w:rsidR="00202E51" w:rsidRPr="00ED18EB" w:rsidRDefault="00202E51" w:rsidP="00202E51">
      <w:pPr>
        <w:shd w:val="clear" w:color="auto" w:fill="auto"/>
        <w:rPr>
          <w:szCs w:val="22"/>
        </w:rPr>
      </w:pPr>
    </w:p>
    <w:tbl>
      <w:tblPr>
        <w:tblStyle w:val="TableGrid"/>
        <w:tblW w:w="9320" w:type="dxa"/>
        <w:tblLook w:val="04A0" w:firstRow="1" w:lastRow="0" w:firstColumn="1" w:lastColumn="0" w:noHBand="0" w:noVBand="1"/>
      </w:tblPr>
      <w:tblGrid>
        <w:gridCol w:w="4218"/>
        <w:gridCol w:w="5102"/>
      </w:tblGrid>
      <w:tr w:rsidR="00202E51" w:rsidRPr="00ED18EB" w:rsidTr="005E54E7">
        <w:tc>
          <w:tcPr>
            <w:tcW w:w="4218" w:type="dxa"/>
          </w:tcPr>
          <w:p w:rsidR="00202E51" w:rsidRPr="00ED18EB" w:rsidRDefault="00202E51" w:rsidP="005E54E7">
            <w:pPr>
              <w:pStyle w:val="Nosaukumi"/>
            </w:pPr>
            <w:r w:rsidRPr="00ED18EB">
              <w:br w:type="page"/>
            </w:r>
            <w:r w:rsidRPr="00ED18EB">
              <w:br w:type="page"/>
            </w:r>
            <w:r w:rsidRPr="00ED18EB">
              <w:br w:type="page"/>
            </w:r>
            <w:r w:rsidRPr="00ED18EB">
              <w:br w:type="page"/>
            </w:r>
            <w:proofErr w:type="spellStart"/>
            <w:r w:rsidRPr="00ED18EB"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nosaukums</w:t>
            </w:r>
            <w:proofErr w:type="spellEnd"/>
          </w:p>
        </w:tc>
        <w:tc>
          <w:tcPr>
            <w:tcW w:w="5102" w:type="dxa"/>
            <w:vAlign w:val="center"/>
          </w:tcPr>
          <w:p w:rsidR="00202E51" w:rsidRPr="00ED18EB" w:rsidRDefault="00202E51" w:rsidP="005E54E7">
            <w:pPr>
              <w:pStyle w:val="Style1"/>
              <w:framePr w:wrap="around"/>
            </w:pPr>
            <w:bookmarkStart w:id="0" w:name="_Toc94194675"/>
            <w:bookmarkStart w:id="1" w:name="_Toc94237332"/>
            <w:bookmarkStart w:id="2" w:name="_Toc103773838"/>
            <w:bookmarkStart w:id="3" w:name="_Toc103779818"/>
            <w:proofErr w:type="spellStart"/>
            <w:r w:rsidRPr="00ED18EB">
              <w:t>Vokālais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ansamblis</w:t>
            </w:r>
            <w:proofErr w:type="spellEnd"/>
            <w:r w:rsidRPr="00ED18EB">
              <w:t xml:space="preserve"> II</w:t>
            </w:r>
            <w:bookmarkEnd w:id="0"/>
            <w:bookmarkEnd w:id="1"/>
            <w:bookmarkEnd w:id="2"/>
            <w:bookmarkEnd w:id="3"/>
          </w:p>
        </w:tc>
      </w:tr>
      <w:tr w:rsidR="00202E51" w:rsidRPr="00ED18EB" w:rsidTr="005E54E7">
        <w:tc>
          <w:tcPr>
            <w:tcW w:w="4218" w:type="dxa"/>
          </w:tcPr>
          <w:p w:rsidR="00202E51" w:rsidRPr="00ED18EB" w:rsidRDefault="00202E51" w:rsidP="005E54E7">
            <w:pPr>
              <w:pStyle w:val="Nosaukumi"/>
            </w:pPr>
            <w:proofErr w:type="spellStart"/>
            <w:r w:rsidRPr="00ED18EB"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kods</w:t>
            </w:r>
            <w:proofErr w:type="spellEnd"/>
            <w:r w:rsidRPr="00ED18EB">
              <w:t xml:space="preserve"> (DUIS)</w:t>
            </w:r>
          </w:p>
        </w:tc>
        <w:tc>
          <w:tcPr>
            <w:tcW w:w="5102" w:type="dxa"/>
            <w:vAlign w:val="center"/>
          </w:tcPr>
          <w:p w:rsidR="00202E51" w:rsidRPr="00ED18EB" w:rsidRDefault="00202E51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lang w:eastAsia="lv-LV"/>
              </w:rPr>
              <w:t>MākZ4453</w:t>
            </w:r>
          </w:p>
        </w:tc>
      </w:tr>
      <w:tr w:rsidR="00202E51" w:rsidRPr="00ED18EB" w:rsidTr="005E54E7">
        <w:tc>
          <w:tcPr>
            <w:tcW w:w="4218" w:type="dxa"/>
          </w:tcPr>
          <w:p w:rsidR="00202E51" w:rsidRPr="00ED18EB" w:rsidRDefault="00202E51" w:rsidP="005E54E7">
            <w:pPr>
              <w:pStyle w:val="Nosaukumi"/>
            </w:pPr>
            <w:proofErr w:type="spellStart"/>
            <w:r w:rsidRPr="00ED18EB">
              <w:t>Zinātnes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nozare</w:t>
            </w:r>
            <w:proofErr w:type="spellEnd"/>
          </w:p>
        </w:tc>
        <w:tc>
          <w:tcPr>
            <w:tcW w:w="5102" w:type="dxa"/>
          </w:tcPr>
          <w:p w:rsidR="00202E51" w:rsidRPr="00A8649B" w:rsidRDefault="00A8649B" w:rsidP="005E54E7">
            <w:pPr>
              <w:shd w:val="clear" w:color="auto" w:fill="auto"/>
            </w:pPr>
            <w:r w:rsidRPr="00A8649B">
              <w:t>Mākslas</w:t>
            </w:r>
            <w:sdt>
              <w:sdtPr>
                <w:rPr>
                  <w:vanish/>
                </w:rPr>
                <w:id w:val="-1602481931"/>
                <w:placeholder>
                  <w:docPart w:val="43F08952C88E48F5B7D276CE3D3B6B21"/>
                </w:placeholder>
                <w:comboBox>
                  <w:listItem w:value="Choose an item."/>
                  <w:listItem w:displayText="Antropoloģija" w:value="Antropoloģija"/>
                  <w:listItem w:displayText="Arhitektūra" w:value="Arhitektūra"/>
                  <w:listItem w:displayText="Astronomija" w:value="Astronomija"/>
                  <w:listItem w:displayText="Bioloģija" w:value="Bioloģija"/>
                  <w:listItem w:displayText="Būvzinātne" w:value="Būvzinātne"/>
                  <w:listItem w:displayText="Datorzinātne un informācijas tehnoloģijas" w:value="Datorzinātne un informācijas tehnoloģijas"/>
                  <w:listItem w:displayText="Datorzinātne" w:value="Datorzinātne"/>
                  <w:listItem w:displayText="Demogrāfija" w:value="Demogrāfija"/>
                  <w:listItem w:displayText="Ekonomika" w:value="Ekonomika"/>
                  <w:listItem w:displayText="Ekonomika un uzņēmējdarbība" w:value="Ekonomika un uzņēmējdarbība"/>
                  <w:listItem w:displayText="Elektronika un telekomunikācijas" w:value="Elektronika un telekomunikācijas"/>
                  <w:listItem w:displayText="Elektrotehnika" w:value="Elektrotehnika"/>
                  <w:listItem w:displayText="Enerģētika" w:value="Enerģētika"/>
                  <w:listItem w:displayText="Farmācija" w:value="Farmācija"/>
                  <w:listItem w:displayText="Filoloģija" w:value="Filoloģija"/>
                  <w:listItem w:displayText="Filozofija" w:value="Filozofija"/>
                  <w:listItem w:displayText="Fizika" w:value="Fizika"/>
                  <w:listItem w:displayText="Fizika un astronomija" w:value="Fizika un astronomija"/>
                  <w:listItem w:displayText="Folkloristika" w:value="Folkloristika"/>
                  <w:listItem w:displayText="Hidroinženierzinātne" w:value="Hidroinženierzinātne"/>
                  <w:listItem w:displayText="Informācijas tehnoloģija" w:value="Informācijas tehnoloģija"/>
                  <w:listItem w:displayText="Inženierzinātne" w:value="Inženierzinātne"/>
                  <w:listItem w:displayText="Izglītības zinātne" w:value="Izglītības zinātne"/>
                  <w:listItem w:displayText="Juridiskā zinātne" w:value="Juridiskā zinātne"/>
                  <w:listItem w:displayText="Kognitīvās zinātnes" w:value="Kognitīvās zinātnes"/>
                  <w:listItem w:displayText="Komunikācijas zinātne" w:value="Komunikācijas zinātne"/>
                  <w:listItem w:displayText="Lauksaimniecības zinātne" w:value="Lauksaimniecības zinātne"/>
                  <w:listItem w:displayText="Literatūrzinātne" w:value="Literatūrzinātne"/>
                  <w:listItem w:displayText="Matemātika" w:value="Matemātika"/>
                  <w:listItem w:displayText="Materiālzinātne" w:value="Materiālzinātne"/>
                  <w:listItem w:displayText="Mašīnzinātne" w:value="Mašīnzinātne"/>
                  <w:listItem w:displayText="Medicīna" w:value="Medicīna"/>
                  <w:listItem w:displayText="Mehānika" w:value="Mehānika"/>
                  <w:listItem w:displayText="Mežzinātne" w:value="Mežzinātne"/>
                  <w:listItem w:displayText="Militārā zinātne" w:value="Militārā zinātne"/>
                  <w:listItem w:displayText="Mākslas zinātne" w:value="Mākslas zinātne"/>
                  <w:listItem w:displayText="Pedagoģija" w:value="Pedagoģija"/>
                  <w:listItem w:displayText="Politikas zinātne (politoloģija)" w:value="Politikas zinātne (politoloģija)"/>
                  <w:listItem w:displayText="Psiholoģija" w:value="Psiholoģija"/>
                  <w:listItem w:displayText="Pārtikas zinātne" w:value="Pārtikas zinātne"/>
                  <w:listItem w:displayText="Redzes zinātne" w:value="Redzes zinātne"/>
                  <w:listItem w:displayText="Socioloģija" w:value="Socioloģija"/>
                  <w:listItem w:displayText="Sociālās un ekonomiskās ģeogrāfijas nozare" w:value="Sociālās un ekonomiskās ģeogrāfijas nozare"/>
                  <w:listItem w:displayText="Sporta zinātne" w:value="Sporta zinātne"/>
                  <w:listItem w:displayText="Starpnozaru" w:value="Starpnozaru"/>
                  <w:listItem w:displayText="Teoloģija un reliģiju zinātne" w:value="Teoloģija un reliģiju zinātne"/>
                  <w:listItem w:displayText="Tiesības" w:value="Tiesības"/>
                  <w:listItem w:displayText="Transports un satiksme" w:value="Transports un satiksme"/>
                  <w:listItem w:displayText="Vadībzinātne" w:value="Vadībzinātne"/>
                  <w:listItem w:displayText="Valodniecība" w:value="Valodniecība"/>
                  <w:listItem w:displayText="Veterinārmedicīna" w:value="Veterinārmedicīna"/>
                  <w:listItem w:displayText="Vides zinātne" w:value="Vides zinātne"/>
                  <w:listItem w:displayText="Vēsture" w:value="Vēsture"/>
                  <w:listItem w:displayText="Zemes zinātnes, fiziskā ģeogrāfija un vides zinātnes" w:value="Zemes zinātnes, fiziskā ģeogrāfija un vides zinātnes"/>
                  <w:listItem w:displayText="Ģeogrāfija" w:value="Ģeogrāfija"/>
                  <w:listItem w:displayText="Ģeoloģija" w:value="Ģeoloģija"/>
                  <w:listItem w:displayText="Ķīmija" w:value="Ķīmija"/>
                  <w:listItem w:displayText="Ķīmijas inženierzinātne" w:value="Ķīmijas inženierzinātne"/>
                </w:comboBox>
              </w:sdtPr>
              <w:sdtEndPr/>
              <w:sdtContent>
                <w:r w:rsidR="00202E51" w:rsidRPr="00A8649B">
                  <w:rPr>
                    <w:vanish/>
                  </w:rPr>
                  <w:t>Mākslas zinātne</w:t>
                </w:r>
              </w:sdtContent>
            </w:sdt>
          </w:p>
        </w:tc>
      </w:tr>
      <w:tr w:rsidR="00202E51" w:rsidRPr="00ED18EB" w:rsidTr="005E54E7">
        <w:tc>
          <w:tcPr>
            <w:tcW w:w="4218" w:type="dxa"/>
          </w:tcPr>
          <w:p w:rsidR="00202E51" w:rsidRPr="00ED18EB" w:rsidRDefault="00202E51" w:rsidP="005E54E7">
            <w:pPr>
              <w:pStyle w:val="Nosaukumi"/>
            </w:pP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līmenis</w:t>
            </w:r>
            <w:proofErr w:type="spellEnd"/>
          </w:p>
        </w:tc>
        <w:tc>
          <w:tcPr>
            <w:tcW w:w="5102" w:type="dxa"/>
          </w:tcPr>
          <w:p w:rsidR="00202E51" w:rsidRPr="00ED18EB" w:rsidRDefault="00202E51" w:rsidP="005E54E7">
            <w:pPr>
              <w:shd w:val="clear" w:color="auto" w:fill="auto"/>
              <w:rPr>
                <w:lang w:eastAsia="lv-LV"/>
              </w:rPr>
            </w:pPr>
            <w:r w:rsidRPr="00ED18EB">
              <w:t>4.</w:t>
            </w:r>
            <w:bookmarkStart w:id="4" w:name="_GoBack"/>
            <w:bookmarkEnd w:id="4"/>
          </w:p>
        </w:tc>
      </w:tr>
      <w:tr w:rsidR="00202E51" w:rsidRPr="00ED18EB" w:rsidTr="005E54E7">
        <w:tc>
          <w:tcPr>
            <w:tcW w:w="4218" w:type="dxa"/>
          </w:tcPr>
          <w:p w:rsidR="00202E51" w:rsidRPr="00ED18EB" w:rsidRDefault="00202E51" w:rsidP="005E54E7">
            <w:pPr>
              <w:pStyle w:val="Nosaukumi"/>
              <w:rPr>
                <w:u w:val="single"/>
              </w:rPr>
            </w:pPr>
            <w:proofErr w:type="spellStart"/>
            <w:r w:rsidRPr="00ED18EB">
              <w:t>Kredītpunkti</w:t>
            </w:r>
            <w:proofErr w:type="spellEnd"/>
          </w:p>
        </w:tc>
        <w:tc>
          <w:tcPr>
            <w:tcW w:w="5102" w:type="dxa"/>
            <w:vAlign w:val="center"/>
          </w:tcPr>
          <w:p w:rsidR="00202E51" w:rsidRPr="00ED18EB" w:rsidRDefault="00202E51" w:rsidP="005E54E7">
            <w:pPr>
              <w:shd w:val="clear" w:color="auto" w:fill="auto"/>
              <w:rPr>
                <w:lang w:eastAsia="lv-LV"/>
              </w:rPr>
            </w:pPr>
            <w:r w:rsidRPr="00ED18EB">
              <w:t>2</w:t>
            </w:r>
          </w:p>
        </w:tc>
      </w:tr>
      <w:tr w:rsidR="00202E51" w:rsidRPr="00ED18EB" w:rsidTr="005E54E7">
        <w:tc>
          <w:tcPr>
            <w:tcW w:w="4218" w:type="dxa"/>
          </w:tcPr>
          <w:p w:rsidR="00202E51" w:rsidRPr="00ED18EB" w:rsidRDefault="00202E51" w:rsidP="005E54E7">
            <w:pPr>
              <w:pStyle w:val="Nosaukumi"/>
              <w:rPr>
                <w:u w:val="single"/>
              </w:rPr>
            </w:pPr>
            <w:r w:rsidRPr="00ED18EB">
              <w:t xml:space="preserve">ECTS </w:t>
            </w:r>
            <w:proofErr w:type="spellStart"/>
            <w:r w:rsidRPr="00ED18EB">
              <w:t>kredītpunkti</w:t>
            </w:r>
            <w:proofErr w:type="spellEnd"/>
          </w:p>
        </w:tc>
        <w:tc>
          <w:tcPr>
            <w:tcW w:w="5102" w:type="dxa"/>
          </w:tcPr>
          <w:p w:rsidR="00202E51" w:rsidRPr="00ED18EB" w:rsidRDefault="00202E51" w:rsidP="005E54E7">
            <w:pPr>
              <w:shd w:val="clear" w:color="auto" w:fill="auto"/>
            </w:pPr>
            <w:r w:rsidRPr="00ED18EB">
              <w:t>3</w:t>
            </w:r>
          </w:p>
        </w:tc>
      </w:tr>
      <w:tr w:rsidR="00202E51" w:rsidRPr="00ED18EB" w:rsidTr="005E54E7">
        <w:tc>
          <w:tcPr>
            <w:tcW w:w="4218" w:type="dxa"/>
          </w:tcPr>
          <w:p w:rsidR="00202E51" w:rsidRPr="00ED18EB" w:rsidRDefault="00202E51" w:rsidP="005E54E7">
            <w:pPr>
              <w:pStyle w:val="Nosaukumi"/>
            </w:pPr>
            <w:proofErr w:type="spellStart"/>
            <w:r w:rsidRPr="00ED18EB">
              <w:t>Kopējais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kontaktstundu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skaits</w:t>
            </w:r>
            <w:proofErr w:type="spellEnd"/>
          </w:p>
        </w:tc>
        <w:tc>
          <w:tcPr>
            <w:tcW w:w="5102" w:type="dxa"/>
            <w:vAlign w:val="center"/>
          </w:tcPr>
          <w:p w:rsidR="00202E51" w:rsidRPr="00ED18EB" w:rsidRDefault="00202E51" w:rsidP="005E54E7">
            <w:pPr>
              <w:shd w:val="clear" w:color="auto" w:fill="auto"/>
              <w:rPr>
                <w:lang w:eastAsia="lv-LV"/>
              </w:rPr>
            </w:pPr>
            <w:r w:rsidRPr="00ED18EB">
              <w:t>32</w:t>
            </w:r>
          </w:p>
        </w:tc>
      </w:tr>
    </w:tbl>
    <w:tbl>
      <w:tblPr>
        <w:tblStyle w:val="TableGrid"/>
        <w:tblW w:w="9320" w:type="dxa"/>
        <w:tblLook w:val="04A0" w:firstRow="1" w:lastRow="0" w:firstColumn="1" w:lastColumn="0" w:noHBand="0" w:noVBand="1"/>
      </w:tblPr>
      <w:tblGrid>
        <w:gridCol w:w="4218"/>
        <w:gridCol w:w="5102"/>
      </w:tblGrid>
      <w:tr w:rsidR="00202E51" w:rsidRPr="00ED18EB" w:rsidTr="005E54E7">
        <w:tc>
          <w:tcPr>
            <w:tcW w:w="4218" w:type="dxa"/>
          </w:tcPr>
          <w:p w:rsidR="00202E51" w:rsidRPr="00ED18EB" w:rsidRDefault="00202E51" w:rsidP="005E54E7">
            <w:pPr>
              <w:pStyle w:val="Nosaukumi2"/>
              <w:framePr w:wrap="around"/>
              <w:rPr>
                <w:iCs/>
              </w:rPr>
            </w:pPr>
            <w:r w:rsidRPr="00ED18EB">
              <w:t>Lekciju stundu skaits</w:t>
            </w:r>
          </w:p>
        </w:tc>
        <w:tc>
          <w:tcPr>
            <w:tcW w:w="5102" w:type="dxa"/>
          </w:tcPr>
          <w:p w:rsidR="00202E51" w:rsidRPr="00ED18EB" w:rsidRDefault="00202E51" w:rsidP="005E54E7">
            <w:pPr>
              <w:shd w:val="clear" w:color="auto" w:fill="auto"/>
            </w:pPr>
            <w:r w:rsidRPr="00ED18EB">
              <w:t>–</w:t>
            </w:r>
          </w:p>
        </w:tc>
      </w:tr>
      <w:tr w:rsidR="00202E51" w:rsidRPr="00ED18EB" w:rsidTr="005E54E7">
        <w:tc>
          <w:tcPr>
            <w:tcW w:w="4218" w:type="dxa"/>
          </w:tcPr>
          <w:p w:rsidR="00202E51" w:rsidRPr="00ED18EB" w:rsidRDefault="00202E51" w:rsidP="005E54E7">
            <w:pPr>
              <w:pStyle w:val="Nosaukumi2"/>
              <w:framePr w:wrap="around"/>
              <w:rPr>
                <w:iCs/>
              </w:rPr>
            </w:pPr>
            <w:r w:rsidRPr="00ED18EB">
              <w:t>Semināru stundu skaits</w:t>
            </w:r>
          </w:p>
        </w:tc>
        <w:tc>
          <w:tcPr>
            <w:tcW w:w="5102" w:type="dxa"/>
          </w:tcPr>
          <w:p w:rsidR="00202E51" w:rsidRPr="00ED18EB" w:rsidRDefault="00202E51" w:rsidP="005E54E7">
            <w:pPr>
              <w:shd w:val="clear" w:color="auto" w:fill="auto"/>
            </w:pPr>
            <w:r w:rsidRPr="00ED18EB">
              <w:t>–</w:t>
            </w:r>
          </w:p>
        </w:tc>
      </w:tr>
      <w:tr w:rsidR="00202E51" w:rsidRPr="00ED18EB" w:rsidTr="005E54E7">
        <w:tc>
          <w:tcPr>
            <w:tcW w:w="4218" w:type="dxa"/>
          </w:tcPr>
          <w:p w:rsidR="00202E51" w:rsidRPr="00ED18EB" w:rsidRDefault="00202E51" w:rsidP="005E54E7">
            <w:pPr>
              <w:pStyle w:val="Nosaukumi2"/>
              <w:framePr w:wrap="around"/>
              <w:rPr>
                <w:iCs/>
              </w:rPr>
            </w:pPr>
            <w:r w:rsidRPr="00ED18EB">
              <w:t>Praktisko darbu stundu skaits</w:t>
            </w:r>
          </w:p>
        </w:tc>
        <w:tc>
          <w:tcPr>
            <w:tcW w:w="5102" w:type="dxa"/>
          </w:tcPr>
          <w:p w:rsidR="00202E51" w:rsidRPr="00ED18EB" w:rsidRDefault="00202E51" w:rsidP="005E54E7">
            <w:pPr>
              <w:shd w:val="clear" w:color="auto" w:fill="auto"/>
            </w:pPr>
            <w:r w:rsidRPr="00ED18EB">
              <w:t>32</w:t>
            </w:r>
          </w:p>
        </w:tc>
      </w:tr>
      <w:tr w:rsidR="00202E51" w:rsidRPr="00ED18EB" w:rsidTr="005E54E7">
        <w:tc>
          <w:tcPr>
            <w:tcW w:w="4218" w:type="dxa"/>
          </w:tcPr>
          <w:p w:rsidR="00202E51" w:rsidRPr="00ED18EB" w:rsidRDefault="00202E51" w:rsidP="005E54E7">
            <w:pPr>
              <w:pStyle w:val="Nosaukumi2"/>
              <w:framePr w:wrap="around"/>
              <w:rPr>
                <w:iCs/>
              </w:rPr>
            </w:pPr>
            <w:r w:rsidRPr="00ED18EB">
              <w:t>Individuālo darbu stundu skaits</w:t>
            </w:r>
          </w:p>
        </w:tc>
        <w:tc>
          <w:tcPr>
            <w:tcW w:w="5102" w:type="dxa"/>
          </w:tcPr>
          <w:p w:rsidR="00202E51" w:rsidRPr="00ED18EB" w:rsidRDefault="00202E51" w:rsidP="005E54E7">
            <w:pPr>
              <w:shd w:val="clear" w:color="auto" w:fill="auto"/>
            </w:pPr>
            <w:r w:rsidRPr="00ED18EB">
              <w:t>–</w:t>
            </w:r>
          </w:p>
        </w:tc>
      </w:tr>
      <w:tr w:rsidR="00202E51" w:rsidRPr="00ED18EB" w:rsidTr="005E54E7">
        <w:tc>
          <w:tcPr>
            <w:tcW w:w="4218" w:type="dxa"/>
          </w:tcPr>
          <w:p w:rsidR="00202E51" w:rsidRPr="00ED18EB" w:rsidRDefault="00202E51" w:rsidP="005E54E7">
            <w:pPr>
              <w:pStyle w:val="Nosaukumi2"/>
              <w:framePr w:wrap="around"/>
              <w:rPr>
                <w:lang w:eastAsia="lv-LV"/>
              </w:rPr>
            </w:pPr>
            <w:r w:rsidRPr="00ED18EB">
              <w:rPr>
                <w:lang w:eastAsia="lv-LV"/>
              </w:rPr>
              <w:t>Studējošā patstāvīgā darba stundu skaits</w:t>
            </w:r>
          </w:p>
        </w:tc>
        <w:tc>
          <w:tcPr>
            <w:tcW w:w="5102" w:type="dxa"/>
            <w:vAlign w:val="center"/>
          </w:tcPr>
          <w:p w:rsidR="00202E51" w:rsidRPr="00ED18EB" w:rsidRDefault="00202E51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lang w:eastAsia="lv-LV"/>
              </w:rPr>
              <w:t>48</w:t>
            </w:r>
          </w:p>
        </w:tc>
      </w:tr>
    </w:tbl>
    <w:tbl>
      <w:tblPr>
        <w:tblStyle w:val="TableGrid"/>
        <w:tblW w:w="9320" w:type="dxa"/>
        <w:tblLook w:val="04A0" w:firstRow="1" w:lastRow="0" w:firstColumn="1" w:lastColumn="0" w:noHBand="0" w:noVBand="1"/>
      </w:tblPr>
      <w:tblGrid>
        <w:gridCol w:w="9327"/>
      </w:tblGrid>
      <w:tr w:rsidR="00202E51" w:rsidRPr="00ED18EB" w:rsidTr="005E54E7">
        <w:tc>
          <w:tcPr>
            <w:tcW w:w="9320" w:type="dxa"/>
          </w:tcPr>
          <w:p w:rsidR="00202E51" w:rsidRPr="00ED18EB" w:rsidRDefault="00202E51" w:rsidP="005E54E7">
            <w:pPr>
              <w:shd w:val="clear" w:color="auto" w:fill="auto"/>
              <w:rPr>
                <w:lang w:eastAsia="lv-LV"/>
              </w:rPr>
            </w:pPr>
          </w:p>
        </w:tc>
      </w:tr>
      <w:tr w:rsidR="00202E51" w:rsidRPr="00ED18EB" w:rsidTr="005E54E7">
        <w:tc>
          <w:tcPr>
            <w:tcW w:w="9320" w:type="dxa"/>
          </w:tcPr>
          <w:p w:rsidR="00202E51" w:rsidRPr="00ED18EB" w:rsidRDefault="00202E51" w:rsidP="005E54E7">
            <w:pPr>
              <w:pStyle w:val="Nosaukumi"/>
            </w:pP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autors</w:t>
            </w:r>
            <w:proofErr w:type="spellEnd"/>
            <w:r w:rsidRPr="00ED18EB">
              <w:t>(–</w:t>
            </w:r>
            <w:proofErr w:type="spellStart"/>
            <w:r w:rsidRPr="00ED18EB">
              <w:t>i</w:t>
            </w:r>
            <w:proofErr w:type="spellEnd"/>
            <w:r w:rsidRPr="00ED18EB">
              <w:t>)</w:t>
            </w:r>
          </w:p>
        </w:tc>
      </w:tr>
      <w:tr w:rsidR="00202E51" w:rsidRPr="00ED18EB" w:rsidTr="005E54E7">
        <w:tc>
          <w:tcPr>
            <w:tcW w:w="9320" w:type="dxa"/>
          </w:tcPr>
          <w:p w:rsidR="00202E51" w:rsidRPr="00ED18EB" w:rsidRDefault="00202E51" w:rsidP="005E54E7">
            <w:pPr>
              <w:shd w:val="clear" w:color="auto" w:fill="auto"/>
            </w:pPr>
            <w:r w:rsidRPr="00ED18EB">
              <w:t xml:space="preserve">Dr.paed., asoc. profesors Edgars </w:t>
            </w:r>
            <w:proofErr w:type="spellStart"/>
            <w:r w:rsidRPr="00ED18EB">
              <w:t>Znutiņš</w:t>
            </w:r>
            <w:proofErr w:type="spellEnd"/>
          </w:p>
          <w:p w:rsidR="00202E51" w:rsidRPr="00ED18EB" w:rsidRDefault="00202E51" w:rsidP="005E54E7">
            <w:pPr>
              <w:shd w:val="clear" w:color="auto" w:fill="auto"/>
            </w:pPr>
          </w:p>
        </w:tc>
      </w:tr>
      <w:tr w:rsidR="00202E51" w:rsidRPr="00ED18EB" w:rsidTr="005E54E7">
        <w:tc>
          <w:tcPr>
            <w:tcW w:w="9320" w:type="dxa"/>
          </w:tcPr>
          <w:p w:rsidR="00202E51" w:rsidRPr="00ED18EB" w:rsidRDefault="00202E51" w:rsidP="005E54E7">
            <w:pPr>
              <w:pStyle w:val="Nosaukumi"/>
            </w:pP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docētājs</w:t>
            </w:r>
            <w:proofErr w:type="spellEnd"/>
            <w:r w:rsidRPr="00ED18EB">
              <w:t>(–</w:t>
            </w:r>
            <w:proofErr w:type="spellStart"/>
            <w:r w:rsidRPr="00ED18EB">
              <w:t>i</w:t>
            </w:r>
            <w:proofErr w:type="spellEnd"/>
            <w:r w:rsidRPr="00ED18EB">
              <w:t>)</w:t>
            </w:r>
          </w:p>
        </w:tc>
      </w:tr>
      <w:tr w:rsidR="00202E51" w:rsidRPr="00ED18EB" w:rsidTr="005E54E7">
        <w:tc>
          <w:tcPr>
            <w:tcW w:w="9320" w:type="dxa"/>
          </w:tcPr>
          <w:p w:rsidR="00202E51" w:rsidRPr="00ED18EB" w:rsidRDefault="00202E51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 xml:space="preserve">Dr.paed., asoc. profesors Edgars </w:t>
            </w:r>
            <w:proofErr w:type="spellStart"/>
            <w:r w:rsidRPr="00ED18EB">
              <w:t>Znutiņš</w:t>
            </w:r>
            <w:proofErr w:type="spellEnd"/>
          </w:p>
          <w:p w:rsidR="00202E51" w:rsidRPr="00ED18EB" w:rsidRDefault="00202E51" w:rsidP="005E54E7">
            <w:pPr>
              <w:shd w:val="clear" w:color="auto" w:fill="auto"/>
              <w:rPr>
                <w:bCs w:val="0"/>
                <w:iCs w:val="0"/>
              </w:rPr>
            </w:pPr>
            <w:proofErr w:type="spellStart"/>
            <w:r w:rsidRPr="00ED18EB">
              <w:t>Mg.art</w:t>
            </w:r>
            <w:proofErr w:type="spellEnd"/>
            <w:r w:rsidRPr="00ED18EB">
              <w:t xml:space="preserve">., asoc. profesore Ilona </w:t>
            </w:r>
            <w:proofErr w:type="spellStart"/>
            <w:r w:rsidRPr="00ED18EB">
              <w:t>Bagele</w:t>
            </w:r>
            <w:proofErr w:type="spellEnd"/>
          </w:p>
          <w:p w:rsidR="00202E51" w:rsidRPr="00ED18EB" w:rsidRDefault="00202E51" w:rsidP="005E54E7">
            <w:pPr>
              <w:shd w:val="clear" w:color="auto" w:fill="auto"/>
              <w:rPr>
                <w:b/>
                <w:i/>
              </w:rPr>
            </w:pPr>
            <w:proofErr w:type="spellStart"/>
            <w:r w:rsidRPr="00ED18EB">
              <w:t>Mg.art</w:t>
            </w:r>
            <w:proofErr w:type="spellEnd"/>
            <w:r w:rsidRPr="00ED18EB">
              <w:t xml:space="preserve">., </w:t>
            </w:r>
            <w:proofErr w:type="spellStart"/>
            <w:r w:rsidRPr="00ED18EB">
              <w:t>vieslektore</w:t>
            </w:r>
            <w:proofErr w:type="spellEnd"/>
            <w:r w:rsidRPr="00ED18EB">
              <w:t xml:space="preserve"> Jeļena </w:t>
            </w:r>
            <w:proofErr w:type="spellStart"/>
            <w:r w:rsidRPr="00ED18EB">
              <w:t>Borele</w:t>
            </w:r>
            <w:proofErr w:type="spellEnd"/>
          </w:p>
          <w:p w:rsidR="00202E51" w:rsidRPr="00ED18EB" w:rsidRDefault="00202E51" w:rsidP="005E54E7">
            <w:pPr>
              <w:shd w:val="clear" w:color="auto" w:fill="auto"/>
            </w:pPr>
          </w:p>
        </w:tc>
      </w:tr>
      <w:tr w:rsidR="00202E51" w:rsidRPr="00ED18EB" w:rsidTr="005E54E7">
        <w:tc>
          <w:tcPr>
            <w:tcW w:w="9320" w:type="dxa"/>
          </w:tcPr>
          <w:p w:rsidR="00202E51" w:rsidRPr="00ED18EB" w:rsidRDefault="00202E51" w:rsidP="005E54E7">
            <w:pPr>
              <w:pStyle w:val="Nosaukumi"/>
            </w:pPr>
            <w:proofErr w:type="spellStart"/>
            <w:r w:rsidRPr="00ED18EB">
              <w:t>Priekšzināšanas</w:t>
            </w:r>
            <w:proofErr w:type="spellEnd"/>
          </w:p>
        </w:tc>
      </w:tr>
      <w:tr w:rsidR="00202E51" w:rsidRPr="00ED18EB" w:rsidTr="005E54E7">
        <w:tc>
          <w:tcPr>
            <w:tcW w:w="9320" w:type="dxa"/>
          </w:tcPr>
          <w:p w:rsidR="00202E51" w:rsidRPr="00ED18EB" w:rsidRDefault="00202E51" w:rsidP="005E54E7">
            <w:pPr>
              <w:shd w:val="clear" w:color="auto" w:fill="auto"/>
              <w:jc w:val="both"/>
            </w:pPr>
            <w:r w:rsidRPr="00ED18EB">
              <w:t>MākZ4452 Vokālais ansamblis I</w:t>
            </w:r>
          </w:p>
          <w:p w:rsidR="00202E51" w:rsidRPr="00ED18EB" w:rsidRDefault="00202E51" w:rsidP="005E54E7">
            <w:pPr>
              <w:shd w:val="clear" w:color="auto" w:fill="auto"/>
              <w:jc w:val="both"/>
            </w:pPr>
          </w:p>
        </w:tc>
      </w:tr>
      <w:tr w:rsidR="00202E51" w:rsidRPr="00ED18EB" w:rsidTr="005E54E7">
        <w:tc>
          <w:tcPr>
            <w:tcW w:w="9320" w:type="dxa"/>
          </w:tcPr>
          <w:p w:rsidR="00202E51" w:rsidRPr="00ED18EB" w:rsidRDefault="00202E51" w:rsidP="005E54E7">
            <w:pPr>
              <w:pStyle w:val="Nosaukumi"/>
            </w:pPr>
            <w:proofErr w:type="spellStart"/>
            <w:r w:rsidRPr="00ED18EB"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anotācija</w:t>
            </w:r>
            <w:proofErr w:type="spellEnd"/>
          </w:p>
        </w:tc>
      </w:tr>
      <w:tr w:rsidR="00202E51" w:rsidRPr="00ED18EB" w:rsidTr="005E54E7">
        <w:tc>
          <w:tcPr>
            <w:tcW w:w="9320" w:type="dxa"/>
          </w:tcPr>
          <w:p w:rsidR="00202E51" w:rsidRPr="00ED18EB" w:rsidRDefault="00202E51" w:rsidP="005E54E7">
            <w:pPr>
              <w:shd w:val="clear" w:color="auto" w:fill="auto"/>
              <w:jc w:val="both"/>
            </w:pPr>
            <w:proofErr w:type="gramStart"/>
            <w:r w:rsidRPr="00ED18EB">
              <w:t>Kurss</w:t>
            </w:r>
            <w:proofErr w:type="gramEnd"/>
            <w:r w:rsidRPr="00ED18EB">
              <w:t xml:space="preserve"> paredzēts profesionālās bakalaura studiju programmas “Mūzika” profesionālās specializācijas moduļa “Akadēmiskā dziedāšana” studentiem.</w:t>
            </w:r>
          </w:p>
          <w:p w:rsidR="00202E51" w:rsidRPr="00ED18EB" w:rsidRDefault="00202E51" w:rsidP="005E54E7">
            <w:pPr>
              <w:shd w:val="clear" w:color="auto" w:fill="auto"/>
              <w:jc w:val="both"/>
              <w:rPr>
                <w:rStyle w:val="Style2Char"/>
              </w:rPr>
            </w:pPr>
          </w:p>
          <w:p w:rsidR="00202E51" w:rsidRPr="00ED18EB" w:rsidRDefault="00202E51" w:rsidP="005E54E7">
            <w:pPr>
              <w:shd w:val="clear" w:color="auto" w:fill="auto"/>
              <w:jc w:val="both"/>
            </w:pPr>
            <w:r w:rsidRPr="00ED18EB">
              <w:rPr>
                <w:rStyle w:val="Style2Char"/>
              </w:rPr>
              <w:t>Kursa mērķis:</w:t>
            </w:r>
            <w:r w:rsidRPr="00ED18EB">
              <w:rPr>
                <w:rFonts w:eastAsia="Lucida Sans Unicode"/>
              </w:rPr>
              <w:t xml:space="preserve"> </w:t>
            </w:r>
            <w:r w:rsidRPr="00ED18EB">
              <w:t>veicināt daudzbalsīgas dziedāšanas iemaņu un muzicēšanas ansamblī praktisko iemaņu veidošanos.</w:t>
            </w:r>
          </w:p>
          <w:p w:rsidR="00202E51" w:rsidRPr="00ED18EB" w:rsidRDefault="00202E51" w:rsidP="005E54E7">
            <w:pPr>
              <w:shd w:val="clear" w:color="auto" w:fill="auto"/>
              <w:jc w:val="both"/>
              <w:rPr>
                <w:rFonts w:eastAsia="Times New Roman"/>
                <w:lang w:val="pt-BR"/>
              </w:rPr>
            </w:pPr>
            <w:r w:rsidRPr="00ED18EB">
              <w:rPr>
                <w:rStyle w:val="Style2Char"/>
              </w:rPr>
              <w:t>Kursa uzdevumi</w:t>
            </w:r>
            <w:r w:rsidRPr="00ED18EB">
              <w:t xml:space="preserve"> aptver </w:t>
            </w:r>
            <w:r w:rsidRPr="00ED18EB">
              <w:rPr>
                <w:rFonts w:eastAsia="Times New Roman"/>
              </w:rPr>
              <w:t>daudzbalsīgas dziedāšanas īpatnību apgūšanu, studenta vokālās dzirdes attīstīšanu,</w:t>
            </w:r>
            <w:r w:rsidRPr="00ED18EB">
              <w:t xml:space="preserve"> ansambļa labskanības</w:t>
            </w:r>
            <w:r w:rsidRPr="00ED18EB">
              <w:rPr>
                <w:rFonts w:eastAsia="Times New Roman"/>
                <w:lang w:val="pt-BR"/>
              </w:rPr>
              <w:t xml:space="preserve"> attīstīšanas paņēmienu apzināšanu un skaņdarba mākslinieciskā izpildījuma veidošanu ansamblī.</w:t>
            </w:r>
          </w:p>
          <w:p w:rsidR="00202E51" w:rsidRPr="00ED18EB" w:rsidRDefault="00202E51" w:rsidP="005E54E7">
            <w:pPr>
              <w:shd w:val="clear" w:color="auto" w:fill="auto"/>
              <w:jc w:val="both"/>
              <w:rPr>
                <w:lang w:val="pt-BR"/>
              </w:rPr>
            </w:pPr>
          </w:p>
        </w:tc>
      </w:tr>
      <w:tr w:rsidR="00202E51" w:rsidRPr="00ED18EB" w:rsidTr="005E54E7">
        <w:trPr>
          <w:trHeight w:val="54"/>
        </w:trPr>
        <w:tc>
          <w:tcPr>
            <w:tcW w:w="9320" w:type="dxa"/>
          </w:tcPr>
          <w:p w:rsidR="00202E51" w:rsidRPr="00ED18EB" w:rsidRDefault="00202E51" w:rsidP="005E54E7">
            <w:pPr>
              <w:pStyle w:val="Nosaukumi"/>
            </w:pPr>
            <w:proofErr w:type="spellStart"/>
            <w:r w:rsidRPr="00ED18EB"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kalendārais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plāns</w:t>
            </w:r>
            <w:proofErr w:type="spellEnd"/>
          </w:p>
        </w:tc>
      </w:tr>
      <w:tr w:rsidR="00202E51" w:rsidRPr="00ED18EB" w:rsidTr="005E54E7">
        <w:trPr>
          <w:trHeight w:val="54"/>
        </w:trPr>
        <w:tc>
          <w:tcPr>
            <w:tcW w:w="9320" w:type="dxa"/>
          </w:tcPr>
          <w:p w:rsidR="00202E51" w:rsidRPr="00ED18EB" w:rsidRDefault="00202E51" w:rsidP="005E54E7">
            <w:pPr>
              <w:shd w:val="clear" w:color="auto" w:fill="auto"/>
            </w:pPr>
            <w:r w:rsidRPr="00ED18EB">
              <w:t>Kursa struktūra: praktiskie darbi (P) – 32 stundas; studentu patstāvīgais darbs (</w:t>
            </w:r>
            <w:proofErr w:type="spellStart"/>
            <w:r w:rsidRPr="00ED18EB">
              <w:t>Pd</w:t>
            </w:r>
            <w:proofErr w:type="spellEnd"/>
            <w:r w:rsidRPr="00ED18EB">
              <w:t>) – 48 stundas.</w:t>
            </w:r>
          </w:p>
          <w:p w:rsidR="00202E51" w:rsidRPr="00ED18EB" w:rsidRDefault="00202E51" w:rsidP="005E54E7">
            <w:pPr>
              <w:shd w:val="clear" w:color="auto" w:fill="auto"/>
            </w:pPr>
          </w:p>
          <w:tbl>
            <w:tblPr>
              <w:tblStyle w:val="TableGrid"/>
              <w:tblW w:w="9101" w:type="dxa"/>
              <w:tblLook w:val="04A0" w:firstRow="1" w:lastRow="0" w:firstColumn="1" w:lastColumn="0" w:noHBand="0" w:noVBand="1"/>
            </w:tblPr>
            <w:tblGrid>
              <w:gridCol w:w="2948"/>
              <w:gridCol w:w="1247"/>
              <w:gridCol w:w="907"/>
              <w:gridCol w:w="3999"/>
            </w:tblGrid>
            <w:tr w:rsidR="00202E51" w:rsidRPr="00ED18EB" w:rsidTr="005E54E7">
              <w:tc>
                <w:tcPr>
                  <w:tcW w:w="2948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Tematika</w:t>
                  </w:r>
                </w:p>
              </w:tc>
              <w:tc>
                <w:tcPr>
                  <w:tcW w:w="1247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Nodarbību veids</w:t>
                  </w:r>
                </w:p>
              </w:tc>
              <w:tc>
                <w:tcPr>
                  <w:tcW w:w="907" w:type="dxa"/>
                </w:tcPr>
                <w:p w:rsidR="00202E51" w:rsidRPr="00ED18EB" w:rsidRDefault="00202E51" w:rsidP="005E54E7">
                  <w:pPr>
                    <w:shd w:val="clear" w:color="auto" w:fill="auto"/>
                    <w:jc w:val="center"/>
                    <w:rPr>
                      <w:b/>
                      <w:bCs w:val="0"/>
                    </w:rPr>
                  </w:pPr>
                  <w:r w:rsidRPr="00ED18EB">
                    <w:rPr>
                      <w:b/>
                    </w:rPr>
                    <w:t>Stundu</w:t>
                  </w:r>
                </w:p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skaits</w:t>
                  </w:r>
                </w:p>
              </w:tc>
              <w:tc>
                <w:tcPr>
                  <w:tcW w:w="3999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Uzdevumi patstāvīgajam darbam</w:t>
                  </w:r>
                </w:p>
              </w:tc>
            </w:tr>
            <w:tr w:rsidR="00202E51" w:rsidRPr="00ED18EB" w:rsidTr="005E54E7">
              <w:tc>
                <w:tcPr>
                  <w:tcW w:w="9101" w:type="dxa"/>
                  <w:gridSpan w:val="4"/>
                </w:tcPr>
                <w:p w:rsidR="00202E51" w:rsidRPr="00ED18EB" w:rsidRDefault="00202E51" w:rsidP="005E54E7">
                  <w:pPr>
                    <w:shd w:val="clear" w:color="auto" w:fill="auto"/>
                    <w:jc w:val="center"/>
                  </w:pPr>
                  <w:r w:rsidRPr="00ED18EB">
                    <w:rPr>
                      <w:b/>
                    </w:rPr>
                    <w:t>VIII semestris (32 stundas)</w:t>
                  </w:r>
                </w:p>
              </w:tc>
            </w:tr>
            <w:tr w:rsidR="00202E51" w:rsidRPr="00ED18EB" w:rsidTr="005E54E7">
              <w:tc>
                <w:tcPr>
                  <w:tcW w:w="2948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Skaņdarbu izvēle darbam ar ansambli.</w:t>
                  </w:r>
                </w:p>
              </w:tc>
              <w:tc>
                <w:tcPr>
                  <w:tcW w:w="1247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P</w:t>
                  </w:r>
                </w:p>
              </w:tc>
              <w:tc>
                <w:tcPr>
                  <w:tcW w:w="907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Veikt iespējamo skaņdarbu atlasi darbam ar</w:t>
                  </w:r>
                  <w:proofErr w:type="gramStart"/>
                  <w:r w:rsidRPr="00ED18EB">
                    <w:t xml:space="preserve">  </w:t>
                  </w:r>
                  <w:proofErr w:type="gramEnd"/>
                  <w:r w:rsidRPr="00ED18EB">
                    <w:t>ansambli, pēc esošā dziedātāju balss materiāla.</w:t>
                  </w:r>
                </w:p>
              </w:tc>
            </w:tr>
            <w:tr w:rsidR="00202E51" w:rsidRPr="00ED18EB" w:rsidTr="005E54E7">
              <w:tc>
                <w:tcPr>
                  <w:tcW w:w="2948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 xml:space="preserve">Ansambļa darba mēģinājumu </w:t>
                  </w:r>
                  <w:r w:rsidRPr="00ED18EB">
                    <w:lastRenderedPageBreak/>
                    <w:t>plāns.</w:t>
                  </w:r>
                </w:p>
              </w:tc>
              <w:tc>
                <w:tcPr>
                  <w:tcW w:w="1247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lastRenderedPageBreak/>
                    <w:t>P</w:t>
                  </w:r>
                </w:p>
              </w:tc>
              <w:tc>
                <w:tcPr>
                  <w:tcW w:w="907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 xml:space="preserve">Izstrādāt kalendāro un tematisko plānu </w:t>
                  </w:r>
                  <w:r w:rsidRPr="00ED18EB">
                    <w:lastRenderedPageBreak/>
                    <w:t>darbam ar ansambli.</w:t>
                  </w:r>
                </w:p>
              </w:tc>
            </w:tr>
            <w:tr w:rsidR="00202E51" w:rsidRPr="00ED18EB" w:rsidTr="005E54E7">
              <w:tc>
                <w:tcPr>
                  <w:tcW w:w="2948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lastRenderedPageBreak/>
                    <w:t>Darbs pa balss grupām.</w:t>
                  </w:r>
                </w:p>
              </w:tc>
              <w:tc>
                <w:tcPr>
                  <w:tcW w:w="1247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P</w:t>
                  </w:r>
                </w:p>
              </w:tc>
              <w:tc>
                <w:tcPr>
                  <w:tcW w:w="907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6</w:t>
                  </w:r>
                </w:p>
              </w:tc>
              <w:tc>
                <w:tcPr>
                  <w:tcW w:w="3999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Apgūt savu balsi no galvas.</w:t>
                  </w:r>
                </w:p>
              </w:tc>
            </w:tr>
            <w:tr w:rsidR="00202E51" w:rsidRPr="00ED18EB" w:rsidTr="005E54E7">
              <w:tc>
                <w:tcPr>
                  <w:tcW w:w="2948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Homofoni harmonisku un polifonu kora skaņdarbu iestudēšanas paņēmieni.</w:t>
                  </w:r>
                </w:p>
              </w:tc>
              <w:tc>
                <w:tcPr>
                  <w:tcW w:w="1247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P</w:t>
                  </w:r>
                </w:p>
              </w:tc>
              <w:tc>
                <w:tcPr>
                  <w:tcW w:w="907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10</w:t>
                  </w:r>
                </w:p>
              </w:tc>
              <w:tc>
                <w:tcPr>
                  <w:tcW w:w="3999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Papildināt zināšanas par dažādu skaņdarbu apgūšanas paņēmienu būtību.</w:t>
                  </w:r>
                </w:p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rPr>
                      <w:lang w:val="de-DE"/>
                    </w:rPr>
                    <w:t xml:space="preserve">Allen, H. </w:t>
                  </w:r>
                  <w:r w:rsidRPr="00ED18EB">
                    <w:rPr>
                      <w:i/>
                      <w:lang w:val="de-DE"/>
                    </w:rPr>
                    <w:t>Chorleiter und Ensembleleiter</w:t>
                  </w:r>
                </w:p>
              </w:tc>
            </w:tr>
            <w:tr w:rsidR="00202E51" w:rsidRPr="00ED18EB" w:rsidTr="005E54E7">
              <w:tc>
                <w:tcPr>
                  <w:tcW w:w="2948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Skaņdarba mākslinieciskā izpildījuma veidošana.</w:t>
                  </w:r>
                </w:p>
              </w:tc>
              <w:tc>
                <w:tcPr>
                  <w:tcW w:w="1247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P</w:t>
                  </w:r>
                </w:p>
              </w:tc>
              <w:tc>
                <w:tcPr>
                  <w:tcW w:w="907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8</w:t>
                  </w:r>
                </w:p>
              </w:tc>
              <w:tc>
                <w:tcPr>
                  <w:tcW w:w="3999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Papildināt zināšanas par dažādu laikmetu skaņdarbu māksliniecisko izpildījumu.</w:t>
                  </w:r>
                </w:p>
              </w:tc>
            </w:tr>
            <w:tr w:rsidR="00202E51" w:rsidRPr="00ED18EB" w:rsidTr="005E54E7">
              <w:tc>
                <w:tcPr>
                  <w:tcW w:w="2948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Ansambļa sagatavošanās koncertam.</w:t>
                  </w:r>
                </w:p>
              </w:tc>
              <w:tc>
                <w:tcPr>
                  <w:tcW w:w="1247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P</w:t>
                  </w:r>
                </w:p>
              </w:tc>
              <w:tc>
                <w:tcPr>
                  <w:tcW w:w="907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202E51" w:rsidRPr="00ED18EB" w:rsidRDefault="00202E51" w:rsidP="005E54E7">
                  <w:pPr>
                    <w:shd w:val="clear" w:color="auto" w:fill="auto"/>
                    <w:overflowPunct w:val="0"/>
                    <w:textAlignment w:val="baseline"/>
                    <w:rPr>
                      <w:bCs w:val="0"/>
                      <w:iCs w:val="0"/>
                    </w:rPr>
                  </w:pPr>
                  <w:r w:rsidRPr="00ED18EB">
                    <w:t>Iepazīt literatūru par skatuves uztraukumu, tā pārvarēšanas iespējām.</w:t>
                  </w:r>
                </w:p>
                <w:p w:rsidR="00202E51" w:rsidRPr="00ED18EB" w:rsidRDefault="00202E51" w:rsidP="005E54E7">
                  <w:pPr>
                    <w:shd w:val="clear" w:color="auto" w:fill="auto"/>
                    <w:overflowPunct w:val="0"/>
                    <w:jc w:val="both"/>
                    <w:textAlignment w:val="baseline"/>
                    <w:rPr>
                      <w:bCs w:val="0"/>
                      <w:iCs w:val="0"/>
                    </w:rPr>
                  </w:pPr>
                  <w:r w:rsidRPr="00ED18EB">
                    <w:t xml:space="preserve">Ieteicamā literatūra: </w:t>
                  </w:r>
                </w:p>
                <w:p w:rsidR="00202E51" w:rsidRPr="00ED18EB" w:rsidRDefault="00202E51" w:rsidP="005E54E7">
                  <w:pPr>
                    <w:shd w:val="clear" w:color="auto" w:fill="auto"/>
                  </w:pPr>
                  <w:proofErr w:type="spellStart"/>
                  <w:r w:rsidRPr="00ED18EB">
                    <w:t>Hallam</w:t>
                  </w:r>
                  <w:proofErr w:type="spellEnd"/>
                  <w:r w:rsidRPr="00ED18EB">
                    <w:t xml:space="preserve"> </w:t>
                  </w:r>
                  <w:proofErr w:type="spellStart"/>
                  <w:r w:rsidRPr="00ED18EB">
                    <w:t>Susan</w:t>
                  </w:r>
                  <w:proofErr w:type="spellEnd"/>
                  <w:r w:rsidRPr="00ED18EB">
                    <w:t xml:space="preserve"> (2009) </w:t>
                  </w:r>
                  <w:proofErr w:type="spellStart"/>
                  <w:r w:rsidRPr="00ED18EB">
                    <w:rPr>
                      <w:i/>
                    </w:rPr>
                    <w:t>The</w:t>
                  </w:r>
                  <w:proofErr w:type="spellEnd"/>
                  <w:r w:rsidRPr="00ED18EB">
                    <w:rPr>
                      <w:i/>
                    </w:rPr>
                    <w:t xml:space="preserve"> </w:t>
                  </w:r>
                  <w:proofErr w:type="spellStart"/>
                  <w:r w:rsidRPr="00ED18EB">
                    <w:rPr>
                      <w:i/>
                    </w:rPr>
                    <w:t>Oxford</w:t>
                  </w:r>
                  <w:proofErr w:type="spellEnd"/>
                  <w:r w:rsidRPr="00ED18EB">
                    <w:rPr>
                      <w:i/>
                    </w:rPr>
                    <w:t xml:space="preserve"> </w:t>
                  </w:r>
                  <w:proofErr w:type="spellStart"/>
                  <w:r w:rsidRPr="00ED18EB">
                    <w:rPr>
                      <w:i/>
                    </w:rPr>
                    <w:t>handbook</w:t>
                  </w:r>
                  <w:proofErr w:type="spellEnd"/>
                  <w:r w:rsidRPr="00ED18EB">
                    <w:rPr>
                      <w:i/>
                    </w:rPr>
                    <w:t xml:space="preserve"> </w:t>
                  </w:r>
                  <w:proofErr w:type="spellStart"/>
                  <w:r w:rsidRPr="00ED18EB">
                    <w:rPr>
                      <w:i/>
                    </w:rPr>
                    <w:t>of</w:t>
                  </w:r>
                  <w:proofErr w:type="spellEnd"/>
                  <w:r w:rsidRPr="00ED18EB">
                    <w:rPr>
                      <w:i/>
                    </w:rPr>
                    <w:t xml:space="preserve"> </w:t>
                  </w:r>
                  <w:proofErr w:type="spellStart"/>
                  <w:r w:rsidRPr="00ED18EB">
                    <w:rPr>
                      <w:i/>
                    </w:rPr>
                    <w:t>music</w:t>
                  </w:r>
                  <w:proofErr w:type="spellEnd"/>
                  <w:r w:rsidRPr="00ED18EB">
                    <w:rPr>
                      <w:i/>
                    </w:rPr>
                    <w:t xml:space="preserve"> </w:t>
                  </w:r>
                  <w:proofErr w:type="spellStart"/>
                  <w:r w:rsidRPr="00ED18EB">
                    <w:rPr>
                      <w:i/>
                    </w:rPr>
                    <w:t>psychology</w:t>
                  </w:r>
                  <w:proofErr w:type="spellEnd"/>
                  <w:r w:rsidRPr="00ED18EB">
                    <w:rPr>
                      <w:i/>
                    </w:rPr>
                    <w:t>.</w:t>
                  </w:r>
                  <w:r w:rsidRPr="00ED18EB">
                    <w:t xml:space="preserve"> </w:t>
                  </w:r>
                </w:p>
              </w:tc>
            </w:tr>
            <w:tr w:rsidR="00202E51" w:rsidRPr="00ED18EB" w:rsidTr="005E54E7">
              <w:tc>
                <w:tcPr>
                  <w:tcW w:w="2948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Uzstāšanās un tās analīze.</w:t>
                  </w:r>
                </w:p>
              </w:tc>
              <w:tc>
                <w:tcPr>
                  <w:tcW w:w="1247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P</w:t>
                  </w:r>
                </w:p>
              </w:tc>
              <w:tc>
                <w:tcPr>
                  <w:tcW w:w="907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Argumentēt uzstāšanās rezultātus.</w:t>
                  </w:r>
                </w:p>
              </w:tc>
            </w:tr>
            <w:tr w:rsidR="00202E51" w:rsidRPr="00ED18EB" w:rsidTr="005E54E7">
              <w:tc>
                <w:tcPr>
                  <w:tcW w:w="2948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Eksāmens:</w:t>
                  </w:r>
                  <w:proofErr w:type="gramStart"/>
                  <w:r w:rsidRPr="00ED18EB">
                    <w:t xml:space="preserve">  </w:t>
                  </w:r>
                  <w:proofErr w:type="gramEnd"/>
                </w:p>
                <w:p w:rsidR="00202E51" w:rsidRPr="00ED18EB" w:rsidRDefault="00202E51" w:rsidP="005E54E7">
                  <w:pPr>
                    <w:shd w:val="clear" w:color="auto" w:fill="auto"/>
                    <w:rPr>
                      <w:lang w:val="sv-SE"/>
                    </w:rPr>
                  </w:pPr>
                  <w:r w:rsidRPr="00ED18EB">
                    <w:t>–</w:t>
                  </w:r>
                  <w:r w:rsidRPr="00ED18EB">
                    <w:rPr>
                      <w:lang w:val="sv-SE"/>
                    </w:rPr>
                    <w:t xml:space="preserve"> ansambļa vadīšanas darbs mēģinājumos – 50% no vērtējuma;</w:t>
                  </w:r>
                </w:p>
                <w:p w:rsidR="00202E51" w:rsidRPr="00ED18EB" w:rsidRDefault="00202E51" w:rsidP="005E54E7">
                  <w:pPr>
                    <w:shd w:val="clear" w:color="auto" w:fill="auto"/>
                    <w:rPr>
                      <w:lang w:val="sv-SE"/>
                    </w:rPr>
                  </w:pPr>
                  <w:r w:rsidRPr="00ED18EB">
                    <w:rPr>
                      <w:lang w:val="sv-SE"/>
                    </w:rPr>
                    <w:t>– skaņdarba atskaņošana koncertā – 50% no vērtējuma.</w:t>
                  </w:r>
                </w:p>
              </w:tc>
              <w:tc>
                <w:tcPr>
                  <w:tcW w:w="1247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Eksāmens</w:t>
                  </w:r>
                </w:p>
              </w:tc>
              <w:tc>
                <w:tcPr>
                  <w:tcW w:w="907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</w:p>
              </w:tc>
              <w:tc>
                <w:tcPr>
                  <w:tcW w:w="3999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Mērķtiecīgi veidot, projicēt mēģinājumu darbu ar izvēlēto skaņdarbu ansambļa nodarbībās, vadīt apgūtā skaņdarba atskaņošanu koncertā.</w:t>
                  </w:r>
                </w:p>
              </w:tc>
            </w:tr>
          </w:tbl>
          <w:p w:rsidR="00202E51" w:rsidRPr="00ED18EB" w:rsidRDefault="00202E51" w:rsidP="005E54E7">
            <w:pPr>
              <w:shd w:val="clear" w:color="auto" w:fill="auto"/>
            </w:pPr>
          </w:p>
        </w:tc>
      </w:tr>
    </w:tbl>
    <w:tbl>
      <w:tblPr>
        <w:tblStyle w:val="TableGrid"/>
        <w:tblpPr w:leftFromText="180" w:rightFromText="180" w:vertAnchor="text" w:horzAnchor="margin" w:tblpY="1"/>
        <w:tblW w:w="9320" w:type="dxa"/>
        <w:tblLayout w:type="fixed"/>
        <w:tblLook w:val="04A0" w:firstRow="1" w:lastRow="0" w:firstColumn="1" w:lastColumn="0" w:noHBand="0" w:noVBand="1"/>
      </w:tblPr>
      <w:tblGrid>
        <w:gridCol w:w="9320"/>
      </w:tblGrid>
      <w:tr w:rsidR="00202E51" w:rsidRPr="00ED18EB" w:rsidTr="005E54E7">
        <w:trPr>
          <w:trHeight w:val="54"/>
        </w:trPr>
        <w:tc>
          <w:tcPr>
            <w:tcW w:w="9320" w:type="dxa"/>
          </w:tcPr>
          <w:p w:rsidR="00202E51" w:rsidRPr="00ED18EB" w:rsidRDefault="00202E51" w:rsidP="005E54E7">
            <w:pPr>
              <w:pStyle w:val="Nosaukumi"/>
            </w:pPr>
            <w:proofErr w:type="spellStart"/>
            <w:r w:rsidRPr="00ED18EB">
              <w:lastRenderedPageBreak/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rezultāti</w:t>
            </w:r>
            <w:proofErr w:type="spellEnd"/>
          </w:p>
        </w:tc>
      </w:tr>
      <w:tr w:rsidR="00202E51" w:rsidRPr="00ED18EB" w:rsidTr="005E54E7">
        <w:trPr>
          <w:trHeight w:val="54"/>
        </w:trPr>
        <w:tc>
          <w:tcPr>
            <w:tcW w:w="9320" w:type="dxa"/>
            <w:shd w:val="clear" w:color="auto" w:fill="FFFFFF" w:themeFill="background1"/>
          </w:tcPr>
          <w:p w:rsidR="00202E51" w:rsidRPr="00ED18EB" w:rsidRDefault="00202E51" w:rsidP="005E54E7">
            <w:pPr>
              <w:pStyle w:val="Style2"/>
              <w:shd w:val="clear" w:color="auto" w:fill="auto"/>
            </w:pPr>
            <w:r w:rsidRPr="00ED18EB">
              <w:t>Zināšanas:</w:t>
            </w:r>
          </w:p>
          <w:p w:rsidR="00202E51" w:rsidRPr="00ED18EB" w:rsidRDefault="00202E51" w:rsidP="00202E51">
            <w:pPr>
              <w:pStyle w:val="ListParagraph"/>
              <w:rPr>
                <w:lang w:eastAsia="lv-LV"/>
              </w:rPr>
            </w:pPr>
            <w:r w:rsidRPr="00ED18EB">
              <w:rPr>
                <w:lang w:eastAsia="lv-LV"/>
              </w:rPr>
              <w:t>demonstrē zināšanas par ansambli, tā veidiem, raksturo ansambļa skaņojumu, tā sasniegšanas variantus;</w:t>
            </w:r>
          </w:p>
          <w:p w:rsidR="00202E51" w:rsidRPr="00ED18EB" w:rsidRDefault="00202E51" w:rsidP="00202E51">
            <w:pPr>
              <w:pStyle w:val="ListParagraph"/>
              <w:rPr>
                <w:lang w:eastAsia="lv-LV"/>
              </w:rPr>
            </w:pPr>
            <w:r w:rsidRPr="00ED18EB">
              <w:rPr>
                <w:lang w:eastAsia="lv-LV"/>
              </w:rPr>
              <w:t>raksturo dziedātāja balss uzbūvi, vokālās tehnikas pamatelementiem;</w:t>
            </w:r>
          </w:p>
          <w:p w:rsidR="00202E51" w:rsidRPr="00ED18EB" w:rsidRDefault="00202E51" w:rsidP="00202E51">
            <w:pPr>
              <w:pStyle w:val="ListParagraph"/>
              <w:rPr>
                <w:lang w:eastAsia="lv-LV"/>
              </w:rPr>
            </w:pPr>
            <w:r w:rsidRPr="00ED18EB">
              <w:rPr>
                <w:lang w:eastAsia="lv-LV"/>
              </w:rPr>
              <w:t>formulē galvenos vokālās partitūras analīzes aspektus;</w:t>
            </w:r>
          </w:p>
          <w:p w:rsidR="00202E51" w:rsidRPr="00ED18EB" w:rsidRDefault="00202E51" w:rsidP="00202E51">
            <w:pPr>
              <w:pStyle w:val="ListParagraph"/>
              <w:rPr>
                <w:lang w:eastAsia="lv-LV"/>
              </w:rPr>
            </w:pPr>
            <w:r w:rsidRPr="00ED18EB">
              <w:rPr>
                <w:lang w:eastAsia="lv-LV"/>
              </w:rPr>
              <w:t>raksturo būtiskākās iestudējamā skaņdarba stila un laikmeta iezīmes;</w:t>
            </w:r>
          </w:p>
          <w:p w:rsidR="00202E51" w:rsidRPr="00ED18EB" w:rsidRDefault="00202E51" w:rsidP="00202E51">
            <w:pPr>
              <w:pStyle w:val="ListParagraph"/>
              <w:rPr>
                <w:lang w:eastAsia="lv-LV"/>
              </w:rPr>
            </w:pPr>
            <w:r w:rsidRPr="00ED18EB">
              <w:rPr>
                <w:lang w:eastAsia="lv-LV"/>
              </w:rPr>
              <w:t>precīzi nosaka vokālajā partitūrā norādītos mūzikas izteiksmes līdzekļus.</w:t>
            </w:r>
          </w:p>
          <w:p w:rsidR="00202E51" w:rsidRPr="00ED18EB" w:rsidRDefault="00202E51" w:rsidP="005E54E7">
            <w:pPr>
              <w:pStyle w:val="Style2"/>
              <w:shd w:val="clear" w:color="auto" w:fill="auto"/>
            </w:pPr>
          </w:p>
          <w:p w:rsidR="00202E51" w:rsidRPr="00ED18EB" w:rsidRDefault="00202E51" w:rsidP="005E54E7">
            <w:pPr>
              <w:pStyle w:val="Style2"/>
            </w:pPr>
            <w:r w:rsidRPr="00ED18EB">
              <w:t>Prasmes:</w:t>
            </w:r>
          </w:p>
          <w:p w:rsidR="00202E51" w:rsidRPr="00ED18EB" w:rsidRDefault="00202E51" w:rsidP="00202E51">
            <w:pPr>
              <w:pStyle w:val="ListParagraph"/>
              <w:shd w:val="clear" w:color="auto" w:fill="FFFFFF" w:themeFill="background1"/>
            </w:pPr>
            <w:r w:rsidRPr="00ED18EB">
              <w:t>dziedāt dažādu laikmetu un stilu ansambļa balsi;</w:t>
            </w:r>
          </w:p>
          <w:p w:rsidR="00202E51" w:rsidRPr="00ED18EB" w:rsidRDefault="00202E51" w:rsidP="00202E51">
            <w:pPr>
              <w:pStyle w:val="ListParagraph"/>
              <w:shd w:val="clear" w:color="auto" w:fill="FFFFFF" w:themeFill="background1"/>
            </w:pPr>
            <w:r w:rsidRPr="00ED18EB">
              <w:t>iekļauties ansambļa skanējumā;</w:t>
            </w:r>
          </w:p>
          <w:p w:rsidR="00202E51" w:rsidRPr="00ED18EB" w:rsidRDefault="00202E51" w:rsidP="00202E51">
            <w:pPr>
              <w:pStyle w:val="ListParagraph"/>
              <w:shd w:val="clear" w:color="auto" w:fill="FFFFFF" w:themeFill="background1"/>
            </w:pPr>
            <w:r w:rsidRPr="00ED18EB">
              <w:t>izstrādāt ansambļa mēģinājuma plānu, veikt tā korekcijas;</w:t>
            </w:r>
          </w:p>
          <w:p w:rsidR="00202E51" w:rsidRPr="00ED18EB" w:rsidRDefault="00202E51" w:rsidP="00202E51">
            <w:pPr>
              <w:pStyle w:val="ListParagraph"/>
              <w:shd w:val="clear" w:color="auto" w:fill="FFFFFF" w:themeFill="background1"/>
            </w:pPr>
            <w:r w:rsidRPr="00ED18EB">
              <w:t>modelēt metodiskos paņēmienus konkrēta uzdevuma sasniegšanai mēģinājumā;</w:t>
            </w:r>
          </w:p>
          <w:p w:rsidR="00202E51" w:rsidRPr="00ED18EB" w:rsidRDefault="00202E51" w:rsidP="00202E51">
            <w:pPr>
              <w:pStyle w:val="ListParagraph"/>
              <w:shd w:val="clear" w:color="auto" w:fill="FFFFFF" w:themeFill="background1"/>
            </w:pPr>
            <w:r w:rsidRPr="00ED18EB">
              <w:t>pielietot praksē atbilstošus ansambļa vadīšanas paņēmienus un darba formas mēģinājumos.</w:t>
            </w:r>
          </w:p>
          <w:p w:rsidR="00202E51" w:rsidRPr="00ED18EB" w:rsidRDefault="00202E51" w:rsidP="005E54E7">
            <w:pPr>
              <w:pStyle w:val="Style2"/>
              <w:shd w:val="clear" w:color="auto" w:fill="auto"/>
            </w:pPr>
          </w:p>
          <w:p w:rsidR="00202E51" w:rsidRPr="00ED18EB" w:rsidRDefault="00202E51" w:rsidP="005E54E7">
            <w:pPr>
              <w:pStyle w:val="Style2"/>
              <w:shd w:val="clear" w:color="auto" w:fill="auto"/>
            </w:pPr>
            <w:r w:rsidRPr="00ED18EB">
              <w:t>Kompetence:</w:t>
            </w:r>
          </w:p>
          <w:p w:rsidR="00202E51" w:rsidRPr="00ED18EB" w:rsidRDefault="00202E51" w:rsidP="00202E51">
            <w:pPr>
              <w:pStyle w:val="ListParagraph"/>
              <w:numPr>
                <w:ilvl w:val="0"/>
                <w:numId w:val="2"/>
              </w:numPr>
              <w:ind w:left="170" w:hanging="170"/>
              <w:rPr>
                <w:lang w:val="en-GB"/>
              </w:rPr>
            </w:pPr>
            <w:proofErr w:type="spellStart"/>
            <w:r w:rsidRPr="00ED18EB">
              <w:rPr>
                <w:lang w:val="en-GB"/>
              </w:rPr>
              <w:t>diagnosticē</w:t>
            </w:r>
            <w:proofErr w:type="spellEnd"/>
            <w:r w:rsidRPr="00ED18EB">
              <w:rPr>
                <w:lang w:val="en-GB"/>
              </w:rPr>
              <w:t xml:space="preserve"> </w:t>
            </w:r>
            <w:proofErr w:type="spellStart"/>
            <w:r w:rsidRPr="00ED18EB">
              <w:rPr>
                <w:lang w:val="en-GB"/>
              </w:rPr>
              <w:t>dziedātāja</w:t>
            </w:r>
            <w:proofErr w:type="spellEnd"/>
            <w:r w:rsidRPr="00ED18EB">
              <w:rPr>
                <w:lang w:val="en-GB"/>
              </w:rPr>
              <w:t xml:space="preserve"> </w:t>
            </w:r>
            <w:proofErr w:type="spellStart"/>
            <w:r w:rsidRPr="00ED18EB">
              <w:rPr>
                <w:lang w:val="en-GB"/>
              </w:rPr>
              <w:t>balss</w:t>
            </w:r>
            <w:proofErr w:type="spellEnd"/>
            <w:r w:rsidRPr="00ED18EB">
              <w:rPr>
                <w:lang w:val="en-GB"/>
              </w:rPr>
              <w:t xml:space="preserve"> </w:t>
            </w:r>
            <w:proofErr w:type="spellStart"/>
            <w:r w:rsidRPr="00ED18EB">
              <w:rPr>
                <w:lang w:val="en-GB"/>
              </w:rPr>
              <w:t>diapazonu</w:t>
            </w:r>
            <w:proofErr w:type="spellEnd"/>
            <w:r w:rsidRPr="00ED18EB">
              <w:rPr>
                <w:lang w:val="en-GB"/>
              </w:rPr>
              <w:t>;</w:t>
            </w:r>
          </w:p>
          <w:p w:rsidR="00202E51" w:rsidRPr="00ED18EB" w:rsidRDefault="00202E51" w:rsidP="00202E51">
            <w:pPr>
              <w:pStyle w:val="ListParagraph"/>
              <w:numPr>
                <w:ilvl w:val="0"/>
                <w:numId w:val="2"/>
              </w:numPr>
              <w:ind w:left="170" w:hanging="170"/>
              <w:rPr>
                <w:lang w:val="en-GB"/>
              </w:rPr>
            </w:pPr>
            <w:proofErr w:type="spellStart"/>
            <w:r w:rsidRPr="00ED18EB">
              <w:rPr>
                <w:lang w:val="en-GB"/>
              </w:rPr>
              <w:t>nosaka</w:t>
            </w:r>
            <w:proofErr w:type="spellEnd"/>
            <w:r w:rsidRPr="00ED18EB">
              <w:rPr>
                <w:lang w:val="en-GB"/>
              </w:rPr>
              <w:t xml:space="preserve"> </w:t>
            </w:r>
            <w:proofErr w:type="spellStart"/>
            <w:r w:rsidRPr="00ED18EB">
              <w:rPr>
                <w:lang w:val="en-GB"/>
              </w:rPr>
              <w:t>dziedātāja</w:t>
            </w:r>
            <w:proofErr w:type="spellEnd"/>
            <w:r w:rsidRPr="00ED18EB">
              <w:rPr>
                <w:lang w:val="en-GB"/>
              </w:rPr>
              <w:t xml:space="preserve"> </w:t>
            </w:r>
            <w:proofErr w:type="spellStart"/>
            <w:r w:rsidRPr="00ED18EB">
              <w:rPr>
                <w:lang w:val="en-GB"/>
              </w:rPr>
              <w:t>atbilstību</w:t>
            </w:r>
            <w:proofErr w:type="spellEnd"/>
            <w:r w:rsidRPr="00ED18EB">
              <w:rPr>
                <w:lang w:val="en-GB"/>
              </w:rPr>
              <w:t xml:space="preserve"> </w:t>
            </w:r>
            <w:proofErr w:type="spellStart"/>
            <w:r w:rsidRPr="00ED18EB">
              <w:rPr>
                <w:lang w:val="en-GB"/>
              </w:rPr>
              <w:t>konkrētai</w:t>
            </w:r>
            <w:proofErr w:type="spellEnd"/>
            <w:r w:rsidRPr="00ED18EB">
              <w:rPr>
                <w:lang w:val="en-GB"/>
              </w:rPr>
              <w:t xml:space="preserve"> </w:t>
            </w:r>
            <w:proofErr w:type="spellStart"/>
            <w:r w:rsidRPr="00ED18EB">
              <w:rPr>
                <w:lang w:val="en-GB"/>
              </w:rPr>
              <w:t>balss</w:t>
            </w:r>
            <w:proofErr w:type="spellEnd"/>
            <w:r w:rsidRPr="00ED18EB">
              <w:rPr>
                <w:lang w:val="en-GB"/>
              </w:rPr>
              <w:t xml:space="preserve"> </w:t>
            </w:r>
            <w:proofErr w:type="spellStart"/>
            <w:r w:rsidRPr="00ED18EB">
              <w:rPr>
                <w:lang w:val="en-GB"/>
              </w:rPr>
              <w:t>grupai</w:t>
            </w:r>
            <w:proofErr w:type="spellEnd"/>
            <w:r w:rsidRPr="00ED18EB">
              <w:rPr>
                <w:lang w:val="en-GB"/>
              </w:rPr>
              <w:t>;</w:t>
            </w:r>
          </w:p>
          <w:p w:rsidR="00202E51" w:rsidRPr="00ED18EB" w:rsidRDefault="00202E51" w:rsidP="00202E51">
            <w:pPr>
              <w:pStyle w:val="ListParagraph"/>
              <w:numPr>
                <w:ilvl w:val="0"/>
                <w:numId w:val="2"/>
              </w:numPr>
              <w:ind w:left="170" w:hanging="170"/>
              <w:rPr>
                <w:lang w:val="sv-SE"/>
              </w:rPr>
            </w:pPr>
            <w:r w:rsidRPr="00ED18EB">
              <w:rPr>
                <w:lang w:val="sv-SE"/>
              </w:rPr>
              <w:t>pamato ansambļa izvietojuma efektivitāti atkarībā no skaņdarba faktūras, izpildītāju sastāva utml.;</w:t>
            </w:r>
          </w:p>
          <w:p w:rsidR="00202E51" w:rsidRPr="00ED18EB" w:rsidRDefault="00202E51" w:rsidP="00202E51">
            <w:pPr>
              <w:pStyle w:val="ListParagraph"/>
              <w:numPr>
                <w:ilvl w:val="0"/>
                <w:numId w:val="2"/>
              </w:numPr>
              <w:ind w:left="170" w:hanging="170"/>
              <w:rPr>
                <w:lang w:val="sv-SE"/>
              </w:rPr>
            </w:pPr>
            <w:r w:rsidRPr="00ED18EB">
              <w:rPr>
                <w:lang w:val="sv-SE"/>
              </w:rPr>
              <w:t>izveido iedziedāšanās kompleksu atbilstoši izvirzītajam mērķim (elpas balsta attīstība, dikcijas attīstība utml.);</w:t>
            </w:r>
          </w:p>
          <w:p w:rsidR="00202E51" w:rsidRPr="00ED18EB" w:rsidRDefault="00202E51" w:rsidP="00202E51">
            <w:pPr>
              <w:pStyle w:val="ListParagraph"/>
              <w:numPr>
                <w:ilvl w:val="0"/>
                <w:numId w:val="2"/>
              </w:numPr>
              <w:ind w:left="170" w:hanging="170"/>
              <w:rPr>
                <w:lang w:val="sv-SE"/>
              </w:rPr>
            </w:pPr>
            <w:r w:rsidRPr="00ED18EB">
              <w:rPr>
                <w:lang w:val="sv-SE"/>
              </w:rPr>
              <w:t xml:space="preserve">nosaka attiecīga vokālās mūzikas attīstības posma raksturīgās pazīmes; </w:t>
            </w:r>
          </w:p>
          <w:p w:rsidR="00202E51" w:rsidRPr="00ED18EB" w:rsidRDefault="00202E51" w:rsidP="00202E51">
            <w:pPr>
              <w:pStyle w:val="ListParagraph"/>
              <w:numPr>
                <w:ilvl w:val="0"/>
                <w:numId w:val="2"/>
              </w:numPr>
              <w:ind w:left="170" w:hanging="170"/>
              <w:rPr>
                <w:lang w:val="sv-SE"/>
              </w:rPr>
            </w:pPr>
            <w:r w:rsidRPr="00ED18EB">
              <w:rPr>
                <w:lang w:val="sv-SE"/>
              </w:rPr>
              <w:t>veic skaņdarba māksliniecisko analīzi darbam ar ansambli.</w:t>
            </w:r>
          </w:p>
          <w:p w:rsidR="00202E51" w:rsidRPr="00ED18EB" w:rsidRDefault="00202E51" w:rsidP="005E54E7">
            <w:pPr>
              <w:shd w:val="clear" w:color="auto" w:fill="auto"/>
              <w:rPr>
                <w:lang w:val="sv-SE"/>
              </w:rPr>
            </w:pPr>
          </w:p>
        </w:tc>
      </w:tr>
      <w:tr w:rsidR="00202E51" w:rsidRPr="00ED18EB" w:rsidTr="005E54E7">
        <w:trPr>
          <w:trHeight w:val="54"/>
        </w:trPr>
        <w:tc>
          <w:tcPr>
            <w:tcW w:w="9320" w:type="dxa"/>
          </w:tcPr>
          <w:p w:rsidR="00202E51" w:rsidRPr="00ED18EB" w:rsidRDefault="00202E51" w:rsidP="005E54E7">
            <w:pPr>
              <w:pStyle w:val="Nosaukumi"/>
              <w:rPr>
                <w:lang w:val="lv-LV"/>
              </w:rPr>
            </w:pPr>
            <w:r w:rsidRPr="00ED18EB">
              <w:rPr>
                <w:lang w:val="lv-LV"/>
              </w:rPr>
              <w:t>Studējošo patstāvīgo darbu organizācijas un uzdevumu raksturojums</w:t>
            </w:r>
          </w:p>
        </w:tc>
      </w:tr>
      <w:tr w:rsidR="00202E51" w:rsidRPr="00ED18EB" w:rsidTr="005E54E7">
        <w:trPr>
          <w:trHeight w:val="58"/>
        </w:trPr>
        <w:tc>
          <w:tcPr>
            <w:tcW w:w="9320" w:type="dxa"/>
          </w:tcPr>
          <w:p w:rsidR="00202E51" w:rsidRPr="00ED18EB" w:rsidRDefault="00202E51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>Studējošo patstāvīgais darbs (</w:t>
            </w:r>
            <w:proofErr w:type="spellStart"/>
            <w:r w:rsidRPr="00ED18EB">
              <w:t>Pd</w:t>
            </w:r>
            <w:proofErr w:type="spellEnd"/>
            <w:r w:rsidRPr="00ED18EB">
              <w:t>) 48 stundas tiek organizēts individuāli:</w:t>
            </w:r>
          </w:p>
          <w:p w:rsidR="00202E51" w:rsidRPr="00ED18EB" w:rsidRDefault="00202E51" w:rsidP="005E54E7">
            <w:pPr>
              <w:shd w:val="clear" w:color="auto" w:fill="auto"/>
            </w:pPr>
          </w:p>
          <w:p w:rsidR="00202E51" w:rsidRPr="00ED18EB" w:rsidRDefault="00202E51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>Patstāvīgie uzdevumi:</w:t>
            </w:r>
          </w:p>
          <w:p w:rsidR="00202E51" w:rsidRPr="00ED18EB" w:rsidRDefault="00202E51" w:rsidP="00202E51">
            <w:pPr>
              <w:pStyle w:val="ListParagraph"/>
            </w:pPr>
            <w:r w:rsidRPr="00ED18EB">
              <w:t>programmas skaņdarbu patstāvīga analīze un apguve;</w:t>
            </w:r>
          </w:p>
          <w:p w:rsidR="00202E51" w:rsidRPr="00ED18EB" w:rsidRDefault="00202E51" w:rsidP="00202E51">
            <w:pPr>
              <w:pStyle w:val="ListParagraph"/>
              <w:rPr>
                <w:bCs/>
                <w:iCs/>
              </w:rPr>
            </w:pPr>
            <w:r w:rsidRPr="00ED18EB">
              <w:t>tehniskās meistarības pilnveide;</w:t>
            </w:r>
          </w:p>
          <w:p w:rsidR="00202E51" w:rsidRPr="00ED18EB" w:rsidRDefault="00202E51" w:rsidP="00202E51">
            <w:pPr>
              <w:pStyle w:val="ListParagraph"/>
              <w:rPr>
                <w:bCs/>
                <w:iCs/>
              </w:rPr>
            </w:pPr>
            <w:r w:rsidRPr="00ED18EB">
              <w:t>iepazīšanās ar dažādām interpretācijām izmantojot video un audio materiālus, to salīdzināšana un izvērtēšana.</w:t>
            </w:r>
          </w:p>
          <w:p w:rsidR="00202E51" w:rsidRPr="00ED18EB" w:rsidRDefault="00202E51" w:rsidP="005E54E7">
            <w:pPr>
              <w:shd w:val="clear" w:color="auto" w:fill="auto"/>
            </w:pPr>
          </w:p>
        </w:tc>
      </w:tr>
      <w:tr w:rsidR="00202E51" w:rsidRPr="00ED18EB" w:rsidTr="005E54E7">
        <w:tc>
          <w:tcPr>
            <w:tcW w:w="9320" w:type="dxa"/>
          </w:tcPr>
          <w:p w:rsidR="00202E51" w:rsidRPr="00ED18EB" w:rsidRDefault="00202E51" w:rsidP="005E54E7">
            <w:pPr>
              <w:pStyle w:val="Nosaukumi"/>
            </w:pPr>
            <w:proofErr w:type="spellStart"/>
            <w:r w:rsidRPr="00ED18EB">
              <w:lastRenderedPageBreak/>
              <w:t>Prasības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kredītpunktu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iegūšanai</w:t>
            </w:r>
            <w:proofErr w:type="spellEnd"/>
          </w:p>
        </w:tc>
      </w:tr>
      <w:tr w:rsidR="00202E51" w:rsidRPr="00ED18EB" w:rsidTr="005E54E7">
        <w:tc>
          <w:tcPr>
            <w:tcW w:w="9320" w:type="dxa"/>
          </w:tcPr>
          <w:p w:rsidR="00202E51" w:rsidRPr="00ED18EB" w:rsidRDefault="00202E51" w:rsidP="005E54E7">
            <w:pPr>
              <w:shd w:val="clear" w:color="auto" w:fill="auto"/>
              <w:rPr>
                <w:rFonts w:eastAsia="Times New Roman"/>
                <w:lang w:val="sv-SE"/>
              </w:rPr>
            </w:pPr>
            <w:r w:rsidRPr="00ED18EB">
              <w:t xml:space="preserve">Studiju kursa apguves </w:t>
            </w:r>
            <w:r w:rsidRPr="00ED18EB">
              <w:rPr>
                <w:rStyle w:val="Style2Char"/>
              </w:rPr>
              <w:t>pārbaudes forma</w:t>
            </w:r>
            <w:r w:rsidRPr="00ED18EB">
              <w:rPr>
                <w:rFonts w:eastAsia="Times New Roman"/>
                <w:lang w:val="sv-SE"/>
              </w:rPr>
              <w:t>: eksāmens</w:t>
            </w:r>
          </w:p>
          <w:p w:rsidR="00202E51" w:rsidRPr="00ED18EB" w:rsidRDefault="00202E51" w:rsidP="005E54E7">
            <w:pPr>
              <w:shd w:val="clear" w:color="auto" w:fill="auto"/>
              <w:rPr>
                <w:rFonts w:eastAsia="Times New Roman"/>
                <w:lang w:val="sv-SE"/>
              </w:rPr>
            </w:pPr>
          </w:p>
          <w:p w:rsidR="00202E51" w:rsidRPr="00ED18EB" w:rsidRDefault="00202E51" w:rsidP="005E54E7">
            <w:pPr>
              <w:shd w:val="clear" w:color="auto" w:fill="auto"/>
              <w:jc w:val="both"/>
            </w:pPr>
            <w:r w:rsidRPr="00ED18EB">
              <w:t xml:space="preserve">Studiju kursa apguve tiek vērtēta 10 ballu skalā saskaņā ar Latvijas Republikas normatīvajiem aktiem un atbilstoši "Nolikumam par studijām Daugavpils Universitātē" </w:t>
            </w:r>
            <w:proofErr w:type="gramStart"/>
            <w:r w:rsidRPr="00ED18EB">
              <w:t>(</w:t>
            </w:r>
            <w:proofErr w:type="gramEnd"/>
            <w:r w:rsidRPr="00ED18EB">
              <w:t>apstiprināts DU Senāta sēdē 17.12.2018., protokols Nr. 15).</w:t>
            </w:r>
          </w:p>
          <w:p w:rsidR="00202E51" w:rsidRPr="00ED18EB" w:rsidRDefault="00202E51" w:rsidP="005E54E7">
            <w:pPr>
              <w:shd w:val="clear" w:color="auto" w:fill="auto"/>
              <w:rPr>
                <w:rFonts w:eastAsia="Times New Roman"/>
                <w:lang w:val="sv-SE"/>
              </w:rPr>
            </w:pPr>
          </w:p>
          <w:p w:rsidR="00202E51" w:rsidRPr="00ED18EB" w:rsidRDefault="00202E51" w:rsidP="005E54E7">
            <w:pPr>
              <w:shd w:val="clear" w:color="auto" w:fill="auto"/>
              <w:rPr>
                <w:rFonts w:eastAsia="Times New Roman"/>
                <w:lang w:val="sv-SE"/>
              </w:rPr>
            </w:pPr>
            <w:r w:rsidRPr="00ED18EB">
              <w:rPr>
                <w:rFonts w:eastAsia="Times New Roman"/>
                <w:lang w:val="sv-SE"/>
              </w:rPr>
              <w:t>Sekmīgs darbs ansambļa mēģinājumos; ansmbļa vadītāja funkciju izpilde; savas balss vienbalsīgs atskaņojums; uzstāšanās koncertos un to analīze.</w:t>
            </w:r>
          </w:p>
          <w:p w:rsidR="00202E51" w:rsidRPr="00ED18EB" w:rsidRDefault="00202E51" w:rsidP="005E54E7">
            <w:pPr>
              <w:shd w:val="clear" w:color="auto" w:fill="auto"/>
              <w:jc w:val="both"/>
              <w:rPr>
                <w:lang w:val="sv-SE"/>
              </w:rPr>
            </w:pPr>
          </w:p>
          <w:p w:rsidR="00202E51" w:rsidRPr="00ED18EB" w:rsidRDefault="00202E51" w:rsidP="005E54E7">
            <w:pPr>
              <w:shd w:val="clear" w:color="auto" w:fill="auto"/>
              <w:jc w:val="both"/>
            </w:pPr>
            <w:r w:rsidRPr="00ED18EB">
              <w:t>Izmantojamās studiju formas – praktiskās nodarbības, dalība akadēmiskajā koncertā, dalība koncertā, diskusijas, pārrunas, eksāmens. Kursu apgūst latviešu vai angļu valodā.</w:t>
            </w:r>
          </w:p>
          <w:p w:rsidR="00202E51" w:rsidRPr="00ED18EB" w:rsidRDefault="00202E51" w:rsidP="005E54E7">
            <w:pPr>
              <w:shd w:val="clear" w:color="auto" w:fill="auto"/>
              <w:jc w:val="both"/>
            </w:pPr>
          </w:p>
          <w:p w:rsidR="00202E51" w:rsidRPr="00ED18EB" w:rsidRDefault="00202E51" w:rsidP="005E54E7">
            <w:pPr>
              <w:pStyle w:val="Style2"/>
              <w:shd w:val="clear" w:color="auto" w:fill="auto"/>
            </w:pPr>
            <w:r w:rsidRPr="00ED18EB">
              <w:t xml:space="preserve">Pārbaudījumu prasības: </w:t>
            </w:r>
          </w:p>
          <w:p w:rsidR="00202E51" w:rsidRPr="00ED18EB" w:rsidRDefault="00202E51" w:rsidP="005E54E7">
            <w:pPr>
              <w:shd w:val="clear" w:color="auto" w:fill="auto"/>
              <w:jc w:val="both"/>
            </w:pPr>
            <w:r w:rsidRPr="00ED18EB">
              <w:t xml:space="preserve">Atskaņot no galvas programmas. </w:t>
            </w:r>
          </w:p>
          <w:p w:rsidR="00202E51" w:rsidRPr="00ED18EB" w:rsidRDefault="00202E51" w:rsidP="005E54E7">
            <w:pPr>
              <w:shd w:val="clear" w:color="auto" w:fill="auto"/>
            </w:pPr>
            <w:r w:rsidRPr="00ED18EB">
              <w:t>Eksāmens VIII semestris:</w:t>
            </w:r>
          </w:p>
          <w:p w:rsidR="00202E51" w:rsidRPr="00ED18EB" w:rsidRDefault="00202E51" w:rsidP="005E54E7">
            <w:pPr>
              <w:shd w:val="clear" w:color="auto" w:fill="auto"/>
              <w:rPr>
                <w:lang w:val="sv-SE"/>
              </w:rPr>
            </w:pPr>
            <w:r w:rsidRPr="00ED18EB">
              <w:t>–</w:t>
            </w:r>
            <w:r w:rsidRPr="00ED18EB">
              <w:rPr>
                <w:lang w:val="sv-SE"/>
              </w:rPr>
              <w:t xml:space="preserve"> ansambļa vadīšanas darbs mēģinājumos – 50% no vērtējuma;</w:t>
            </w:r>
          </w:p>
          <w:p w:rsidR="00202E51" w:rsidRPr="00ED18EB" w:rsidRDefault="00202E51" w:rsidP="005E54E7">
            <w:pPr>
              <w:shd w:val="clear" w:color="auto" w:fill="auto"/>
              <w:rPr>
                <w:lang w:val="sv-SE"/>
              </w:rPr>
            </w:pPr>
            <w:r w:rsidRPr="00ED18EB">
              <w:rPr>
                <w:lang w:val="sv-SE"/>
              </w:rPr>
              <w:t>– skaņdarba atskaņošana koncertā – 50% no vērtējuma;</w:t>
            </w:r>
          </w:p>
          <w:p w:rsidR="00202E51" w:rsidRPr="00ED18EB" w:rsidRDefault="00202E51" w:rsidP="005E54E7">
            <w:pPr>
              <w:shd w:val="clear" w:color="auto" w:fill="auto"/>
              <w:rPr>
                <w:lang w:val="sv-SE"/>
              </w:rPr>
            </w:pPr>
          </w:p>
          <w:p w:rsidR="00202E51" w:rsidRPr="00ED18EB" w:rsidRDefault="00202E51" w:rsidP="005E54E7">
            <w:pPr>
              <w:shd w:val="clear" w:color="auto" w:fill="auto"/>
              <w:contextualSpacing/>
            </w:pPr>
            <w:r w:rsidRPr="00ED18EB">
              <w:t>Vērtēšanas forma:</w:t>
            </w:r>
            <w:r w:rsidRPr="00ED18EB">
              <w:rPr>
                <w:b/>
              </w:rPr>
              <w:t xml:space="preserve"> </w:t>
            </w:r>
            <w:r w:rsidRPr="00ED18EB">
              <w:t>praktiska (programmas skaņdarbu atskaņošana), mutiska (diskusijas, pārrunas).</w:t>
            </w:r>
          </w:p>
          <w:p w:rsidR="00202E51" w:rsidRPr="00ED18EB" w:rsidRDefault="00202E51" w:rsidP="005E54E7">
            <w:pPr>
              <w:shd w:val="clear" w:color="auto" w:fill="auto"/>
              <w:contextualSpacing/>
            </w:pPr>
          </w:p>
          <w:p w:rsidR="00202E51" w:rsidRPr="00ED18EB" w:rsidRDefault="00202E51" w:rsidP="005E54E7">
            <w:pPr>
              <w:pStyle w:val="Style2"/>
              <w:shd w:val="clear" w:color="auto" w:fill="auto"/>
            </w:pPr>
            <w:r w:rsidRPr="00ED18EB">
              <w:t>Vērtēšanas kritēriji:</w:t>
            </w:r>
          </w:p>
          <w:p w:rsidR="00202E51" w:rsidRPr="00ED18EB" w:rsidRDefault="00202E51" w:rsidP="005E54E7">
            <w:pPr>
              <w:shd w:val="clear" w:color="auto" w:fill="auto"/>
              <w:rPr>
                <w:b/>
              </w:rPr>
            </w:pPr>
            <w:r w:rsidRPr="00ED18EB">
              <w:t xml:space="preserve">Studenta kompetenci </w:t>
            </w:r>
            <w:proofErr w:type="spellStart"/>
            <w:r w:rsidRPr="00ED18EB">
              <w:t>kontrolstundā</w:t>
            </w:r>
            <w:proofErr w:type="spellEnd"/>
            <w:r w:rsidRPr="00ED18EB">
              <w:t>, akadēmiskajā koncertā, kolokvijā, eksāmenā vērtē 10 ballu skalā.</w:t>
            </w:r>
          </w:p>
          <w:p w:rsidR="00202E51" w:rsidRPr="00ED18EB" w:rsidRDefault="00202E51" w:rsidP="005E54E7">
            <w:pPr>
              <w:shd w:val="clear" w:color="auto" w:fill="auto"/>
              <w:spacing w:after="120"/>
              <w:jc w:val="both"/>
            </w:pPr>
            <w:r w:rsidRPr="00ED18EB">
              <w:t>Lai vērtētu studentu individuālo uzstāšanos, piemēroti sekojoši izvērtēšanas pamatkritēriji:</w:t>
            </w:r>
          </w:p>
          <w:p w:rsidR="00202E51" w:rsidRPr="00ED18EB" w:rsidRDefault="00202E51" w:rsidP="00202E51">
            <w:pPr>
              <w:pStyle w:val="ListParagraph"/>
            </w:pPr>
            <w:r w:rsidRPr="00ED18EB">
              <w:t>repertuāra atbilstība studiju kursa programmas prasībām;</w:t>
            </w:r>
          </w:p>
          <w:p w:rsidR="00202E51" w:rsidRPr="00ED18EB" w:rsidRDefault="00202E51" w:rsidP="00202E51">
            <w:pPr>
              <w:pStyle w:val="ListParagraph"/>
            </w:pPr>
            <w:r w:rsidRPr="00ED18EB">
              <w:t>uzstāšanās kultūra (uzvedība, stāja un artistiskums);</w:t>
            </w:r>
          </w:p>
          <w:p w:rsidR="00202E51" w:rsidRPr="00ED18EB" w:rsidRDefault="00202E51" w:rsidP="00202E51">
            <w:pPr>
              <w:pStyle w:val="ListParagraph"/>
            </w:pPr>
            <w:r w:rsidRPr="00ED18EB">
              <w:t xml:space="preserve">skaņdarba teksts; </w:t>
            </w:r>
          </w:p>
          <w:p w:rsidR="00202E51" w:rsidRPr="00ED18EB" w:rsidRDefault="00202E51" w:rsidP="00202E51">
            <w:pPr>
              <w:pStyle w:val="ListParagraph"/>
            </w:pPr>
            <w:r w:rsidRPr="00ED18EB">
              <w:t>stils un žanrs;</w:t>
            </w:r>
          </w:p>
          <w:p w:rsidR="00202E51" w:rsidRPr="00ED18EB" w:rsidRDefault="00202E51" w:rsidP="00202E51">
            <w:pPr>
              <w:pStyle w:val="ListParagraph"/>
            </w:pPr>
            <w:r w:rsidRPr="00ED18EB">
              <w:t>atskaņojuma tehniskā realizācija (</w:t>
            </w:r>
            <w:proofErr w:type="spellStart"/>
            <w:r w:rsidRPr="00ED18EB">
              <w:t>skaņveide</w:t>
            </w:r>
            <w:proofErr w:type="spellEnd"/>
            <w:r w:rsidRPr="00ED18EB">
              <w:t>, artikulācija, precizitāte, temps un ritms);</w:t>
            </w:r>
          </w:p>
          <w:p w:rsidR="00202E51" w:rsidRPr="00ED18EB" w:rsidRDefault="00202E51" w:rsidP="00202E51">
            <w:pPr>
              <w:pStyle w:val="ListParagraph"/>
            </w:pPr>
            <w:r w:rsidRPr="00ED18EB">
              <w:t>atskaņojuma mākslinieciskais sniegums (saturs, tēls, forma, dinamika, frāzējums, oriģinalitāte u.c.).</w:t>
            </w:r>
          </w:p>
          <w:p w:rsidR="00202E51" w:rsidRPr="00ED18EB" w:rsidRDefault="00202E51" w:rsidP="005E54E7">
            <w:pPr>
              <w:shd w:val="clear" w:color="auto" w:fill="auto"/>
              <w:ind w:left="57"/>
            </w:pPr>
          </w:p>
          <w:p w:rsidR="00202E51" w:rsidRPr="00ED18EB" w:rsidRDefault="00202E51" w:rsidP="005E54E7">
            <w:pPr>
              <w:pStyle w:val="Style2"/>
              <w:shd w:val="clear" w:color="auto" w:fill="auto"/>
            </w:pPr>
            <w:r w:rsidRPr="00ED18EB">
              <w:t>Studiju rezultātu vērtēšana:</w:t>
            </w:r>
          </w:p>
          <w:p w:rsidR="00202E51" w:rsidRPr="00ED18EB" w:rsidRDefault="00202E51" w:rsidP="005E54E7">
            <w:pPr>
              <w:shd w:val="clear" w:color="auto" w:fill="auto"/>
              <w:jc w:val="both"/>
            </w:pPr>
            <w:r w:rsidRPr="00ED18EB">
              <w:t>10 (izcili) – zināšanas un prasmes pārsniedz studiju programmas prasības, prot tās patstāvīgi, radoši mākslinieciski lietot dažādās situācijās;</w:t>
            </w:r>
          </w:p>
          <w:p w:rsidR="00202E51" w:rsidRPr="00ED18EB" w:rsidRDefault="00202E51" w:rsidP="005E54E7">
            <w:pPr>
              <w:shd w:val="clear" w:color="auto" w:fill="auto"/>
              <w:jc w:val="both"/>
            </w:pPr>
            <w:r w:rsidRPr="00ED18EB">
              <w:t>9 (teicami) – pilnā mērā apgūtas studiju programmas prasības, iegūta prasme patstāvīgi realizēt iemācīto, radoša pieeja;</w:t>
            </w:r>
          </w:p>
          <w:p w:rsidR="00202E51" w:rsidRPr="00ED18EB" w:rsidRDefault="00202E51" w:rsidP="005E54E7">
            <w:pPr>
              <w:shd w:val="clear" w:color="auto" w:fill="auto"/>
              <w:jc w:val="both"/>
            </w:pPr>
            <w:r w:rsidRPr="00ED18EB">
              <w:t>8 (ļoti labi) – pilnā mērā apgūtas studiju programmas prasības, taču reizēm trūkst prasmes patstāvīgi radoši tās lietot;</w:t>
            </w:r>
          </w:p>
          <w:p w:rsidR="00202E51" w:rsidRPr="00ED18EB" w:rsidRDefault="00202E51" w:rsidP="005E54E7">
            <w:pPr>
              <w:shd w:val="clear" w:color="auto" w:fill="auto"/>
              <w:jc w:val="both"/>
            </w:pPr>
            <w:r w:rsidRPr="00ED18EB">
              <w:t>7 (labi) – labi apgūtas studiju programmas prasības, taču vienlaikus konstatējami arī atsevišķi mazāk svarīgi trūkumi zināšanu un prasmju apguvē;</w:t>
            </w:r>
          </w:p>
          <w:p w:rsidR="00202E51" w:rsidRPr="00ED18EB" w:rsidRDefault="00202E51" w:rsidP="005E54E7">
            <w:pPr>
              <w:shd w:val="clear" w:color="auto" w:fill="auto"/>
              <w:jc w:val="both"/>
            </w:pPr>
            <w:r w:rsidRPr="00ED18EB">
              <w:t>6 (gandrīz labi) – apgūtas studiju programmas prasības, taču atsevišķas nozīmīgas zināšanu un prasmju jomas ir nepietiekami stabilas un pārliecinošas;</w:t>
            </w:r>
          </w:p>
          <w:p w:rsidR="00202E51" w:rsidRPr="00ED18EB" w:rsidRDefault="00202E51" w:rsidP="005E54E7">
            <w:pPr>
              <w:shd w:val="clear" w:color="auto" w:fill="auto"/>
              <w:jc w:val="both"/>
            </w:pPr>
            <w:r w:rsidRPr="00ED18EB">
              <w:t>5 (viduvēji) – visumā apgūtas studiju programmas prasības, kaut arī konstatējama vairāku būtisku zināšanu un iemaņu jomu nepietiekoša stabilitāte un pārvaldīšana;</w:t>
            </w:r>
          </w:p>
          <w:p w:rsidR="00202E51" w:rsidRPr="00ED18EB" w:rsidRDefault="00202E51" w:rsidP="005E54E7">
            <w:pPr>
              <w:shd w:val="clear" w:color="auto" w:fill="auto"/>
              <w:jc w:val="both"/>
            </w:pPr>
            <w:r w:rsidRPr="00ED18EB">
              <w:t>4 (gandrīz viduvēji) – visumā apgūtas studiju programmas prasības, bet konstatējama vairāku svarīgu zināšanu un iemaņu jomu nepietiekama pārvaldīšana un ir grūtības ar iegūto prasmju praktisko izmantošanu;</w:t>
            </w:r>
          </w:p>
          <w:p w:rsidR="00202E51" w:rsidRPr="00ED18EB" w:rsidRDefault="00202E51" w:rsidP="005E54E7">
            <w:pPr>
              <w:shd w:val="clear" w:color="auto" w:fill="auto"/>
              <w:jc w:val="both"/>
            </w:pPr>
            <w:r w:rsidRPr="00ED18EB">
              <w:t>3 (vāji) – zināšanas, prasmes un iemaņas ir ļoti minimālas, nav spēju tās praktiski lietot;</w:t>
            </w:r>
          </w:p>
          <w:p w:rsidR="00202E51" w:rsidRPr="00ED18EB" w:rsidRDefault="00202E51" w:rsidP="005E54E7">
            <w:pPr>
              <w:shd w:val="clear" w:color="auto" w:fill="auto"/>
              <w:jc w:val="both"/>
            </w:pPr>
            <w:r w:rsidRPr="00ED18EB">
              <w:t>2 (ļoti vāji) – izrāda zināmu interesi, apgūtas atsevišķas zināšanas, prasmes un iemaņas, taču kopumā trūkst orientācijas un līmeņa;</w:t>
            </w:r>
          </w:p>
          <w:p w:rsidR="00202E51" w:rsidRPr="00ED18EB" w:rsidRDefault="00202E51" w:rsidP="005E54E7">
            <w:pPr>
              <w:shd w:val="clear" w:color="auto" w:fill="auto"/>
              <w:jc w:val="both"/>
            </w:pPr>
            <w:r w:rsidRPr="00ED18EB">
              <w:t>1 (ļoti, ļoti vāji) – nav izpratnes par studiju kursa būtību un iemaņām tajā.</w:t>
            </w:r>
          </w:p>
          <w:p w:rsidR="00202E51" w:rsidRPr="00ED18EB" w:rsidRDefault="00202E51" w:rsidP="005E54E7">
            <w:pPr>
              <w:shd w:val="clear" w:color="auto" w:fill="auto"/>
              <w:jc w:val="both"/>
            </w:pPr>
          </w:p>
        </w:tc>
      </w:tr>
      <w:tr w:rsidR="00202E51" w:rsidRPr="00ED18EB" w:rsidTr="005E54E7">
        <w:tc>
          <w:tcPr>
            <w:tcW w:w="9320" w:type="dxa"/>
          </w:tcPr>
          <w:p w:rsidR="00202E51" w:rsidRPr="00ED18EB" w:rsidRDefault="00202E51" w:rsidP="005E54E7">
            <w:pPr>
              <w:pStyle w:val="Nosaukumi"/>
              <w:rPr>
                <w:shd w:val="clear" w:color="auto" w:fill="F1F1F1"/>
              </w:rPr>
            </w:pPr>
            <w:proofErr w:type="spellStart"/>
            <w:r w:rsidRPr="00ED18EB">
              <w:lastRenderedPageBreak/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saturs</w:t>
            </w:r>
            <w:proofErr w:type="spellEnd"/>
            <w:r w:rsidRPr="00ED18EB">
              <w:rPr>
                <w:shd w:val="clear" w:color="auto" w:fill="F1F1F1"/>
              </w:rPr>
              <w:t xml:space="preserve"> </w:t>
            </w:r>
          </w:p>
        </w:tc>
      </w:tr>
      <w:tr w:rsidR="00202E51" w:rsidRPr="00ED18EB" w:rsidTr="005E54E7">
        <w:tc>
          <w:tcPr>
            <w:tcW w:w="9320" w:type="dxa"/>
            <w:shd w:val="clear" w:color="auto" w:fill="FFFFFF" w:themeFill="background1"/>
          </w:tcPr>
          <w:p w:rsidR="00202E51" w:rsidRPr="00ED18EB" w:rsidRDefault="00202E51" w:rsidP="005E54E7">
            <w:pPr>
              <w:shd w:val="clear" w:color="auto" w:fill="auto"/>
            </w:pPr>
            <w:r w:rsidRPr="00ED18EB">
              <w:t>Ansambļa dziedātāju vokālo iemaņu attīstīšanas paņēmieni.</w:t>
            </w:r>
          </w:p>
          <w:p w:rsidR="00202E51" w:rsidRPr="00ED18EB" w:rsidRDefault="00202E51" w:rsidP="005E54E7">
            <w:pPr>
              <w:shd w:val="clear" w:color="auto" w:fill="auto"/>
            </w:pPr>
            <w:r w:rsidRPr="00ED18EB">
              <w:t>Skaņdarbu izvēle darbam ar ansambli.</w:t>
            </w:r>
          </w:p>
          <w:p w:rsidR="00202E51" w:rsidRPr="00ED18EB" w:rsidRDefault="00202E51" w:rsidP="005E54E7">
            <w:pPr>
              <w:shd w:val="clear" w:color="auto" w:fill="auto"/>
            </w:pPr>
            <w:r w:rsidRPr="00ED18EB">
              <w:t>Izvēlētā skaņdarba apguve.</w:t>
            </w:r>
          </w:p>
          <w:p w:rsidR="00202E51" w:rsidRPr="00ED18EB" w:rsidRDefault="00202E51" w:rsidP="005E54E7">
            <w:pPr>
              <w:shd w:val="clear" w:color="auto" w:fill="auto"/>
            </w:pPr>
            <w:r w:rsidRPr="00ED18EB">
              <w:t>Darbs pa balss grupām, atsevišķi.</w:t>
            </w:r>
          </w:p>
          <w:p w:rsidR="00202E51" w:rsidRPr="00ED18EB" w:rsidRDefault="00202E51" w:rsidP="005E54E7">
            <w:pPr>
              <w:shd w:val="clear" w:color="auto" w:fill="auto"/>
            </w:pPr>
            <w:r w:rsidRPr="00ED18EB">
              <w:t>Ansambļa darba mēģinājumu plāns.</w:t>
            </w:r>
          </w:p>
          <w:p w:rsidR="00202E51" w:rsidRPr="00ED18EB" w:rsidRDefault="00202E51" w:rsidP="005E54E7">
            <w:pPr>
              <w:shd w:val="clear" w:color="auto" w:fill="auto"/>
            </w:pPr>
            <w:r w:rsidRPr="00ED18EB">
              <w:t>Homofoni harmonisku un polifonu kora skaņdarbu iestudēšanas paņēmieni.</w:t>
            </w:r>
          </w:p>
          <w:p w:rsidR="00202E51" w:rsidRPr="00ED18EB" w:rsidRDefault="00202E51" w:rsidP="005E54E7">
            <w:pPr>
              <w:shd w:val="clear" w:color="auto" w:fill="auto"/>
            </w:pPr>
            <w:r w:rsidRPr="00ED18EB">
              <w:t>Vokālā darba analīze.</w:t>
            </w:r>
          </w:p>
          <w:p w:rsidR="00202E51" w:rsidRPr="00ED18EB" w:rsidRDefault="00202E51" w:rsidP="005E54E7">
            <w:pPr>
              <w:shd w:val="clear" w:color="auto" w:fill="auto"/>
            </w:pPr>
            <w:r w:rsidRPr="00ED18EB">
              <w:t>Skaņdarba mākslinieciskā izpildījuma veidošana.</w:t>
            </w:r>
          </w:p>
          <w:p w:rsidR="00202E51" w:rsidRPr="00ED18EB" w:rsidRDefault="00202E51" w:rsidP="005E54E7">
            <w:pPr>
              <w:shd w:val="clear" w:color="auto" w:fill="auto"/>
            </w:pPr>
            <w:r w:rsidRPr="00ED18EB">
              <w:t>Ansambļa sagatavošanās koncertam.</w:t>
            </w:r>
          </w:p>
          <w:p w:rsidR="00202E51" w:rsidRPr="00ED18EB" w:rsidRDefault="00202E51" w:rsidP="005E54E7">
            <w:pPr>
              <w:shd w:val="clear" w:color="auto" w:fill="auto"/>
            </w:pPr>
            <w:r w:rsidRPr="00ED18EB">
              <w:t>Uzstāšanās un tās analīze.</w:t>
            </w:r>
          </w:p>
          <w:p w:rsidR="00202E51" w:rsidRPr="00ED18EB" w:rsidRDefault="00202E51" w:rsidP="005E54E7">
            <w:pPr>
              <w:shd w:val="clear" w:color="auto" w:fill="auto"/>
            </w:pPr>
          </w:p>
        </w:tc>
      </w:tr>
      <w:tr w:rsidR="00202E51" w:rsidRPr="00ED18EB" w:rsidTr="005E54E7">
        <w:tc>
          <w:tcPr>
            <w:tcW w:w="9320" w:type="dxa"/>
          </w:tcPr>
          <w:p w:rsidR="00202E51" w:rsidRPr="00ED18EB" w:rsidRDefault="00202E51" w:rsidP="005E54E7">
            <w:pPr>
              <w:pStyle w:val="Nosaukumi"/>
              <w:rPr>
                <w:lang w:val="de-DE"/>
              </w:rPr>
            </w:pPr>
            <w:proofErr w:type="spellStart"/>
            <w:r w:rsidRPr="00ED18EB">
              <w:t>Obligāti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izmantojamie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informācijas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avoti</w:t>
            </w:r>
            <w:proofErr w:type="spellEnd"/>
          </w:p>
        </w:tc>
      </w:tr>
      <w:tr w:rsidR="00202E51" w:rsidRPr="00ED18EB" w:rsidTr="005E54E7">
        <w:tc>
          <w:tcPr>
            <w:tcW w:w="9320" w:type="dxa"/>
            <w:shd w:val="clear" w:color="auto" w:fill="auto"/>
          </w:tcPr>
          <w:p w:rsidR="00202E51" w:rsidRPr="00ED18EB" w:rsidRDefault="00202E51" w:rsidP="005E54E7">
            <w:pPr>
              <w:shd w:val="clear" w:color="auto" w:fill="auto"/>
              <w:rPr>
                <w:rFonts w:eastAsia="Times New Roman"/>
                <w:lang w:val="en-GB"/>
              </w:rPr>
            </w:pPr>
            <w:r w:rsidRPr="00ED18EB">
              <w:t xml:space="preserve">Lindenbergs, J. (2012). </w:t>
            </w:r>
            <w:r w:rsidRPr="00ED18EB">
              <w:rPr>
                <w:i/>
              </w:rPr>
              <w:t>Diriģēšanas mācīšanas metodika.</w:t>
            </w:r>
            <w:r w:rsidRPr="00ED18EB">
              <w:t xml:space="preserve"> Metodiskais mācību materiāls. E–grāmata.</w:t>
            </w:r>
          </w:p>
          <w:p w:rsidR="00202E51" w:rsidRPr="00ED18EB" w:rsidRDefault="00202E51" w:rsidP="005E54E7">
            <w:pPr>
              <w:shd w:val="clear" w:color="auto" w:fill="auto"/>
              <w:jc w:val="both"/>
              <w:rPr>
                <w:rFonts w:eastAsia="Times New Roman"/>
                <w:lang w:val="en-GB"/>
              </w:rPr>
            </w:pPr>
            <w:proofErr w:type="spellStart"/>
            <w:r w:rsidRPr="00ED18EB">
              <w:t>Simsone</w:t>
            </w:r>
            <w:proofErr w:type="spellEnd"/>
            <w:r w:rsidRPr="00ED18EB">
              <w:t xml:space="preserve">–Sokolovska, Ā. (1997). </w:t>
            </w:r>
            <w:hyperlink r:id="rId6" w:history="1">
              <w:r w:rsidRPr="00ED18EB">
                <w:rPr>
                  <w:rStyle w:val="Hyperlink"/>
                  <w:bCs w:val="0"/>
                  <w:i/>
                </w:rPr>
                <w:t>Vokālās metodikas pamatzināšanas</w:t>
              </w:r>
            </w:hyperlink>
            <w:r w:rsidRPr="00ED18EB">
              <w:rPr>
                <w:i/>
              </w:rPr>
              <w:t>.</w:t>
            </w:r>
            <w:r w:rsidRPr="00ED18EB">
              <w:t xml:space="preserve"> Rīga: Vārti</w:t>
            </w:r>
          </w:p>
          <w:p w:rsidR="00202E51" w:rsidRPr="00ED18EB" w:rsidRDefault="00202E51" w:rsidP="005E54E7">
            <w:pPr>
              <w:shd w:val="clear" w:color="auto" w:fill="auto"/>
              <w:jc w:val="both"/>
              <w:rPr>
                <w:rFonts w:eastAsia="Times New Roman"/>
                <w:lang w:val="sv-SE"/>
              </w:rPr>
            </w:pPr>
            <w:r w:rsidRPr="00ED18EB">
              <w:rPr>
                <w:rFonts w:eastAsia="Times New Roman"/>
                <w:lang w:val="sv-SE"/>
              </w:rPr>
              <w:t xml:space="preserve">Sudņika, S. (1989). </w:t>
            </w:r>
            <w:r w:rsidRPr="00ED18EB">
              <w:rPr>
                <w:rFonts w:eastAsia="Times New Roman"/>
                <w:i/>
                <w:lang w:val="sv-SE"/>
              </w:rPr>
              <w:t>Kordiriģenta darba pamati</w:t>
            </w:r>
            <w:r w:rsidRPr="00ED18EB">
              <w:rPr>
                <w:rFonts w:eastAsia="Times New Roman"/>
                <w:lang w:val="sv-SE"/>
              </w:rPr>
              <w:t xml:space="preserve">. Rīga: P. Stučkas Latvijas Valsts universitāte </w:t>
            </w:r>
          </w:p>
          <w:p w:rsidR="00202E51" w:rsidRPr="00ED18EB" w:rsidRDefault="00202E51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lang w:eastAsia="lv-LV"/>
              </w:rPr>
              <w:t xml:space="preserve">Zvirgzdiņa, E. (1986). </w:t>
            </w:r>
            <w:hyperlink r:id="rId7" w:history="1">
              <w:r w:rsidRPr="00ED18EB">
                <w:rPr>
                  <w:rStyle w:val="Hyperlink"/>
                  <w:rFonts w:eastAsia="Times New Roman"/>
                  <w:bCs w:val="0"/>
                  <w:i/>
                  <w:lang w:eastAsia="lv-LV"/>
                </w:rPr>
                <w:t>Par vokālo mākslu</w:t>
              </w:r>
            </w:hyperlink>
            <w:r w:rsidRPr="00ED18EB">
              <w:rPr>
                <w:rFonts w:eastAsia="Times New Roman"/>
                <w:lang w:eastAsia="lv-LV"/>
              </w:rPr>
              <w:t>. Rīga: Zvaigzne</w:t>
            </w:r>
          </w:p>
          <w:p w:rsidR="00202E51" w:rsidRPr="00ED18EB" w:rsidRDefault="00202E51" w:rsidP="005E54E7">
            <w:pPr>
              <w:shd w:val="clear" w:color="auto" w:fill="auto"/>
              <w:jc w:val="both"/>
              <w:rPr>
                <w:rFonts w:eastAsia="Times New Roman"/>
              </w:rPr>
            </w:pPr>
          </w:p>
        </w:tc>
      </w:tr>
      <w:tr w:rsidR="00202E51" w:rsidRPr="00ED18EB" w:rsidTr="005E54E7">
        <w:tc>
          <w:tcPr>
            <w:tcW w:w="9320" w:type="dxa"/>
          </w:tcPr>
          <w:p w:rsidR="00202E51" w:rsidRPr="00ED18EB" w:rsidRDefault="00202E51" w:rsidP="005E54E7">
            <w:pPr>
              <w:pStyle w:val="Nosaukumi"/>
            </w:pPr>
            <w:proofErr w:type="spellStart"/>
            <w:r w:rsidRPr="00ED18EB">
              <w:t>Papildus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informācijas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avoti</w:t>
            </w:r>
            <w:proofErr w:type="spellEnd"/>
          </w:p>
        </w:tc>
      </w:tr>
      <w:tr w:rsidR="00202E51" w:rsidRPr="00ED18EB" w:rsidTr="005E54E7">
        <w:tc>
          <w:tcPr>
            <w:tcW w:w="9320" w:type="dxa"/>
          </w:tcPr>
          <w:p w:rsidR="00202E51" w:rsidRPr="00ED18EB" w:rsidRDefault="00202E51" w:rsidP="005E54E7">
            <w:pPr>
              <w:shd w:val="clear" w:color="auto" w:fill="auto"/>
              <w:tabs>
                <w:tab w:val="left" w:pos="567"/>
              </w:tabs>
              <w:jc w:val="both"/>
              <w:rPr>
                <w:rFonts w:eastAsia="Times New Roman"/>
                <w:lang w:eastAsia="lv-LV"/>
              </w:rPr>
            </w:pPr>
            <w:proofErr w:type="spellStart"/>
            <w:r w:rsidRPr="00ED18EB">
              <w:rPr>
                <w:rFonts w:eastAsia="Times New Roman"/>
                <w:lang w:eastAsia="lv-LV"/>
              </w:rPr>
              <w:t>Bimberg</w:t>
            </w:r>
            <w:proofErr w:type="spellEnd"/>
            <w:r w:rsidRPr="00ED18EB">
              <w:rPr>
                <w:rFonts w:eastAsia="Times New Roman"/>
                <w:lang w:eastAsia="lv-LV"/>
              </w:rPr>
              <w:t xml:space="preserve">, S., </w:t>
            </w:r>
            <w:proofErr w:type="spellStart"/>
            <w:r w:rsidRPr="00ED18EB">
              <w:rPr>
                <w:rFonts w:eastAsia="Times New Roman"/>
                <w:lang w:eastAsia="lv-LV"/>
              </w:rPr>
              <w:t>Friedrich</w:t>
            </w:r>
            <w:proofErr w:type="spellEnd"/>
            <w:r w:rsidRPr="00ED18EB">
              <w:rPr>
                <w:rFonts w:eastAsia="Times New Roman"/>
                <w:lang w:eastAsia="lv-LV"/>
              </w:rPr>
              <w:t xml:space="preserve">, G., </w:t>
            </w:r>
            <w:proofErr w:type="spellStart"/>
            <w:r w:rsidRPr="00ED18EB">
              <w:rPr>
                <w:rFonts w:eastAsia="Times New Roman"/>
                <w:lang w:eastAsia="lv-LV"/>
              </w:rPr>
              <w:t>Frischmuth</w:t>
            </w:r>
            <w:proofErr w:type="spellEnd"/>
            <w:r w:rsidRPr="00ED18EB">
              <w:rPr>
                <w:rFonts w:eastAsia="Times New Roman"/>
                <w:lang w:eastAsia="lv-LV"/>
              </w:rPr>
              <w:t xml:space="preserve">, G. (1981). </w:t>
            </w:r>
            <w:proofErr w:type="spellStart"/>
            <w:r w:rsidRPr="00ED18EB">
              <w:rPr>
                <w:rFonts w:eastAsia="Times New Roman"/>
                <w:i/>
                <w:lang w:eastAsia="lv-LV"/>
              </w:rPr>
              <w:t>Handbuch</w:t>
            </w:r>
            <w:proofErr w:type="spellEnd"/>
            <w:r w:rsidRPr="00ED18EB">
              <w:rPr>
                <w:rFonts w:eastAsia="Times New Roman"/>
                <w:i/>
                <w:lang w:eastAsia="lv-LV"/>
              </w:rPr>
              <w:t xml:space="preserve"> der </w:t>
            </w:r>
            <w:proofErr w:type="spellStart"/>
            <w:r w:rsidRPr="00ED18EB">
              <w:rPr>
                <w:rFonts w:eastAsia="Times New Roman"/>
                <w:i/>
                <w:lang w:eastAsia="lv-LV"/>
              </w:rPr>
              <w:t>Chorleitung</w:t>
            </w:r>
            <w:proofErr w:type="spellEnd"/>
            <w:r w:rsidRPr="00ED18EB">
              <w:rPr>
                <w:rFonts w:eastAsia="Times New Roman"/>
                <w:lang w:eastAsia="lv-LV"/>
              </w:rPr>
              <w:t xml:space="preserve">. </w:t>
            </w:r>
            <w:proofErr w:type="spellStart"/>
            <w:r w:rsidRPr="00ED18EB">
              <w:rPr>
                <w:rFonts w:eastAsia="Times New Roman"/>
                <w:lang w:eastAsia="lv-LV"/>
              </w:rPr>
              <w:t>Leipzig</w:t>
            </w:r>
            <w:proofErr w:type="spellEnd"/>
            <w:r w:rsidRPr="00ED18EB">
              <w:rPr>
                <w:rFonts w:eastAsia="Times New Roman"/>
                <w:lang w:eastAsia="lv-LV"/>
              </w:rPr>
              <w:t xml:space="preserve">: VEB </w:t>
            </w:r>
            <w:proofErr w:type="spellStart"/>
            <w:r w:rsidRPr="00ED18EB">
              <w:rPr>
                <w:rFonts w:eastAsia="Times New Roman"/>
                <w:lang w:eastAsia="lv-LV"/>
              </w:rPr>
              <w:t>Deutscher</w:t>
            </w:r>
            <w:proofErr w:type="spellEnd"/>
            <w:r w:rsidRPr="00ED18EB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Pr="00ED18EB">
              <w:rPr>
                <w:rFonts w:eastAsia="Times New Roman"/>
                <w:lang w:eastAsia="lv-LV"/>
              </w:rPr>
              <w:t>Verlag</w:t>
            </w:r>
            <w:proofErr w:type="spellEnd"/>
            <w:r w:rsidRPr="00ED18EB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Pr="00ED18EB">
              <w:rPr>
                <w:rFonts w:eastAsia="Times New Roman"/>
                <w:lang w:eastAsia="lv-LV"/>
              </w:rPr>
              <w:t>für</w:t>
            </w:r>
            <w:proofErr w:type="spellEnd"/>
            <w:r w:rsidRPr="00ED18EB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Pr="00ED18EB">
              <w:rPr>
                <w:rFonts w:eastAsia="Times New Roman"/>
                <w:lang w:eastAsia="lv-LV"/>
              </w:rPr>
              <w:t>Musik</w:t>
            </w:r>
            <w:proofErr w:type="spellEnd"/>
          </w:p>
          <w:p w:rsidR="00202E51" w:rsidRPr="00ED18EB" w:rsidRDefault="00202E51" w:rsidP="005E54E7">
            <w:pPr>
              <w:shd w:val="clear" w:color="auto" w:fill="auto"/>
              <w:tabs>
                <w:tab w:val="left" w:pos="567"/>
              </w:tabs>
              <w:jc w:val="both"/>
              <w:rPr>
                <w:rFonts w:eastAsia="Times New Roman"/>
                <w:lang w:eastAsia="lv-LV"/>
              </w:rPr>
            </w:pPr>
            <w:proofErr w:type="spellStart"/>
            <w:r w:rsidRPr="00ED18EB">
              <w:rPr>
                <w:rFonts w:eastAsia="Times New Roman"/>
                <w:lang w:eastAsia="lv-LV"/>
              </w:rPr>
              <w:t>Kondraschin</w:t>
            </w:r>
            <w:proofErr w:type="spellEnd"/>
            <w:r w:rsidRPr="00ED18EB">
              <w:rPr>
                <w:rFonts w:eastAsia="Times New Roman"/>
                <w:lang w:eastAsia="lv-LV"/>
              </w:rPr>
              <w:t xml:space="preserve">, K. (1989). </w:t>
            </w:r>
            <w:proofErr w:type="spellStart"/>
            <w:r w:rsidRPr="00ED18EB">
              <w:rPr>
                <w:rFonts w:eastAsia="Times New Roman"/>
                <w:i/>
                <w:lang w:eastAsia="lv-LV"/>
              </w:rPr>
              <w:t>Die</w:t>
            </w:r>
            <w:proofErr w:type="spellEnd"/>
            <w:r w:rsidRPr="00ED18EB">
              <w:rPr>
                <w:rFonts w:eastAsia="Times New Roman"/>
                <w:i/>
                <w:lang w:eastAsia="lv-LV"/>
              </w:rPr>
              <w:t xml:space="preserve"> </w:t>
            </w:r>
            <w:proofErr w:type="spellStart"/>
            <w:r w:rsidRPr="00ED18EB">
              <w:rPr>
                <w:rFonts w:eastAsia="Times New Roman"/>
                <w:i/>
                <w:lang w:eastAsia="lv-LV"/>
              </w:rPr>
              <w:t>Kunst</w:t>
            </w:r>
            <w:proofErr w:type="spellEnd"/>
            <w:r w:rsidRPr="00ED18EB">
              <w:rPr>
                <w:rFonts w:eastAsia="Times New Roman"/>
                <w:i/>
                <w:lang w:eastAsia="lv-LV"/>
              </w:rPr>
              <w:t xml:space="preserve"> </w:t>
            </w:r>
            <w:proofErr w:type="spellStart"/>
            <w:r w:rsidRPr="00ED18EB">
              <w:rPr>
                <w:rFonts w:eastAsia="Times New Roman"/>
                <w:i/>
                <w:lang w:eastAsia="lv-LV"/>
              </w:rPr>
              <w:t>des</w:t>
            </w:r>
            <w:proofErr w:type="spellEnd"/>
            <w:r w:rsidRPr="00ED18EB">
              <w:rPr>
                <w:rFonts w:eastAsia="Times New Roman"/>
                <w:i/>
                <w:lang w:eastAsia="lv-LV"/>
              </w:rPr>
              <w:t xml:space="preserve"> </w:t>
            </w:r>
            <w:proofErr w:type="spellStart"/>
            <w:r w:rsidRPr="00ED18EB">
              <w:rPr>
                <w:rFonts w:eastAsia="Times New Roman"/>
                <w:i/>
                <w:lang w:eastAsia="lv-LV"/>
              </w:rPr>
              <w:t>Dirigierens</w:t>
            </w:r>
            <w:proofErr w:type="spellEnd"/>
            <w:r w:rsidRPr="00ED18EB">
              <w:rPr>
                <w:rFonts w:eastAsia="Times New Roman"/>
                <w:i/>
                <w:lang w:eastAsia="lv-LV"/>
              </w:rPr>
              <w:t>.</w:t>
            </w:r>
            <w:r w:rsidRPr="00ED18EB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Pr="00ED18EB">
              <w:rPr>
                <w:rFonts w:eastAsia="Times New Roman"/>
                <w:lang w:eastAsia="lv-LV"/>
              </w:rPr>
              <w:t>Münschen</w:t>
            </w:r>
            <w:proofErr w:type="spellEnd"/>
            <w:r w:rsidRPr="00ED18EB">
              <w:rPr>
                <w:rFonts w:eastAsia="Times New Roman"/>
                <w:lang w:eastAsia="lv-LV"/>
              </w:rPr>
              <w:t xml:space="preserve">, </w:t>
            </w:r>
            <w:proofErr w:type="spellStart"/>
            <w:r w:rsidRPr="00ED18EB">
              <w:rPr>
                <w:rFonts w:eastAsia="Times New Roman"/>
                <w:lang w:eastAsia="lv-LV"/>
              </w:rPr>
              <w:t>Zürich</w:t>
            </w:r>
            <w:proofErr w:type="spellEnd"/>
            <w:r w:rsidRPr="00ED18EB">
              <w:rPr>
                <w:rFonts w:eastAsia="Times New Roman"/>
                <w:lang w:eastAsia="lv-LV"/>
              </w:rPr>
              <w:t xml:space="preserve">: </w:t>
            </w:r>
            <w:proofErr w:type="spellStart"/>
            <w:r w:rsidRPr="00ED18EB">
              <w:rPr>
                <w:rFonts w:eastAsia="Times New Roman"/>
                <w:lang w:eastAsia="lv-LV"/>
              </w:rPr>
              <w:t>Piper</w:t>
            </w:r>
            <w:proofErr w:type="spellEnd"/>
          </w:p>
          <w:p w:rsidR="00202E51" w:rsidRPr="00ED18EB" w:rsidRDefault="00202E51" w:rsidP="005E54E7">
            <w:pPr>
              <w:shd w:val="clear" w:color="auto" w:fill="auto"/>
              <w:tabs>
                <w:tab w:val="left" w:pos="567"/>
              </w:tabs>
              <w:jc w:val="both"/>
              <w:rPr>
                <w:rFonts w:eastAsia="Times New Roman"/>
                <w:lang w:val="de-DE"/>
              </w:rPr>
            </w:pPr>
            <w:r w:rsidRPr="00ED18EB">
              <w:rPr>
                <w:rFonts w:eastAsia="Times New Roman"/>
                <w:lang w:val="de-DE"/>
              </w:rPr>
              <w:t xml:space="preserve">Krūmiņš, A. (1988). </w:t>
            </w:r>
            <w:r w:rsidRPr="00ED18EB">
              <w:rPr>
                <w:rFonts w:eastAsia="Times New Roman"/>
                <w:i/>
                <w:lang w:val="de-DE"/>
              </w:rPr>
              <w:t>Kora dziedāšanas teorijas jautājumi I, II daļa</w:t>
            </w:r>
            <w:r w:rsidRPr="00ED18EB">
              <w:rPr>
                <w:rFonts w:eastAsia="Times New Roman"/>
                <w:lang w:val="de-DE"/>
              </w:rPr>
              <w:t>, Rīga: Mācību iestāžu metodiskais kabinets</w:t>
            </w:r>
          </w:p>
          <w:p w:rsidR="00202E51" w:rsidRPr="00ED18EB" w:rsidRDefault="00202E51" w:rsidP="005E54E7">
            <w:pPr>
              <w:shd w:val="clear" w:color="auto" w:fill="auto"/>
              <w:tabs>
                <w:tab w:val="left" w:pos="567"/>
              </w:tabs>
              <w:jc w:val="both"/>
              <w:rPr>
                <w:rFonts w:eastAsia="Times New Roman"/>
                <w:lang w:val="de-DE"/>
              </w:rPr>
            </w:pPr>
          </w:p>
        </w:tc>
      </w:tr>
      <w:tr w:rsidR="00202E51" w:rsidRPr="00ED18EB" w:rsidTr="005E54E7">
        <w:tc>
          <w:tcPr>
            <w:tcW w:w="9320" w:type="dxa"/>
          </w:tcPr>
          <w:p w:rsidR="00202E51" w:rsidRPr="00ED18EB" w:rsidRDefault="00202E51" w:rsidP="005E54E7">
            <w:pPr>
              <w:pStyle w:val="Nosaukumi"/>
            </w:pPr>
            <w:proofErr w:type="spellStart"/>
            <w:r w:rsidRPr="00ED18EB">
              <w:t>Periodika</w:t>
            </w:r>
            <w:proofErr w:type="spellEnd"/>
            <w:r w:rsidRPr="00ED18EB">
              <w:t xml:space="preserve"> un </w:t>
            </w:r>
            <w:proofErr w:type="spellStart"/>
            <w:r w:rsidRPr="00ED18EB">
              <w:t>citi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informācijas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avoti</w:t>
            </w:r>
            <w:proofErr w:type="spellEnd"/>
          </w:p>
        </w:tc>
      </w:tr>
      <w:tr w:rsidR="00202E51" w:rsidRPr="00ED18EB" w:rsidTr="005E54E7">
        <w:tc>
          <w:tcPr>
            <w:tcW w:w="9320" w:type="dxa"/>
          </w:tcPr>
          <w:p w:rsidR="00202E51" w:rsidRPr="00ED18EB" w:rsidRDefault="00202E51" w:rsidP="005E54E7">
            <w:pPr>
              <w:shd w:val="clear" w:color="auto" w:fill="auto"/>
            </w:pPr>
            <w:r w:rsidRPr="00ED18EB">
              <w:t>Žurnāli:</w:t>
            </w:r>
          </w:p>
          <w:p w:rsidR="00202E51" w:rsidRPr="00ED18EB" w:rsidRDefault="00202E51" w:rsidP="005E54E7">
            <w:pPr>
              <w:shd w:val="clear" w:color="auto" w:fill="auto"/>
              <w:rPr>
                <w:bCs w:val="0"/>
                <w:i/>
                <w:iCs w:val="0"/>
              </w:rPr>
            </w:pPr>
            <w:proofErr w:type="spellStart"/>
            <w:r w:rsidRPr="00ED18EB">
              <w:rPr>
                <w:i/>
              </w:rPr>
              <w:t>Music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Education</w:t>
            </w:r>
            <w:proofErr w:type="spellEnd"/>
          </w:p>
          <w:p w:rsidR="00202E51" w:rsidRPr="00ED18EB" w:rsidRDefault="00202E51" w:rsidP="005E54E7">
            <w:pPr>
              <w:shd w:val="clear" w:color="auto" w:fill="auto"/>
              <w:rPr>
                <w:i/>
              </w:rPr>
            </w:pPr>
            <w:r w:rsidRPr="00ED18EB">
              <w:rPr>
                <w:i/>
              </w:rPr>
              <w:t>Mūzikas Saule</w:t>
            </w:r>
          </w:p>
          <w:p w:rsidR="00202E51" w:rsidRPr="00ED18EB" w:rsidRDefault="00202E51" w:rsidP="005E54E7">
            <w:pPr>
              <w:shd w:val="clear" w:color="auto" w:fill="auto"/>
            </w:pPr>
          </w:p>
          <w:p w:rsidR="00202E51" w:rsidRPr="00ED18EB" w:rsidRDefault="00202E51" w:rsidP="005E54E7">
            <w:pPr>
              <w:shd w:val="clear" w:color="auto" w:fill="auto"/>
            </w:pPr>
            <w:r w:rsidRPr="00ED18EB">
              <w:t>Krājumi:</w:t>
            </w:r>
          </w:p>
          <w:p w:rsidR="00202E51" w:rsidRPr="00ED18EB" w:rsidRDefault="00202E51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i/>
              </w:rPr>
              <w:t>Latvju mūzika.</w:t>
            </w:r>
            <w:r w:rsidRPr="00ED18EB">
              <w:t xml:space="preserve"> Periodisks rakstu krājums. 1970.–1991.</w:t>
            </w:r>
          </w:p>
          <w:p w:rsidR="00202E51" w:rsidRPr="00ED18EB" w:rsidRDefault="00202E51" w:rsidP="005E54E7">
            <w:pPr>
              <w:shd w:val="clear" w:color="auto" w:fill="auto"/>
            </w:pPr>
            <w:r w:rsidRPr="00ED18EB">
              <w:rPr>
                <w:i/>
              </w:rPr>
              <w:t>Mūzikas akadēmijas raksti</w:t>
            </w:r>
            <w:r w:rsidRPr="00ED18EB">
              <w:t xml:space="preserve"> (JVLMA izdevums, no 2004)</w:t>
            </w:r>
          </w:p>
          <w:p w:rsidR="00202E51" w:rsidRPr="00ED18EB" w:rsidRDefault="00202E51" w:rsidP="005E54E7">
            <w:pPr>
              <w:shd w:val="clear" w:color="auto" w:fill="auto"/>
            </w:pPr>
            <w:r w:rsidRPr="00ED18EB">
              <w:t xml:space="preserve">Mūzikas zinātne šodien: pastāvīgais un mainīgais / </w:t>
            </w:r>
            <w:proofErr w:type="spellStart"/>
            <w:r w:rsidRPr="00ED18EB">
              <w:rPr>
                <w:i/>
              </w:rPr>
              <w:t>Music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Science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Today</w:t>
            </w:r>
            <w:proofErr w:type="spellEnd"/>
            <w:r w:rsidRPr="00ED18EB">
              <w:rPr>
                <w:i/>
              </w:rPr>
              <w:t xml:space="preserve">: </w:t>
            </w:r>
            <w:proofErr w:type="spellStart"/>
            <w:r w:rsidRPr="00ED18EB">
              <w:rPr>
                <w:i/>
              </w:rPr>
              <w:t>The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Permanent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and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the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Changeable</w:t>
            </w:r>
            <w:proofErr w:type="spellEnd"/>
            <w:r w:rsidRPr="00ED18EB">
              <w:t xml:space="preserve"> (DU MMF izdevums, no 2009)</w:t>
            </w:r>
          </w:p>
          <w:p w:rsidR="00202E51" w:rsidRPr="00ED18EB" w:rsidRDefault="00202E51" w:rsidP="005E54E7">
            <w:pPr>
              <w:shd w:val="clear" w:color="auto" w:fill="auto"/>
            </w:pPr>
            <w:proofErr w:type="spellStart"/>
            <w:r w:rsidRPr="00ED18EB">
              <w:rPr>
                <w:i/>
              </w:rPr>
              <w:t>Problems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in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Music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Pedagogy</w:t>
            </w:r>
            <w:proofErr w:type="spellEnd"/>
            <w:r w:rsidRPr="00ED18EB">
              <w:t xml:space="preserve"> (DU izdevums)</w:t>
            </w:r>
          </w:p>
          <w:p w:rsidR="00202E51" w:rsidRPr="00ED18EB" w:rsidRDefault="00202E51" w:rsidP="005E54E7">
            <w:pPr>
              <w:shd w:val="clear" w:color="auto" w:fill="auto"/>
            </w:pPr>
          </w:p>
        </w:tc>
      </w:tr>
      <w:tr w:rsidR="00202E51" w:rsidRPr="00ED18EB" w:rsidTr="005E54E7">
        <w:tc>
          <w:tcPr>
            <w:tcW w:w="9320" w:type="dxa"/>
          </w:tcPr>
          <w:p w:rsidR="00202E51" w:rsidRPr="00ED18EB" w:rsidRDefault="00202E51" w:rsidP="005E54E7">
            <w:pPr>
              <w:pStyle w:val="Nosaukumi"/>
            </w:pPr>
            <w:proofErr w:type="spellStart"/>
            <w:r w:rsidRPr="00ED18EB">
              <w:t>Piezīmes</w:t>
            </w:r>
            <w:proofErr w:type="spellEnd"/>
          </w:p>
        </w:tc>
      </w:tr>
      <w:tr w:rsidR="00202E51" w:rsidRPr="00ED18EB" w:rsidTr="005E54E7">
        <w:tc>
          <w:tcPr>
            <w:tcW w:w="9320" w:type="dxa"/>
          </w:tcPr>
          <w:p w:rsidR="00202E51" w:rsidRPr="00ED18EB" w:rsidRDefault="00202E51" w:rsidP="005E54E7">
            <w:pPr>
              <w:shd w:val="clear" w:color="auto" w:fill="auto"/>
              <w:jc w:val="both"/>
            </w:pPr>
            <w:r w:rsidRPr="00ED18EB">
              <w:t>Profesionālās bakalaura studiju programmas “Mūzika”</w:t>
            </w:r>
            <w:r w:rsidRPr="00ED18EB">
              <w:rPr>
                <w:i/>
              </w:rPr>
              <w:t xml:space="preserve"> </w:t>
            </w:r>
            <w:r w:rsidRPr="00ED18EB">
              <w:t>B1 daļa.</w:t>
            </w:r>
          </w:p>
          <w:p w:rsidR="00202E51" w:rsidRPr="00ED18EB" w:rsidRDefault="00202E51" w:rsidP="005E54E7">
            <w:pPr>
              <w:shd w:val="clear" w:color="auto" w:fill="auto"/>
              <w:jc w:val="both"/>
            </w:pPr>
            <w:r w:rsidRPr="00ED18EB">
              <w:t>Kursu apgūst latviešu vai angļu valodā.</w:t>
            </w:r>
          </w:p>
          <w:p w:rsidR="00202E51" w:rsidRPr="00ED18EB" w:rsidRDefault="00202E51" w:rsidP="005E54E7">
            <w:pPr>
              <w:shd w:val="clear" w:color="auto" w:fill="auto"/>
              <w:jc w:val="both"/>
            </w:pPr>
            <w:r w:rsidRPr="00ED18EB">
              <w:t>Koncertmeistara dalība individuālajās praktiskajās nodarbībās 50%.</w:t>
            </w:r>
          </w:p>
          <w:p w:rsidR="00202E51" w:rsidRPr="00ED18EB" w:rsidRDefault="00202E51" w:rsidP="005E54E7">
            <w:pPr>
              <w:shd w:val="clear" w:color="auto" w:fill="auto"/>
              <w:jc w:val="both"/>
            </w:pPr>
          </w:p>
        </w:tc>
      </w:tr>
    </w:tbl>
    <w:p w:rsidR="00202E51" w:rsidRPr="00ED18EB" w:rsidRDefault="00202E51" w:rsidP="00202E51">
      <w:pPr>
        <w:shd w:val="clear" w:color="auto" w:fill="auto"/>
        <w:rPr>
          <w:szCs w:val="22"/>
        </w:rPr>
      </w:pPr>
      <w:r w:rsidRPr="00ED18EB">
        <w:rPr>
          <w:szCs w:val="22"/>
        </w:rPr>
        <w:br w:type="page"/>
      </w:r>
    </w:p>
    <w:p w:rsidR="00476ACE" w:rsidRDefault="00476ACE"/>
    <w:sectPr w:rsidR="00476ACE" w:rsidSect="00202E51">
      <w:pgSz w:w="11906" w:h="16838"/>
      <w:pgMar w:top="1440" w:right="849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F4B4F"/>
    <w:multiLevelType w:val="hybridMultilevel"/>
    <w:tmpl w:val="DA686E62"/>
    <w:lvl w:ilvl="0" w:tplc="1C2AE374">
      <w:start w:val="1"/>
      <w:numFmt w:val="bullet"/>
      <w:pStyle w:val="ListParagraph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4235CAA"/>
    <w:multiLevelType w:val="hybridMultilevel"/>
    <w:tmpl w:val="4BB833E6"/>
    <w:lvl w:ilvl="0" w:tplc="875C6D9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E51"/>
    <w:rsid w:val="00202E51"/>
    <w:rsid w:val="00476ACE"/>
    <w:rsid w:val="00A86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E51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02E51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202E51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202E51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202E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autoRedefine/>
    <w:qFormat/>
    <w:rsid w:val="00202E51"/>
    <w:pPr>
      <w:numPr>
        <w:numId w:val="1"/>
      </w:numPr>
      <w:shd w:val="clear" w:color="auto" w:fill="auto"/>
      <w:tabs>
        <w:tab w:val="left" w:pos="460"/>
      </w:tabs>
      <w:autoSpaceDE/>
      <w:autoSpaceDN/>
      <w:adjustRightInd/>
      <w:ind w:left="170" w:hanging="170"/>
    </w:pPr>
    <w:rPr>
      <w:rFonts w:eastAsiaTheme="minorHAnsi"/>
      <w:bCs w:val="0"/>
      <w:iCs w:val="0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202E51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202E51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02E51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202E51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202E51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202E51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202E51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202E51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2E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2E51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E51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02E51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202E51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202E51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202E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autoRedefine/>
    <w:qFormat/>
    <w:rsid w:val="00202E51"/>
    <w:pPr>
      <w:numPr>
        <w:numId w:val="1"/>
      </w:numPr>
      <w:shd w:val="clear" w:color="auto" w:fill="auto"/>
      <w:tabs>
        <w:tab w:val="left" w:pos="460"/>
      </w:tabs>
      <w:autoSpaceDE/>
      <w:autoSpaceDN/>
      <w:adjustRightInd/>
      <w:ind w:left="170" w:hanging="170"/>
    </w:pPr>
    <w:rPr>
      <w:rFonts w:eastAsiaTheme="minorHAnsi"/>
      <w:bCs w:val="0"/>
      <w:iCs w:val="0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202E51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202E51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02E51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202E51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202E51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202E51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202E51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202E51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2E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2E51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biblio.du.lv/Alise/lv/book.aspx?id=8473&amp;ident=970256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blio.du.lv/Alise/lv/book.aspx?id=13150&amp;ident=9903896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3F08952C88E48F5B7D276CE3D3B6B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8C9AD0-86B1-49FF-AB34-E80FB7FAC947}"/>
      </w:docPartPr>
      <w:docPartBody>
        <w:p w:rsidR="00930B12" w:rsidRDefault="00C17470" w:rsidP="00C17470">
          <w:pPr>
            <w:pStyle w:val="43F08952C88E48F5B7D276CE3D3B6B2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470"/>
    <w:rsid w:val="00057C02"/>
    <w:rsid w:val="001F6E8D"/>
    <w:rsid w:val="00930B12"/>
    <w:rsid w:val="00C17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17470"/>
    <w:rPr>
      <w:color w:val="808080"/>
    </w:rPr>
  </w:style>
  <w:style w:type="paragraph" w:customStyle="1" w:styleId="B170FA597E274E7699273C647502F14D">
    <w:name w:val="B170FA597E274E7699273C647502F14D"/>
    <w:rsid w:val="00C17470"/>
  </w:style>
  <w:style w:type="paragraph" w:customStyle="1" w:styleId="8CB2B106716647DCA1F78A52F767B4E4">
    <w:name w:val="8CB2B106716647DCA1F78A52F767B4E4"/>
    <w:rsid w:val="00C17470"/>
  </w:style>
  <w:style w:type="paragraph" w:customStyle="1" w:styleId="43F08952C88E48F5B7D276CE3D3B6B21">
    <w:name w:val="43F08952C88E48F5B7D276CE3D3B6B21"/>
    <w:rsid w:val="00C1747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17470"/>
    <w:rPr>
      <w:color w:val="808080"/>
    </w:rPr>
  </w:style>
  <w:style w:type="paragraph" w:customStyle="1" w:styleId="B170FA597E274E7699273C647502F14D">
    <w:name w:val="B170FA597E274E7699273C647502F14D"/>
    <w:rsid w:val="00C17470"/>
  </w:style>
  <w:style w:type="paragraph" w:customStyle="1" w:styleId="8CB2B106716647DCA1F78A52F767B4E4">
    <w:name w:val="8CB2B106716647DCA1F78A52F767B4E4"/>
    <w:rsid w:val="00C17470"/>
  </w:style>
  <w:style w:type="paragraph" w:customStyle="1" w:styleId="43F08952C88E48F5B7D276CE3D3B6B21">
    <w:name w:val="43F08952C88E48F5B7D276CE3D3B6B21"/>
    <w:rsid w:val="00C1747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5567</Words>
  <Characters>3174</Characters>
  <Application>Microsoft Office Word</Application>
  <DocSecurity>0</DocSecurity>
  <Lines>26</Lines>
  <Paragraphs>17</Paragraphs>
  <ScaleCrop>false</ScaleCrop>
  <Company/>
  <LinksUpToDate>false</LinksUpToDate>
  <CharactersWithSpaces>8724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2023-07-13T09:12:00Z</dcterms:created>
  <dcterms:modified xsi:type="dcterms:W3CDTF">2023-07-13T09:16:00Z</dcterms:modified>
</cp:coreProperties>
</file>