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4648"/>
        <w:gridCol w:w="4956"/>
      </w:tblGrid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bookmarkStart w:id="0" w:name="_GoBack"/>
            <w:bookmarkEnd w:id="0"/>
            <w:r w:rsidRPr="005773BD">
              <w:br w:type="page"/>
            </w:r>
            <w:r w:rsidRPr="005773BD">
              <w:br w:type="page"/>
            </w:r>
            <w:r w:rsidRPr="005773BD">
              <w:br w:type="page"/>
            </w:r>
            <w:r w:rsidRPr="005773BD">
              <w:br w:type="page"/>
              <w:t>Studiju kursa nosaukums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5773BD" w:rsidRDefault="005773BD" w:rsidP="005773BD">
            <w:pPr>
              <w:rPr>
                <w:b/>
                <w:i/>
                <w:lang w:eastAsia="lv-LV"/>
              </w:rPr>
            </w:pPr>
            <w:r w:rsidRPr="005773BD">
              <w:rPr>
                <w:b/>
                <w:i/>
              </w:rPr>
              <w:t>Inovācijas pūšaminstrumentu spēles metodikā II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Studiju kursa kods (DUIS)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5773BD" w:rsidRDefault="005773BD" w:rsidP="005773BD">
            <w:pPr>
              <w:rPr>
                <w:lang w:eastAsia="lv-LV"/>
              </w:rPr>
            </w:pPr>
            <w:r w:rsidRPr="005773BD">
              <w:rPr>
                <w:lang w:eastAsia="lv-LV"/>
              </w:rPr>
              <w:t>MākZ1414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Zinātnes nozare</w:t>
            </w:r>
          </w:p>
        </w:tc>
        <w:sdt>
          <w:sdtPr>
            <w:id w:val="121734458"/>
            <w:placeholder>
              <w:docPart w:val="3D1FE06FDA774047A98B868D2A7BDF6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773BD" w:rsidRPr="005773BD" w:rsidRDefault="005773BD" w:rsidP="005773BD">
                <w:r w:rsidRPr="005773BD">
                  <w:t>Mākslas zinātne</w:t>
                </w:r>
              </w:p>
            </w:tc>
          </w:sdtContent>
        </w:sdt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Kursa līmenis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7565FC" w:rsidP="005773BD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  <w:rPr>
                <w:u w:val="single"/>
              </w:rPr>
            </w:pPr>
            <w:r w:rsidRPr="005773BD">
              <w:t>Kredītpunkti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5773BD" w:rsidRDefault="005773BD" w:rsidP="005773BD">
            <w:pPr>
              <w:rPr>
                <w:lang w:eastAsia="lv-LV"/>
              </w:rPr>
            </w:pPr>
            <w:r w:rsidRPr="005773BD">
              <w:t>1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  <w:rPr>
                <w:u w:val="single"/>
              </w:rPr>
            </w:pPr>
            <w:r w:rsidRPr="005773BD">
              <w:t>ECTS kredītpunkti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>1,5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Kopējais kontaktstundu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5773BD" w:rsidRDefault="005773BD" w:rsidP="005773BD">
            <w:pPr>
              <w:rPr>
                <w:lang w:eastAsia="lv-LV"/>
              </w:rPr>
            </w:pPr>
            <w:r w:rsidRPr="005773BD">
              <w:rPr>
                <w:lang w:eastAsia="lv-LV"/>
              </w:rPr>
              <w:t>16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2"/>
            </w:pPr>
            <w:r w:rsidRPr="005773BD">
              <w:t>Lekciju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>12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2"/>
            </w:pPr>
            <w:r w:rsidRPr="005773BD">
              <w:t>Semināru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>4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2"/>
            </w:pPr>
            <w:r w:rsidRPr="005773BD">
              <w:t>Praktisko darbu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>–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2"/>
              <w:rPr>
                <w:lang w:eastAsia="lv-LV"/>
              </w:rPr>
            </w:pPr>
            <w:r w:rsidRPr="005773BD">
              <w:rPr>
                <w:lang w:eastAsia="lv-LV"/>
              </w:rPr>
              <w:t>Studējošā patstāvīgā darba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5773BD" w:rsidRDefault="005773BD" w:rsidP="005773BD">
            <w:pPr>
              <w:rPr>
                <w:lang w:eastAsia="lv-LV"/>
              </w:rPr>
            </w:pPr>
            <w:r w:rsidRPr="005773BD">
              <w:rPr>
                <w:lang w:eastAsia="lv-LV"/>
              </w:rPr>
              <w:t>24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5773BD" w:rsidRDefault="005773BD" w:rsidP="005773BD">
            <w:pPr>
              <w:rPr>
                <w:color w:val="FF0000"/>
                <w:lang w:eastAsia="lv-LV"/>
              </w:rPr>
            </w:pP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Kursa autors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r w:rsidRPr="0049628B">
              <w:t xml:space="preserve">Dr. art., </w:t>
            </w:r>
            <w:proofErr w:type="spellStart"/>
            <w:r w:rsidRPr="0049628B">
              <w:t>viesprof</w:t>
            </w:r>
            <w:proofErr w:type="spellEnd"/>
            <w:r w:rsidRPr="0049628B">
              <w:t xml:space="preserve">. </w:t>
            </w:r>
            <w:proofErr w:type="spellStart"/>
            <w:r w:rsidRPr="0049628B">
              <w:t>Rytis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Urniežius</w:t>
            </w:r>
            <w:proofErr w:type="spellEnd"/>
            <w:r w:rsidRPr="0049628B">
              <w:t>, Mūzikas katedra, DU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Kursa docētājs(-i)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r w:rsidRPr="0049628B">
              <w:t xml:space="preserve">Dr. art., </w:t>
            </w:r>
            <w:proofErr w:type="spellStart"/>
            <w:r w:rsidRPr="0049628B">
              <w:t>viesprof</w:t>
            </w:r>
            <w:proofErr w:type="spellEnd"/>
            <w:r w:rsidRPr="0049628B">
              <w:t xml:space="preserve">. </w:t>
            </w:r>
            <w:proofErr w:type="spellStart"/>
            <w:r w:rsidRPr="0049628B">
              <w:t>Ryszard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Zoledziewski</w:t>
            </w:r>
            <w:proofErr w:type="spellEnd"/>
            <w:r w:rsidRPr="0049628B">
              <w:t>, Mūzikas katedra, DU</w:t>
            </w:r>
          </w:p>
          <w:p w:rsidR="005773BD" w:rsidRPr="0049628B" w:rsidRDefault="005773BD" w:rsidP="005773BD">
            <w:proofErr w:type="spellStart"/>
            <w:r w:rsidRPr="0049628B">
              <w:t>Mag</w:t>
            </w:r>
            <w:proofErr w:type="spellEnd"/>
            <w:r w:rsidRPr="0049628B">
              <w:t xml:space="preserve">. art., doc. Dainis </w:t>
            </w:r>
            <w:proofErr w:type="spellStart"/>
            <w:r w:rsidRPr="0049628B">
              <w:t>Vuškāns</w:t>
            </w:r>
            <w:proofErr w:type="spellEnd"/>
            <w:r w:rsidRPr="0049628B">
              <w:t>, Mūzikas katedra, DU</w:t>
            </w:r>
          </w:p>
          <w:p w:rsidR="005773BD" w:rsidRPr="0049628B" w:rsidRDefault="005773BD" w:rsidP="005773BD">
            <w:proofErr w:type="spellStart"/>
            <w:r w:rsidRPr="0049628B">
              <w:t>Mag</w:t>
            </w:r>
            <w:proofErr w:type="spellEnd"/>
            <w:r w:rsidRPr="0049628B">
              <w:t xml:space="preserve">. art., doc. </w:t>
            </w:r>
            <w:proofErr w:type="spellStart"/>
            <w:r w:rsidRPr="0049628B">
              <w:t>Vasilijs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Šušerts</w:t>
            </w:r>
            <w:proofErr w:type="spellEnd"/>
            <w:r w:rsidRPr="0049628B">
              <w:t>, Mūzikas katedra, DU</w:t>
            </w:r>
          </w:p>
          <w:p w:rsidR="005773BD" w:rsidRPr="0049628B" w:rsidRDefault="005773BD" w:rsidP="005773BD">
            <w:proofErr w:type="spellStart"/>
            <w:r w:rsidRPr="0049628B">
              <w:t>Mag</w:t>
            </w:r>
            <w:proofErr w:type="spellEnd"/>
            <w:r w:rsidRPr="0049628B">
              <w:t xml:space="preserve">. art., </w:t>
            </w:r>
            <w:proofErr w:type="spellStart"/>
            <w:r w:rsidRPr="0049628B">
              <w:t>viesasist</w:t>
            </w:r>
            <w:proofErr w:type="spellEnd"/>
            <w:r w:rsidRPr="0049628B">
              <w:t xml:space="preserve">. Ruslans </w:t>
            </w:r>
            <w:proofErr w:type="spellStart"/>
            <w:r w:rsidRPr="0049628B">
              <w:t>Margevičs</w:t>
            </w:r>
            <w:proofErr w:type="spellEnd"/>
            <w:r w:rsidRPr="0049628B">
              <w:t>, Mūzikas katedra, DU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Priekšzināšanas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rPr>
                <w:spacing w:val="6"/>
                <w:sz w:val="22"/>
                <w:szCs w:val="22"/>
              </w:rPr>
            </w:pPr>
            <w:r w:rsidRPr="0049628B">
              <w:t>Profesionālā prasme augstākās profesionālās izglītības līmenī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 xml:space="preserve">Studiju kursa anotācija 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r w:rsidRPr="0049628B">
              <w:t xml:space="preserve">Kurss </w:t>
            </w:r>
            <w:proofErr w:type="gramStart"/>
            <w:r w:rsidRPr="0049628B">
              <w:t xml:space="preserve">paredzēts profesionālās augstākās izglītības maģistra studiju programmas </w:t>
            </w:r>
            <w:r w:rsidRPr="0049628B">
              <w:rPr>
                <w:i/>
              </w:rPr>
              <w:t>Mūzika</w:t>
            </w:r>
            <w:r w:rsidRPr="0049628B">
              <w:t xml:space="preserve"> studentiem ar mērķi</w:t>
            </w:r>
            <w:proofErr w:type="gramEnd"/>
            <w:r w:rsidRPr="0049628B">
              <w:t xml:space="preserve"> sniegt teorētiskās un praktiskās zināšanas par mūsdienās izmantojamiem jauniem </w:t>
            </w:r>
            <w:proofErr w:type="spellStart"/>
            <w:r w:rsidRPr="0049628B">
              <w:t>skaņveides</w:t>
            </w:r>
            <w:proofErr w:type="spellEnd"/>
            <w:r w:rsidRPr="0049628B">
              <w:t xml:space="preserve"> paņēmieniem pūšaminstrumentu spēlē. Kursa uzdevumi ļauj iepazīt mūsdienās izmantojamo netradicionālo </w:t>
            </w:r>
            <w:proofErr w:type="spellStart"/>
            <w:r w:rsidRPr="0049628B">
              <w:t>skaņveidi</w:t>
            </w:r>
            <w:proofErr w:type="spellEnd"/>
            <w:r w:rsidRPr="0049628B">
              <w:t xml:space="preserve"> un izprast jauno </w:t>
            </w:r>
            <w:proofErr w:type="spellStart"/>
            <w:r w:rsidRPr="0049628B">
              <w:t>skaņveides</w:t>
            </w:r>
            <w:proofErr w:type="spellEnd"/>
            <w:r w:rsidRPr="0049628B">
              <w:t xml:space="preserve"> paņēmienu apgūšanas metodes.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Studiju kursa kalendārais plāns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49628B" w:rsidRDefault="005773BD" w:rsidP="005773BD">
            <w:r w:rsidRPr="0049628B">
              <w:t xml:space="preserve">Kursa struktūra: lekcijas (L) – </w:t>
            </w:r>
            <w:r w:rsidR="0049628B" w:rsidRPr="0049628B">
              <w:t>1</w:t>
            </w:r>
            <w:r w:rsidRPr="0049628B">
              <w:t xml:space="preserve">2 stundas, semināri (S) – </w:t>
            </w:r>
            <w:r w:rsidR="0049628B" w:rsidRPr="0049628B">
              <w:t>4</w:t>
            </w:r>
            <w:r w:rsidRPr="0049628B">
              <w:t xml:space="preserve"> stundas. Regulārs nodarbību apmeklējums.</w:t>
            </w:r>
          </w:p>
          <w:p w:rsidR="005773BD" w:rsidRPr="0049628B" w:rsidRDefault="005773BD" w:rsidP="005773BD">
            <w:r w:rsidRPr="0049628B">
              <w:t>Lekcijas:</w:t>
            </w:r>
          </w:p>
          <w:p w:rsidR="005773BD" w:rsidRPr="0049628B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49628B">
              <w:t xml:space="preserve">Permanentā elpa. </w:t>
            </w:r>
          </w:p>
          <w:p w:rsidR="005773BD" w:rsidRPr="0049628B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proofErr w:type="spellStart"/>
            <w:r w:rsidRPr="0049628B">
              <w:t>Frullato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u.c.paņēmieni</w:t>
            </w:r>
            <w:proofErr w:type="spellEnd"/>
            <w:r w:rsidRPr="0049628B">
              <w:t>.</w:t>
            </w:r>
          </w:p>
          <w:p w:rsidR="005773BD" w:rsidRPr="0049628B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49628B">
              <w:t>Praktisks treniņš.</w:t>
            </w:r>
          </w:p>
          <w:p w:rsidR="005773BD" w:rsidRPr="0049628B" w:rsidRDefault="005773BD" w:rsidP="005773BD"/>
          <w:p w:rsidR="005773BD" w:rsidRPr="0049628B" w:rsidRDefault="005773BD" w:rsidP="005773BD">
            <w:r w:rsidRPr="0049628B">
              <w:t>Semināri</w:t>
            </w:r>
          </w:p>
          <w:p w:rsidR="005773BD" w:rsidRPr="0049628B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  <w:rPr>
                <w:i/>
              </w:rPr>
            </w:pPr>
            <w:r w:rsidRPr="0049628B">
              <w:t>Permanentās elpas</w:t>
            </w:r>
            <w:r w:rsidRPr="0049628B">
              <w:rPr>
                <w:i/>
              </w:rPr>
              <w:t xml:space="preserve"> </w:t>
            </w:r>
            <w:r w:rsidRPr="0049628B">
              <w:t>apguves metodiskie paņēmieni.</w:t>
            </w:r>
          </w:p>
          <w:p w:rsidR="005773BD" w:rsidRPr="0049628B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  <w:rPr>
                <w:i/>
              </w:rPr>
            </w:pPr>
            <w:proofErr w:type="spellStart"/>
            <w:r w:rsidRPr="0049628B">
              <w:rPr>
                <w:i/>
              </w:rPr>
              <w:t>Frullato</w:t>
            </w:r>
            <w:proofErr w:type="spellEnd"/>
            <w:r w:rsidRPr="0049628B">
              <w:t xml:space="preserve"> apguves metodiskie paņēmieni.</w:t>
            </w:r>
          </w:p>
          <w:p w:rsidR="005773BD" w:rsidRPr="0049628B" w:rsidRDefault="005773BD" w:rsidP="005773BD"/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Studiju rezultāti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49628B" w:rsidRDefault="005773BD" w:rsidP="005773BD">
            <w:pPr>
              <w:rPr>
                <w:bCs w:val="0"/>
              </w:rPr>
            </w:pPr>
            <w:r w:rsidRPr="0049628B">
              <w:rPr>
                <w:bCs w:val="0"/>
              </w:rPr>
              <w:t>Zināšanas:</w:t>
            </w:r>
          </w:p>
          <w:p w:rsidR="005773BD" w:rsidRPr="0049628B" w:rsidRDefault="005773BD" w:rsidP="005773BD">
            <w:r w:rsidRPr="0049628B">
              <w:rPr>
                <w:bCs w:val="0"/>
              </w:rPr>
              <w:t>- s</w:t>
            </w:r>
            <w:r w:rsidRPr="0049628B">
              <w:t>pēj parādīt zināšanas par pūšaminstrumentu spēles metodikas jautājumiem; pedagoģiskā repertuāra un instruktīvā materiāla apgūšanas īpatnībām;</w:t>
            </w:r>
          </w:p>
          <w:p w:rsidR="005773BD" w:rsidRPr="0049628B" w:rsidRDefault="005773BD" w:rsidP="005773BD">
            <w:r w:rsidRPr="0049628B">
              <w:t>- izprot stundas organizācijas didaktiskos principus, mācību stundas tipus un veidus;</w:t>
            </w:r>
          </w:p>
          <w:p w:rsidR="005773BD" w:rsidRPr="0049628B" w:rsidRDefault="005773BD" w:rsidP="005773BD">
            <w:r w:rsidRPr="0049628B">
              <w:t>- zina mācību priekšmeta satura plānus un apguves metodes;</w:t>
            </w:r>
          </w:p>
          <w:p w:rsidR="005773BD" w:rsidRPr="0049628B" w:rsidRDefault="005773BD" w:rsidP="005773BD">
            <w:pPr>
              <w:rPr>
                <w:bCs w:val="0"/>
              </w:rPr>
            </w:pPr>
            <w:r w:rsidRPr="0049628B">
              <w:t xml:space="preserve">- </w:t>
            </w:r>
            <w:proofErr w:type="spellStart"/>
            <w:r w:rsidRPr="0049628B">
              <w:t>pārzin</w:t>
            </w:r>
            <w:proofErr w:type="spellEnd"/>
            <w:r w:rsidRPr="0049628B">
              <w:t xml:space="preserve"> spēles tehnikas un muzicēšanas attīstīšanas paņēmienus, skaņdarba iestudēšanas metodiku.</w:t>
            </w:r>
          </w:p>
          <w:p w:rsidR="005773BD" w:rsidRPr="0049628B" w:rsidRDefault="005773BD" w:rsidP="005773BD">
            <w:pPr>
              <w:rPr>
                <w:bCs w:val="0"/>
              </w:rPr>
            </w:pPr>
            <w:r w:rsidRPr="0049628B">
              <w:rPr>
                <w:bCs w:val="0"/>
              </w:rPr>
              <w:t>Prasmes:</w:t>
            </w:r>
          </w:p>
          <w:p w:rsidR="005773BD" w:rsidRPr="0049628B" w:rsidRDefault="005773BD" w:rsidP="005773BD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</w:pPr>
            <w:r w:rsidRPr="0049628B">
              <w:rPr>
                <w:bCs w:val="0"/>
              </w:rPr>
              <w:lastRenderedPageBreak/>
              <w:t>s</w:t>
            </w:r>
            <w:r w:rsidRPr="0049628B">
              <w:t>pēj praktiski demonstrēt pūšaminstrumentu spēles paņēmienus, izpratni par to pielietošanu risinot dažādas tehniskās un mākslinieciskās problēmas;</w:t>
            </w:r>
          </w:p>
          <w:p w:rsidR="005773BD" w:rsidRPr="0049628B" w:rsidRDefault="005773BD" w:rsidP="005773BD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</w:pPr>
            <w:r w:rsidRPr="0049628B">
              <w:t>demonstrē mākslinieciski pilnvērtīgu skaņdarbu izpildījumu;</w:t>
            </w:r>
          </w:p>
          <w:p w:rsidR="005773BD" w:rsidRPr="0049628B" w:rsidRDefault="005773BD" w:rsidP="005773BD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  <w:rPr>
                <w:bCs w:val="0"/>
              </w:rPr>
            </w:pPr>
            <w:r w:rsidRPr="0049628B">
              <w:t>prasme veidot savstarpējās attiecības ar audzēkņiem un viņu vecākiem;</w:t>
            </w:r>
          </w:p>
          <w:p w:rsidR="005773BD" w:rsidRPr="0049628B" w:rsidRDefault="005773BD" w:rsidP="005773BD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  <w:rPr>
                <w:bCs w:val="0"/>
              </w:rPr>
            </w:pPr>
            <w:r w:rsidRPr="0049628B">
              <w:t>prasme saistīt mācību procesa teorētisko un praktisko daļu.</w:t>
            </w:r>
          </w:p>
          <w:p w:rsidR="005773BD" w:rsidRPr="0049628B" w:rsidRDefault="005773BD" w:rsidP="005773BD">
            <w:pPr>
              <w:rPr>
                <w:bCs w:val="0"/>
              </w:rPr>
            </w:pPr>
            <w:r w:rsidRPr="0049628B">
              <w:rPr>
                <w:bCs w:val="0"/>
              </w:rPr>
              <w:t>Kompetences:</w:t>
            </w:r>
          </w:p>
          <w:p w:rsidR="005773BD" w:rsidRPr="0049628B" w:rsidRDefault="005773BD" w:rsidP="005773BD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49628B">
              <w:t xml:space="preserve">spēj patstāvīgi iegūt jaunāko informāciju un izmantot to dažādu pūšaminstrumentu spēles metodikas problemātisku jautājumu risināšanā, </w:t>
            </w:r>
          </w:p>
          <w:p w:rsidR="005773BD" w:rsidRPr="0049628B" w:rsidRDefault="005773BD" w:rsidP="005773BD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49628B">
              <w:t>orientēties pedagoģiskajā un mākslinieciskajā literatūrā un izprast šī materiāla apgūšanas metodes;</w:t>
            </w:r>
          </w:p>
          <w:p w:rsidR="005773BD" w:rsidRPr="0049628B" w:rsidRDefault="005773BD" w:rsidP="005773BD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49628B">
              <w:t>prot paust savu attieksmi izvērtējot savu un citu pūšaminstrumentu spēles prasmi un to izmantot pedagoģiskajā darbībā;</w:t>
            </w:r>
          </w:p>
          <w:p w:rsidR="005773BD" w:rsidRPr="0049628B" w:rsidRDefault="005773BD" w:rsidP="005773BD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49628B">
              <w:t>ievēro profesionālās ētikas normas;</w:t>
            </w:r>
          </w:p>
          <w:p w:rsidR="005773BD" w:rsidRPr="0049628B" w:rsidRDefault="005773BD" w:rsidP="005773BD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49628B">
              <w:t>prot patstāvīgi saistīt metodiku ar cietiem mūzikas teorētiskajiem priekšmetiem un specialitāti;</w:t>
            </w:r>
          </w:p>
          <w:p w:rsidR="005773BD" w:rsidRPr="005773BD" w:rsidRDefault="005773BD" w:rsidP="005773BD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  <w:rPr>
                <w:color w:val="FF0000"/>
              </w:rPr>
            </w:pPr>
            <w:r w:rsidRPr="0049628B">
              <w:t>prot analizēt un izvērtēt savu pedagoģisko darbību.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lastRenderedPageBreak/>
              <w:t>Studējošo patstāvīgo darbu organizācijas un uzdevumu raksturojums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jc w:val="both"/>
            </w:pPr>
            <w:r w:rsidRPr="0049628B">
              <w:t xml:space="preserve">Pūšaminstrumentu pedagoģijas izglītības teoriju tālāka izpēte pamatojoties uz literatūras avotiem. Zināšanu par spēles tehnikas attīstības metodēm, metodiskajiem paņēmieniem dažāda stila repertuārā apguve. 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Prasības kredītpunktu iegūšanai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49628B" w:rsidRDefault="005773BD" w:rsidP="005773BD">
            <w:pPr>
              <w:jc w:val="both"/>
            </w:pPr>
            <w:r w:rsidRPr="0049628B">
              <w:t xml:space="preserve">Izmantojamās studiju formas: lekcijas, </w:t>
            </w:r>
            <w:proofErr w:type="spellStart"/>
            <w:r w:rsidRPr="0049628B">
              <w:t>starppārbaudījumi-semināri,</w:t>
            </w:r>
            <w:proofErr w:type="spellEnd"/>
            <w:r w:rsidRPr="0049628B">
              <w:t xml:space="preserve"> radošie patstāvīgie darbi, analītisks mutisks skaņdarba raksturojums no notīm, ieskaites. Kursu apgūst latviešu valodā.</w:t>
            </w:r>
          </w:p>
          <w:p w:rsidR="005773BD" w:rsidRPr="0049628B" w:rsidRDefault="005773BD" w:rsidP="005773BD">
            <w:pPr>
              <w:jc w:val="both"/>
            </w:pPr>
            <w:r w:rsidRPr="0049628B">
              <w:t xml:space="preserve">Pārbaudījumu prasības: </w:t>
            </w:r>
          </w:p>
          <w:p w:rsidR="005773BD" w:rsidRPr="0049628B" w:rsidRDefault="005773BD" w:rsidP="005773BD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contextualSpacing/>
              <w:jc w:val="both"/>
              <w:rPr>
                <w:i/>
              </w:rPr>
            </w:pPr>
            <w:r w:rsidRPr="0049628B">
              <w:t>Regulārs un aktīvs darbs semināros, demonstrējot instrumenta spēles apguves metodikas būtības izpratni;</w:t>
            </w:r>
          </w:p>
          <w:p w:rsidR="005773BD" w:rsidRPr="0049628B" w:rsidRDefault="005773BD" w:rsidP="005773BD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contextualSpacing/>
              <w:jc w:val="both"/>
            </w:pPr>
            <w:r w:rsidRPr="0049628B">
              <w:t>Kvalitatīvi izpildīti kursa programmā norādītie patstāvīgie darbi: skaņdarba apguvei raksturīgo metožu izvēle un pamatojums.</w:t>
            </w:r>
          </w:p>
          <w:p w:rsidR="005773BD" w:rsidRPr="0049628B" w:rsidRDefault="005773BD" w:rsidP="005773BD">
            <w:pPr>
              <w:tabs>
                <w:tab w:val="left" w:pos="-340"/>
                <w:tab w:val="left" w:pos="169"/>
              </w:tabs>
              <w:jc w:val="both"/>
              <w:rPr>
                <w:iCs w:val="0"/>
              </w:rPr>
            </w:pPr>
            <w:r w:rsidRPr="0049628B">
              <w:rPr>
                <w:iCs w:val="0"/>
              </w:rPr>
              <w:t>Studentu darbība studiju procesā šajā kursā tiek vērtēta pēc šādiem komponentiem: p</w:t>
            </w:r>
            <w:r w:rsidRPr="0049628B">
              <w:t xml:space="preserve">ūšaminstrumentu mūzika vēstures un repertuāra </w:t>
            </w:r>
            <w:r w:rsidRPr="0049628B">
              <w:rPr>
                <w:iCs w:val="0"/>
              </w:rPr>
              <w:t xml:space="preserve">analīzes kompetence, teorijas un vēstures zināšanas. </w:t>
            </w:r>
          </w:p>
          <w:p w:rsidR="005773BD" w:rsidRPr="0049628B" w:rsidRDefault="005773BD" w:rsidP="005773BD">
            <w:pPr>
              <w:jc w:val="both"/>
            </w:pPr>
            <w:r w:rsidRPr="0049628B">
              <w:t xml:space="preserve">Vērtēšanas metode: </w:t>
            </w:r>
            <w:proofErr w:type="spellStart"/>
            <w:r w:rsidRPr="0049628B">
              <w:t>summatīvā</w:t>
            </w:r>
            <w:proofErr w:type="spellEnd"/>
            <w:r w:rsidRPr="0049628B">
              <w:t xml:space="preserve"> (ar atzīmi)</w:t>
            </w:r>
          </w:p>
          <w:p w:rsidR="005773BD" w:rsidRPr="0049628B" w:rsidRDefault="005773BD" w:rsidP="005773BD">
            <w:pPr>
              <w:contextualSpacing/>
            </w:pPr>
            <w:r w:rsidRPr="0049628B">
              <w:t xml:space="preserve">Vērtēšanas forma: mutiska (teorētiskās zināšanas ilustrējot ar praktiskiem piemēriem). </w:t>
            </w:r>
          </w:p>
          <w:p w:rsidR="005773BD" w:rsidRPr="0049628B" w:rsidRDefault="005773BD" w:rsidP="005773BD">
            <w:pPr>
              <w:rPr>
                <w:bCs w:val="0"/>
              </w:rPr>
            </w:pPr>
            <w:r w:rsidRPr="0049628B">
              <w:t>Vērtēšanas kritēriji:</w:t>
            </w:r>
          </w:p>
          <w:p w:rsidR="005773BD" w:rsidRPr="0049628B" w:rsidRDefault="005773BD" w:rsidP="005773BD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628B">
              <w:rPr>
                <w:rFonts w:ascii="Times New Roman" w:hAnsi="Times New Roman"/>
              </w:rPr>
              <w:t>Studentu spēju attīstības līkne tiek vērtēta vairākas reizes semestrī, proti, semināra stundās un katra semestra noslēguma pārbaudījumā – ieskaitē. Kopvērtējumu sastāda: semināru vērtējums – 40%, ieskaite – 60%. Lai veicinātu zināšanu un prasmju vērtēšanas iemaņu attīstību, dažkārt studenti tiek iesaistīti citu studentu kompetences rezultātu novērtēšanā.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Vērtēšanas kritēriji: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zināšanas par konkrēta pūšaminstrumenta tehniku;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spēja nosaukt nozīmīgākās pūšaminstrumentu mācīšanas metodes;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pedagoģiskā repertuāra pārzināšana;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spēja analizēt un novērtēt pūšaminstrumentu pedagoģiskā repertuāra vērtējumus konkrēta vecuma studentiem;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komunikācijas prasmju izpausme, kas nepieciešama, lai studentiem sniegtu pareizu informāciju;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spēja sastādīt individuālu stundu plānu atbilstoši studentu vecumam, iespējām un repertuāram.</w:t>
            </w:r>
          </w:p>
          <w:p w:rsidR="005773BD" w:rsidRPr="0049628B" w:rsidRDefault="005773BD" w:rsidP="005773BD"/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Kursa saturs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49628B">
              <w:t>Permanentās elpas</w:t>
            </w:r>
            <w:r w:rsidRPr="0049628B">
              <w:rPr>
                <w:i/>
              </w:rPr>
              <w:t xml:space="preserve"> </w:t>
            </w:r>
            <w:r w:rsidRPr="0049628B">
              <w:t>apguves metodiskie paņēmieni. Praktiska demonstrācija.</w:t>
            </w:r>
          </w:p>
          <w:p w:rsidR="005773BD" w:rsidRPr="0049628B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proofErr w:type="spellStart"/>
            <w:r w:rsidRPr="0049628B">
              <w:rPr>
                <w:i/>
              </w:rPr>
              <w:lastRenderedPageBreak/>
              <w:t>Frullato</w:t>
            </w:r>
            <w:proofErr w:type="spellEnd"/>
            <w:r w:rsidRPr="0049628B">
              <w:t xml:space="preserve"> apguves metodiskie paņēmieni. Praktiska demonstrācija.</w:t>
            </w:r>
          </w:p>
          <w:p w:rsidR="005773BD" w:rsidRPr="0049628B" w:rsidRDefault="005773BD" w:rsidP="005773BD">
            <w:pPr>
              <w:tabs>
                <w:tab w:val="left" w:pos="360"/>
              </w:tabs>
              <w:jc w:val="both"/>
            </w:pP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lastRenderedPageBreak/>
              <w:t>Obligāti izmantojamie informācijas avoti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r w:rsidRPr="0049628B">
              <w:t xml:space="preserve">Morics I., 1983. </w:t>
            </w:r>
            <w:proofErr w:type="spellStart"/>
            <w:r w:rsidRPr="0049628B">
              <w:t>Vibrato</w:t>
            </w:r>
            <w:proofErr w:type="spellEnd"/>
            <w:r w:rsidRPr="0049628B">
              <w:t xml:space="preserve"> estētisko kritēriju un to izpildījuma tehnoloģijas attīstība flautas un citu koka pūšamo instrumentu spēlē. Rīga. </w:t>
            </w:r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r w:rsidRPr="0049628B">
              <w:t xml:space="preserve">Albert K.A., 2002. </w:t>
            </w:r>
            <w:proofErr w:type="spellStart"/>
            <w:r w:rsidRPr="0049628B">
              <w:t>Using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educational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tehnology</w:t>
            </w:r>
            <w:proofErr w:type="spellEnd"/>
            <w:r w:rsidRPr="0049628B">
              <w:t xml:space="preserve"> to </w:t>
            </w:r>
            <w:proofErr w:type="spellStart"/>
            <w:r w:rsidRPr="0049628B">
              <w:t>enhance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music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learning</w:t>
            </w:r>
            <w:proofErr w:type="spellEnd"/>
            <w:r w:rsidRPr="0049628B">
              <w:t xml:space="preserve">. </w:t>
            </w:r>
            <w:proofErr w:type="spellStart"/>
            <w:r w:rsidRPr="0049628B">
              <w:t>Music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Education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Internacional</w:t>
            </w:r>
            <w:proofErr w:type="spellEnd"/>
            <w:r w:rsidRPr="0049628B">
              <w:t xml:space="preserve">. </w:t>
            </w:r>
          </w:p>
          <w:p w:rsidR="005773BD" w:rsidRPr="0049628B" w:rsidRDefault="005773BD" w:rsidP="005773BD">
            <w:pPr>
              <w:rPr>
                <w:bCs w:val="0"/>
                <w:iCs w:val="0"/>
                <w:lang w:val="en-GB"/>
              </w:rPr>
            </w:pPr>
            <w:r w:rsidRPr="0049628B">
              <w:rPr>
                <w:bCs w:val="0"/>
                <w:iCs w:val="0"/>
                <w:lang w:val="en-GB"/>
              </w:rPr>
              <w:t xml:space="preserve">Caplan, B. (2004). </w:t>
            </w:r>
            <w:r w:rsidRPr="0049628B">
              <w:rPr>
                <w:bCs w:val="0"/>
                <w:i/>
                <w:iCs w:val="0"/>
                <w:lang w:val="en-GB"/>
              </w:rPr>
              <w:t>Practicing For Artistic Success: The Musician's Guide to Self- Empowerment.</w:t>
            </w:r>
            <w:r w:rsidRPr="0049628B">
              <w:rPr>
                <w:bCs w:val="0"/>
                <w:iCs w:val="0"/>
                <w:lang w:val="en-GB"/>
              </w:rPr>
              <w:t xml:space="preserve"> Perception Development Techniques, NY.</w:t>
            </w:r>
          </w:p>
          <w:p w:rsidR="005773BD" w:rsidRPr="0049628B" w:rsidRDefault="005773BD" w:rsidP="0049628B">
            <w:pPr>
              <w:pStyle w:val="Heading1"/>
              <w:shd w:val="clear" w:color="auto" w:fill="FFFFFF"/>
              <w:spacing w:before="0" w:after="0" w:line="240" w:lineRule="auto"/>
              <w:outlineLvl w:val="0"/>
              <w:rPr>
                <w:bCs/>
                <w:iCs/>
              </w:rPr>
            </w:pPr>
            <w:r w:rsidRPr="0049628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 xml:space="preserve">Jacobs, A. (1987). </w:t>
            </w:r>
            <w:proofErr w:type="gramStart"/>
            <w:r w:rsidRPr="0049628B">
              <w:rPr>
                <w:rFonts w:ascii="Times New Roman" w:eastAsia="Calibri" w:hAnsi="Times New Roman" w:cs="font371"/>
                <w:bCs/>
                <w:i/>
                <w:iCs/>
                <w:sz w:val="24"/>
                <w:szCs w:val="24"/>
                <w:lang w:val="en-GB"/>
              </w:rPr>
              <w:t>The Legacy of a Master the Personal and Pedagogical Recollections of 31 of His Colleagues Students and Friends.</w:t>
            </w:r>
            <w:proofErr w:type="gramEnd"/>
            <w:r w:rsidRPr="0049628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49628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>The Instrumentalist Publishing Company.</w:t>
            </w:r>
            <w:proofErr w:type="gramEnd"/>
            <w:r w:rsidRPr="0049628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br/>
            </w:r>
          </w:p>
        </w:tc>
      </w:tr>
      <w:tr w:rsidR="005773BD" w:rsidRPr="0049628B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Papildus informācijas avoti</w:t>
            </w:r>
          </w:p>
        </w:tc>
      </w:tr>
      <w:tr w:rsidR="005773BD" w:rsidRPr="0049628B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Thursons</w:t>
            </w:r>
            <w:proofErr w:type="spellEnd"/>
            <w:r w:rsidRPr="0049628B">
              <w:t xml:space="preserve"> F., 1993. Klarnetes ābece. Ceturtais izdevums. </w:t>
            </w:r>
            <w:proofErr w:type="spellStart"/>
            <w:r w:rsidRPr="0049628B">
              <w:t>Izd</w:t>
            </w:r>
            <w:proofErr w:type="spellEnd"/>
            <w:r w:rsidRPr="0049628B">
              <w:t xml:space="preserve">. Mana zvaigzne. </w:t>
            </w:r>
          </w:p>
          <w:p w:rsidR="005773BD" w:rsidRPr="0049628B" w:rsidRDefault="005773BD" w:rsidP="005773BD">
            <w:pPr>
              <w:autoSpaceDE/>
              <w:autoSpaceDN/>
              <w:adjustRightInd/>
            </w:pPr>
            <w:proofErr w:type="spellStart"/>
            <w:r w:rsidRPr="0049628B">
              <w:rPr>
                <w:bCs w:val="0"/>
                <w:iCs w:val="0"/>
                <w:lang w:val="en-GB"/>
              </w:rPr>
              <w:t>Steenstrup</w:t>
            </w:r>
            <w:proofErr w:type="spellEnd"/>
            <w:r w:rsidRPr="0049628B">
              <w:rPr>
                <w:bCs w:val="0"/>
                <w:iCs w:val="0"/>
                <w:lang w:val="en-GB"/>
              </w:rPr>
              <w:t xml:space="preserve">, K. (2007). </w:t>
            </w:r>
            <w:r w:rsidRPr="0049628B">
              <w:rPr>
                <w:bCs w:val="0"/>
                <w:i/>
                <w:iCs w:val="0"/>
                <w:lang w:val="en-GB"/>
              </w:rPr>
              <w:t>Teaching Brass</w:t>
            </w:r>
            <w:r w:rsidRPr="0049628B">
              <w:rPr>
                <w:bCs w:val="0"/>
                <w:iCs w:val="0"/>
                <w:lang w:val="en-GB"/>
              </w:rPr>
              <w:t>. Aarhus University Press.</w:t>
            </w:r>
            <w:r w:rsidRPr="0049628B">
              <w:rPr>
                <w:bCs w:val="0"/>
                <w:iCs w:val="0"/>
                <w:lang w:val="en-GB"/>
              </w:rPr>
              <w:br/>
              <w:t xml:space="preserve">McGill, D. (2009). </w:t>
            </w:r>
            <w:r w:rsidRPr="0049628B">
              <w:rPr>
                <w:bCs w:val="0"/>
                <w:i/>
                <w:iCs w:val="0"/>
                <w:lang w:val="en-GB"/>
              </w:rPr>
              <w:t>Sound in Motion: A Performer's Guide to Greater Musical Expression.</w:t>
            </w:r>
            <w:r w:rsidRPr="0049628B">
              <w:rPr>
                <w:bCs w:val="0"/>
                <w:iCs w:val="0"/>
                <w:lang w:val="en-GB"/>
              </w:rPr>
              <w:t xml:space="preserve"> Indiana University Press.</w:t>
            </w:r>
            <w:proofErr w:type="spellStart"/>
            <w:r w:rsidRPr="0049628B">
              <w:t>Spruce</w:t>
            </w:r>
            <w:proofErr w:type="spellEnd"/>
            <w:r w:rsidRPr="0049628B">
              <w:t xml:space="preserve"> G., 2002. </w:t>
            </w:r>
            <w:proofErr w:type="spellStart"/>
            <w:r w:rsidRPr="0049628B">
              <w:t>Teaching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music</w:t>
            </w:r>
            <w:proofErr w:type="spellEnd"/>
            <w:r w:rsidRPr="0049628B">
              <w:t xml:space="preserve">. London. </w:t>
            </w:r>
            <w:proofErr w:type="spellStart"/>
            <w:r w:rsidRPr="0049628B">
              <w:t>New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York</w:t>
            </w:r>
            <w:proofErr w:type="spellEnd"/>
            <w:r w:rsidRPr="0049628B">
              <w:t xml:space="preserve">: </w:t>
            </w:r>
            <w:proofErr w:type="spellStart"/>
            <w:r w:rsidRPr="0049628B">
              <w:t>Open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University</w:t>
            </w:r>
            <w:proofErr w:type="spellEnd"/>
            <w:r w:rsidRPr="0049628B">
              <w:t xml:space="preserve">. </w:t>
            </w:r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Фидотов</w:t>
            </w:r>
            <w:proofErr w:type="spellEnd"/>
            <w:r w:rsidRPr="0049628B">
              <w:t xml:space="preserve"> А., 1975. </w:t>
            </w:r>
            <w:proofErr w:type="spellStart"/>
            <w:r w:rsidRPr="0049628B">
              <w:t>Методика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обучения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игре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на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духовых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инструментах</w:t>
            </w:r>
            <w:proofErr w:type="spellEnd"/>
            <w:r w:rsidRPr="0049628B">
              <w:t xml:space="preserve">. М.: </w:t>
            </w:r>
            <w:proofErr w:type="spellStart"/>
            <w:r w:rsidRPr="0049628B">
              <w:t>Музыка</w:t>
            </w:r>
            <w:proofErr w:type="spellEnd"/>
            <w:r w:rsidRPr="0049628B">
              <w:t xml:space="preserve">. </w:t>
            </w:r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Диков</w:t>
            </w:r>
            <w:proofErr w:type="spellEnd"/>
            <w:r w:rsidRPr="0049628B">
              <w:t xml:space="preserve"> Б., 1983. </w:t>
            </w:r>
            <w:proofErr w:type="spellStart"/>
            <w:r w:rsidRPr="0049628B">
              <w:t>Методика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игре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на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кларнете</w:t>
            </w:r>
            <w:proofErr w:type="spellEnd"/>
            <w:r w:rsidRPr="0049628B">
              <w:t xml:space="preserve">. М: </w:t>
            </w:r>
            <w:proofErr w:type="spellStart"/>
            <w:r w:rsidRPr="0049628B">
              <w:t>Музыка</w:t>
            </w:r>
            <w:proofErr w:type="spellEnd"/>
            <w:r w:rsidRPr="0049628B">
              <w:t>.</w:t>
            </w:r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Мазель</w:t>
            </w:r>
            <w:proofErr w:type="spellEnd"/>
            <w:r w:rsidRPr="0049628B">
              <w:t xml:space="preserve"> Л., 1991. О </w:t>
            </w:r>
            <w:proofErr w:type="spellStart"/>
            <w:r w:rsidRPr="0049628B">
              <w:t>природе</w:t>
            </w:r>
            <w:proofErr w:type="spellEnd"/>
            <w:r w:rsidRPr="0049628B">
              <w:t xml:space="preserve"> и </w:t>
            </w:r>
            <w:proofErr w:type="spellStart"/>
            <w:r w:rsidRPr="0049628B">
              <w:t>средствах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музыки</w:t>
            </w:r>
            <w:proofErr w:type="spellEnd"/>
            <w:r w:rsidRPr="0049628B">
              <w:t xml:space="preserve">/ 2 –е </w:t>
            </w:r>
            <w:proofErr w:type="spellStart"/>
            <w:r w:rsidRPr="0049628B">
              <w:t>изд</w:t>
            </w:r>
            <w:proofErr w:type="spellEnd"/>
            <w:r w:rsidRPr="0049628B">
              <w:t xml:space="preserve">. – М.: </w:t>
            </w:r>
            <w:proofErr w:type="spellStart"/>
            <w:r w:rsidRPr="0049628B">
              <w:t>Музыка</w:t>
            </w:r>
            <w:proofErr w:type="spellEnd"/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Мальцев</w:t>
            </w:r>
            <w:proofErr w:type="spellEnd"/>
            <w:r w:rsidRPr="0049628B">
              <w:t xml:space="preserve"> С., 1991. О </w:t>
            </w:r>
            <w:proofErr w:type="spellStart"/>
            <w:r w:rsidRPr="0049628B">
              <w:t>психологии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музыкальной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импровизации</w:t>
            </w:r>
            <w:proofErr w:type="spellEnd"/>
            <w:r w:rsidRPr="0049628B">
              <w:t xml:space="preserve">. - М.: </w:t>
            </w:r>
            <w:proofErr w:type="spellStart"/>
            <w:r w:rsidRPr="0049628B">
              <w:t>Музыка</w:t>
            </w:r>
            <w:proofErr w:type="spellEnd"/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Медушевский</w:t>
            </w:r>
            <w:proofErr w:type="spellEnd"/>
            <w:r w:rsidRPr="0049628B">
              <w:t xml:space="preserve"> В., 1980. О </w:t>
            </w:r>
            <w:proofErr w:type="spellStart"/>
            <w:r w:rsidRPr="0049628B">
              <w:t>художественной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ценности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мелодического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начала</w:t>
            </w:r>
            <w:proofErr w:type="spellEnd"/>
            <w:r w:rsidRPr="0049628B">
              <w:t xml:space="preserve"> в </w:t>
            </w:r>
            <w:proofErr w:type="spellStart"/>
            <w:r w:rsidRPr="0049628B">
              <w:t>современной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музыке</w:t>
            </w:r>
            <w:proofErr w:type="spellEnd"/>
            <w:r w:rsidRPr="0049628B">
              <w:t xml:space="preserve">// </w:t>
            </w:r>
            <w:proofErr w:type="spellStart"/>
            <w:r w:rsidRPr="0049628B">
              <w:t>Критика</w:t>
            </w:r>
            <w:proofErr w:type="spellEnd"/>
            <w:r w:rsidRPr="0049628B">
              <w:t xml:space="preserve"> и </w:t>
            </w:r>
            <w:proofErr w:type="spellStart"/>
            <w:r w:rsidRPr="0049628B">
              <w:t>музыкознание</w:t>
            </w:r>
            <w:proofErr w:type="spellEnd"/>
            <w:r w:rsidRPr="0049628B">
              <w:t xml:space="preserve">/ </w:t>
            </w:r>
            <w:proofErr w:type="spellStart"/>
            <w:r w:rsidRPr="0049628B">
              <w:t>Сб</w:t>
            </w:r>
            <w:proofErr w:type="spellEnd"/>
            <w:r w:rsidRPr="0049628B">
              <w:t xml:space="preserve">. </w:t>
            </w:r>
            <w:proofErr w:type="spellStart"/>
            <w:r w:rsidRPr="0049628B">
              <w:t>ст</w:t>
            </w:r>
            <w:proofErr w:type="spellEnd"/>
            <w:r w:rsidRPr="0049628B">
              <w:t xml:space="preserve">. – </w:t>
            </w:r>
            <w:proofErr w:type="spellStart"/>
            <w:r w:rsidRPr="0049628B">
              <w:t>Вып</w:t>
            </w:r>
            <w:proofErr w:type="spellEnd"/>
            <w:r w:rsidRPr="0049628B">
              <w:t xml:space="preserve">. 2. – </w:t>
            </w:r>
            <w:proofErr w:type="spellStart"/>
            <w:r w:rsidRPr="0049628B">
              <w:t>Ленинград</w:t>
            </w:r>
            <w:proofErr w:type="spellEnd"/>
            <w:r w:rsidRPr="0049628B">
              <w:t xml:space="preserve">: </w:t>
            </w:r>
            <w:proofErr w:type="spellStart"/>
            <w:r w:rsidRPr="0049628B">
              <w:t>Музыка</w:t>
            </w:r>
            <w:proofErr w:type="spellEnd"/>
            <w:r w:rsidRPr="0049628B">
              <w:t>.</w:t>
            </w:r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Ривгун</w:t>
            </w:r>
            <w:proofErr w:type="spellEnd"/>
            <w:r w:rsidRPr="0049628B">
              <w:t xml:space="preserve"> А., 1977. </w:t>
            </w:r>
            <w:proofErr w:type="spellStart"/>
            <w:r w:rsidRPr="0049628B">
              <w:t>Школа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игры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на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саксафоне</w:t>
            </w:r>
            <w:proofErr w:type="spellEnd"/>
            <w:r w:rsidRPr="0049628B">
              <w:t xml:space="preserve">. М. </w:t>
            </w:r>
            <w:proofErr w:type="spellStart"/>
            <w:r w:rsidRPr="0049628B">
              <w:t>Музыка</w:t>
            </w:r>
            <w:proofErr w:type="spellEnd"/>
            <w:r w:rsidRPr="0049628B">
              <w:t xml:space="preserve">. </w:t>
            </w:r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Цыпин</w:t>
            </w:r>
            <w:proofErr w:type="spellEnd"/>
            <w:r w:rsidRPr="0049628B">
              <w:t xml:space="preserve"> Г. 2003. </w:t>
            </w:r>
            <w:proofErr w:type="spellStart"/>
            <w:r w:rsidRPr="0049628B">
              <w:t>Психология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музыкальной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деятелности</w:t>
            </w:r>
            <w:proofErr w:type="spellEnd"/>
            <w:r w:rsidRPr="0049628B">
              <w:t xml:space="preserve">. М. </w:t>
            </w:r>
            <w:proofErr w:type="spellStart"/>
            <w:r w:rsidRPr="0049628B">
              <w:t>Музыка</w:t>
            </w:r>
            <w:proofErr w:type="spellEnd"/>
            <w:r w:rsidRPr="0049628B">
              <w:t xml:space="preserve">. </w:t>
            </w:r>
          </w:p>
          <w:p w:rsidR="005773BD" w:rsidRPr="0049628B" w:rsidRDefault="005773BD" w:rsidP="005773BD">
            <w:proofErr w:type="spellStart"/>
            <w:r w:rsidRPr="0049628B">
              <w:t>Шульпяков</w:t>
            </w:r>
            <w:proofErr w:type="spellEnd"/>
            <w:r w:rsidRPr="0049628B">
              <w:t xml:space="preserve"> О., 2005. </w:t>
            </w:r>
            <w:proofErr w:type="spellStart"/>
            <w:r w:rsidRPr="0049628B">
              <w:t>Работа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над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художественным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произведением</w:t>
            </w:r>
            <w:proofErr w:type="spellEnd"/>
            <w:r w:rsidRPr="0049628B">
              <w:t xml:space="preserve"> и </w:t>
            </w:r>
            <w:proofErr w:type="spellStart"/>
            <w:r w:rsidRPr="0049628B">
              <w:t>формирование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музыкального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мышления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исполнителя</w:t>
            </w:r>
            <w:proofErr w:type="spellEnd"/>
            <w:r w:rsidRPr="0049628B">
              <w:t xml:space="preserve">. – </w:t>
            </w:r>
            <w:proofErr w:type="spellStart"/>
            <w:r w:rsidRPr="0049628B">
              <w:t>Санкт-Петербург: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Композитор</w:t>
            </w:r>
            <w:proofErr w:type="spellEnd"/>
          </w:p>
          <w:p w:rsidR="005773BD" w:rsidRPr="0049628B" w:rsidRDefault="005773BD" w:rsidP="005773BD">
            <w:pPr>
              <w:ind w:left="2"/>
            </w:pPr>
            <w:proofErr w:type="spellStart"/>
            <w:r w:rsidRPr="0049628B">
              <w:t>Усов</w:t>
            </w:r>
            <w:proofErr w:type="spellEnd"/>
            <w:r w:rsidRPr="0049628B">
              <w:t xml:space="preserve"> Ю., 1978. </w:t>
            </w:r>
            <w:proofErr w:type="spellStart"/>
            <w:r w:rsidRPr="0049628B">
              <w:t>Методика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обучения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игре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на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духовых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инструментах</w:t>
            </w:r>
            <w:proofErr w:type="spellEnd"/>
            <w:r w:rsidRPr="0049628B">
              <w:t xml:space="preserve">. М.: </w:t>
            </w:r>
            <w:proofErr w:type="spellStart"/>
            <w:r w:rsidRPr="0049628B">
              <w:t>Музыка</w:t>
            </w:r>
            <w:proofErr w:type="spellEnd"/>
            <w:r w:rsidRPr="0049628B">
              <w:t>.</w:t>
            </w:r>
          </w:p>
          <w:p w:rsidR="005773BD" w:rsidRPr="0049628B" w:rsidRDefault="005773BD" w:rsidP="005773BD">
            <w:pPr>
              <w:rPr>
                <w:bCs w:val="0"/>
                <w:iCs w:val="0"/>
                <w:lang w:val="en-GB"/>
              </w:rPr>
            </w:pPr>
          </w:p>
        </w:tc>
      </w:tr>
      <w:tr w:rsidR="005773BD" w:rsidRPr="0049628B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Periodika un citi informācijas avoti</w:t>
            </w:r>
          </w:p>
        </w:tc>
      </w:tr>
      <w:tr w:rsidR="005773BD" w:rsidRPr="0049628B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49628B" w:rsidRDefault="005773BD" w:rsidP="005773BD">
            <w:pPr>
              <w:ind w:left="2"/>
              <w:jc w:val="both"/>
              <w:rPr>
                <w:bCs w:val="0"/>
                <w:iCs w:val="0"/>
                <w:lang w:val="en-GB"/>
              </w:rPr>
            </w:pPr>
            <w:proofErr w:type="spellStart"/>
            <w:r w:rsidRPr="0049628B">
              <w:rPr>
                <w:bCs w:val="0"/>
                <w:iCs w:val="0"/>
                <w:lang w:val="en-GB"/>
              </w:rPr>
              <w:t>Žurnāli</w:t>
            </w:r>
            <w:proofErr w:type="spellEnd"/>
            <w:r w:rsidRPr="0049628B">
              <w:rPr>
                <w:bCs w:val="0"/>
                <w:iCs w:val="0"/>
                <w:lang w:val="en-GB"/>
              </w:rPr>
              <w:t>:</w:t>
            </w:r>
          </w:p>
          <w:p w:rsidR="005773BD" w:rsidRPr="003C617B" w:rsidRDefault="005773BD" w:rsidP="005773BD">
            <w:pPr>
              <w:ind w:left="2"/>
              <w:rPr>
                <w:bCs w:val="0"/>
                <w:iCs w:val="0"/>
              </w:rPr>
            </w:pPr>
            <w:r w:rsidRPr="0049628B">
              <w:rPr>
                <w:bCs w:val="0"/>
                <w:iCs w:val="0"/>
                <w:lang w:val="en-GB"/>
              </w:rPr>
              <w:t xml:space="preserve">British Journal of Music Education. </w:t>
            </w:r>
            <w:hyperlink r:id="rId8" w:history="1">
              <w:r w:rsidRPr="003C617B">
                <w:rPr>
                  <w:bCs w:val="0"/>
                  <w:iCs w:val="0"/>
                </w:rPr>
                <w:t>https://www.cambridge.org/core/journals/british-journal-of-music-education</w:t>
              </w:r>
            </w:hyperlink>
            <w:r w:rsidRPr="003C617B">
              <w:rPr>
                <w:bCs w:val="0"/>
                <w:iCs w:val="0"/>
              </w:rPr>
              <w:t>.</w:t>
            </w:r>
          </w:p>
          <w:p w:rsidR="005773BD" w:rsidRPr="0049628B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 w:rsidRPr="0049628B">
              <w:rPr>
                <w:bCs w:val="0"/>
                <w:iCs w:val="0"/>
                <w:lang w:val="en-GB"/>
              </w:rPr>
              <w:t xml:space="preserve">Early Music Performer. </w:t>
            </w:r>
            <w:hyperlink r:id="rId9" w:history="1">
              <w:r w:rsidRPr="0049628B">
                <w:rPr>
                  <w:lang w:val="en-GB"/>
                </w:rPr>
                <w:t>https://www.earlymusic.info/Performer.php</w:t>
              </w:r>
            </w:hyperlink>
            <w:r w:rsidRPr="0049628B">
              <w:rPr>
                <w:bCs w:val="0"/>
                <w:iCs w:val="0"/>
                <w:lang w:val="en-GB"/>
              </w:rPr>
              <w:t>.</w:t>
            </w:r>
          </w:p>
          <w:p w:rsidR="005773BD" w:rsidRPr="0049628B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 w:rsidRPr="0049628B">
              <w:rPr>
                <w:bCs w:val="0"/>
                <w:iCs w:val="0"/>
                <w:lang w:val="en-GB"/>
              </w:rPr>
              <w:t xml:space="preserve">International Journal of music Education. </w:t>
            </w:r>
            <w:hyperlink r:id="rId10" w:history="1">
              <w:r w:rsidRPr="0049628B">
                <w:rPr>
                  <w:bCs w:val="0"/>
                  <w:iCs w:val="0"/>
                  <w:lang w:val="en-GB"/>
                </w:rPr>
                <w:t>https://journals.sagepub.com/home/ijm</w:t>
              </w:r>
            </w:hyperlink>
            <w:r w:rsidRPr="0049628B">
              <w:rPr>
                <w:bCs w:val="0"/>
                <w:iCs w:val="0"/>
                <w:lang w:val="en-GB"/>
              </w:rPr>
              <w:t>.</w:t>
            </w:r>
          </w:p>
          <w:p w:rsidR="005773BD" w:rsidRPr="0049628B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 w:rsidRPr="0049628B">
              <w:rPr>
                <w:bCs w:val="0"/>
                <w:iCs w:val="0"/>
                <w:lang w:val="en-GB"/>
              </w:rPr>
              <w:t>Journal of Research in Music Education.</w:t>
            </w:r>
          </w:p>
          <w:p w:rsidR="005773BD" w:rsidRPr="0049628B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 w:rsidRPr="0049628B">
              <w:rPr>
                <w:bCs w:val="0"/>
                <w:iCs w:val="0"/>
                <w:lang w:val="en-GB"/>
              </w:rPr>
              <w:t>https://journals.sagepub.com/doi/abs/10.1177/0022429415583474?journalCode=jrmas.</w:t>
            </w:r>
          </w:p>
          <w:p w:rsidR="005773BD" w:rsidRPr="0049628B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proofErr w:type="spellStart"/>
            <w:r w:rsidRPr="0049628B">
              <w:rPr>
                <w:bCs w:val="0"/>
                <w:iCs w:val="0"/>
                <w:lang w:val="en-GB"/>
              </w:rPr>
              <w:t>Windplayer</w:t>
            </w:r>
            <w:proofErr w:type="spellEnd"/>
            <w:r w:rsidRPr="0049628B">
              <w:rPr>
                <w:bCs w:val="0"/>
                <w:iCs w:val="0"/>
                <w:lang w:val="en-GB"/>
              </w:rPr>
              <w:t xml:space="preserve">. For Wind and Bras Musicians. </w:t>
            </w:r>
            <w:hyperlink r:id="rId11" w:history="1">
              <w:r w:rsidRPr="0049628B">
                <w:rPr>
                  <w:bCs w:val="0"/>
                  <w:iCs w:val="0"/>
                  <w:lang w:val="en-GB"/>
                </w:rPr>
                <w:t>https://journals.sagepub.com/doi/abs/10.1177/0022429415583474?journalCode=jrma</w:t>
              </w:r>
            </w:hyperlink>
            <w:r w:rsidRPr="0049628B">
              <w:rPr>
                <w:bCs w:val="0"/>
                <w:iCs w:val="0"/>
                <w:lang w:val="en-GB"/>
              </w:rPr>
              <w:t>.</w:t>
            </w:r>
          </w:p>
          <w:p w:rsidR="005773BD" w:rsidRPr="0049628B" w:rsidRDefault="005773BD" w:rsidP="005773BD">
            <w:pPr>
              <w:rPr>
                <w:i/>
                <w:lang w:eastAsia="lv-LV"/>
              </w:rPr>
            </w:pPr>
          </w:p>
        </w:tc>
      </w:tr>
      <w:tr w:rsidR="005773BD" w:rsidRPr="0049628B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Piezīmes</w:t>
            </w:r>
          </w:p>
        </w:tc>
      </w:tr>
      <w:tr w:rsidR="005773BD" w:rsidRPr="0049628B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49628B">
              <w:t xml:space="preserve">Profesionālās maģistra studiju programmas ”Mūzika”. </w:t>
            </w:r>
          </w:p>
        </w:tc>
      </w:tr>
    </w:tbl>
    <w:p w:rsidR="005773BD" w:rsidRPr="0049628B" w:rsidRDefault="005773BD"/>
    <w:sectPr w:rsidR="005773BD" w:rsidRPr="0049628B" w:rsidSect="0021730A">
      <w:footerReference w:type="default" r:id="rId12"/>
      <w:pgSz w:w="11906" w:h="16838"/>
      <w:pgMar w:top="1440" w:right="1133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ACA" w:rsidRDefault="003F1ACA" w:rsidP="0021730A">
      <w:r>
        <w:separator/>
      </w:r>
    </w:p>
  </w:endnote>
  <w:endnote w:type="continuationSeparator" w:id="0">
    <w:p w:rsidR="003F1ACA" w:rsidRDefault="003F1ACA" w:rsidP="0021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iberation Sans">
    <w:altName w:val="Microsoft Sans Serif"/>
    <w:charset w:val="BA"/>
    <w:family w:val="swiss"/>
    <w:pitch w:val="default"/>
    <w:sig w:usb0="E0001AFF" w:usb1="500078FF" w:usb2="00000021" w:usb3="00000000" w:csb0="000001B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225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73BD" w:rsidRDefault="005773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52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73BD" w:rsidRDefault="005773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ACA" w:rsidRDefault="003F1ACA" w:rsidP="0021730A">
      <w:r>
        <w:separator/>
      </w:r>
    </w:p>
  </w:footnote>
  <w:footnote w:type="continuationSeparator" w:id="0">
    <w:p w:rsidR="003F1ACA" w:rsidRDefault="003F1ACA" w:rsidP="00217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97EC8"/>
    <w:multiLevelType w:val="hybridMultilevel"/>
    <w:tmpl w:val="204AF8E8"/>
    <w:lvl w:ilvl="0" w:tplc="528AE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C77201D0">
      <w:start w:val="3"/>
      <w:numFmt w:val="decimal"/>
      <w:lvlText w:val="%2"/>
      <w:lvlJc w:val="left"/>
      <w:pPr>
        <w:tabs>
          <w:tab w:val="num" w:pos="1156"/>
        </w:tabs>
        <w:ind w:left="1156" w:hanging="360"/>
      </w:pPr>
      <w:rPr>
        <w:color w:val="00FF00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74589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D14E4"/>
    <w:multiLevelType w:val="hybridMultilevel"/>
    <w:tmpl w:val="A5FEA6BA"/>
    <w:lvl w:ilvl="0" w:tplc="AFAE22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D03239"/>
    <w:multiLevelType w:val="hybridMultilevel"/>
    <w:tmpl w:val="A86253D0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0A"/>
    <w:rsid w:val="00061F81"/>
    <w:rsid w:val="000C7DE6"/>
    <w:rsid w:val="001A5280"/>
    <w:rsid w:val="0021730A"/>
    <w:rsid w:val="00350B81"/>
    <w:rsid w:val="003C617B"/>
    <w:rsid w:val="003D6702"/>
    <w:rsid w:val="003F1ACA"/>
    <w:rsid w:val="00435CD3"/>
    <w:rsid w:val="0049628B"/>
    <w:rsid w:val="004A0D9C"/>
    <w:rsid w:val="005773BD"/>
    <w:rsid w:val="005E3B1A"/>
    <w:rsid w:val="006E1A07"/>
    <w:rsid w:val="007565FC"/>
    <w:rsid w:val="007E32A8"/>
    <w:rsid w:val="009128CD"/>
    <w:rsid w:val="00960361"/>
    <w:rsid w:val="00987D6B"/>
    <w:rsid w:val="00A8582C"/>
    <w:rsid w:val="00B45259"/>
    <w:rsid w:val="00C7139E"/>
    <w:rsid w:val="00CF2DA2"/>
    <w:rsid w:val="00D025B6"/>
    <w:rsid w:val="00E05877"/>
    <w:rsid w:val="00E24A6F"/>
    <w:rsid w:val="00E97CAB"/>
    <w:rsid w:val="00EE1FFC"/>
    <w:rsid w:val="00EF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3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qFormat/>
    <w:rsid w:val="006E1A07"/>
    <w:pPr>
      <w:keepNext/>
      <w:suppressAutoHyphens/>
      <w:autoSpaceDE/>
      <w:autoSpaceDN/>
      <w:adjustRightInd/>
      <w:spacing w:before="240" w:after="120" w:line="276" w:lineRule="auto"/>
      <w:outlineLvl w:val="0"/>
    </w:pPr>
    <w:rPr>
      <w:rFonts w:ascii="Liberation Sans" w:eastAsia="Lucida Sans Unicode" w:hAnsi="Liberation Sans" w:cs="Mangal"/>
      <w:bCs w:val="0"/>
      <w:iCs w:val="0"/>
      <w:kern w:val="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21730A"/>
    <w:pPr>
      <w:suppressAutoHyphens/>
      <w:autoSpaceDE/>
      <w:autoSpaceDN/>
      <w:adjustRightInd/>
      <w:spacing w:after="140" w:line="288" w:lineRule="auto"/>
    </w:pPr>
    <w:rPr>
      <w:rFonts w:ascii="Calibri" w:hAnsi="Calibri"/>
      <w:bCs w:val="0"/>
      <w:iCs w:val="0"/>
      <w:kern w:val="2"/>
      <w:sz w:val="22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21730A"/>
    <w:rPr>
      <w:rFonts w:ascii="Calibri" w:eastAsia="Calibri" w:hAnsi="Calibri" w:cs="Times New Roman"/>
      <w:kern w:val="2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21730A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21730A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21730A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21730A"/>
    <w:rPr>
      <w:i/>
      <w:iCs w:val="0"/>
    </w:rPr>
  </w:style>
  <w:style w:type="table" w:styleId="TableGrid">
    <w:name w:val="Table Grid"/>
    <w:basedOn w:val="TableNormal"/>
    <w:uiPriority w:val="59"/>
    <w:rsid w:val="002173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21730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0A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E1A07"/>
    <w:rPr>
      <w:rFonts w:ascii="Liberation Sans" w:eastAsia="Lucida Sans Unicode" w:hAnsi="Liberation Sans" w:cs="Mangal"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3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qFormat/>
    <w:rsid w:val="006E1A07"/>
    <w:pPr>
      <w:keepNext/>
      <w:suppressAutoHyphens/>
      <w:autoSpaceDE/>
      <w:autoSpaceDN/>
      <w:adjustRightInd/>
      <w:spacing w:before="240" w:after="120" w:line="276" w:lineRule="auto"/>
      <w:outlineLvl w:val="0"/>
    </w:pPr>
    <w:rPr>
      <w:rFonts w:ascii="Liberation Sans" w:eastAsia="Lucida Sans Unicode" w:hAnsi="Liberation Sans" w:cs="Mangal"/>
      <w:bCs w:val="0"/>
      <w:iCs w:val="0"/>
      <w:kern w:val="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21730A"/>
    <w:pPr>
      <w:suppressAutoHyphens/>
      <w:autoSpaceDE/>
      <w:autoSpaceDN/>
      <w:adjustRightInd/>
      <w:spacing w:after="140" w:line="288" w:lineRule="auto"/>
    </w:pPr>
    <w:rPr>
      <w:rFonts w:ascii="Calibri" w:hAnsi="Calibri"/>
      <w:bCs w:val="0"/>
      <w:iCs w:val="0"/>
      <w:kern w:val="2"/>
      <w:sz w:val="22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21730A"/>
    <w:rPr>
      <w:rFonts w:ascii="Calibri" w:eastAsia="Calibri" w:hAnsi="Calibri" w:cs="Times New Roman"/>
      <w:kern w:val="2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21730A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21730A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21730A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21730A"/>
    <w:rPr>
      <w:i/>
      <w:iCs w:val="0"/>
    </w:rPr>
  </w:style>
  <w:style w:type="table" w:styleId="TableGrid">
    <w:name w:val="Table Grid"/>
    <w:basedOn w:val="TableNormal"/>
    <w:uiPriority w:val="59"/>
    <w:rsid w:val="002173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21730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0A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E1A07"/>
    <w:rPr>
      <w:rFonts w:ascii="Liberation Sans" w:eastAsia="Lucida Sans Unicode" w:hAnsi="Liberation Sans" w:cs="Mangal"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bridge.org/core/journals/british-journal-of-music-educatio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journals.sagepub.com/doi/abs/10.1177/0022429415583474?journalCode=jrm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journals.sagepub.com/home/ij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arlymusic.info/Performer.php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D1FE06FDA774047A98B868D2A7BD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9ED1E-F10A-4FDF-95E3-2181593E1170}"/>
      </w:docPartPr>
      <w:docPartBody>
        <w:p w:rsidR="008E5A82" w:rsidRDefault="008E5A82" w:rsidP="008E5A82">
          <w:pPr>
            <w:pStyle w:val="3D1FE06FDA774047A98B868D2A7BDF6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iberation Sans">
    <w:altName w:val="Microsoft Sans Serif"/>
    <w:charset w:val="BA"/>
    <w:family w:val="swiss"/>
    <w:pitch w:val="default"/>
    <w:sig w:usb0="E0001AFF" w:usb1="500078FF" w:usb2="00000021" w:usb3="00000000" w:csb0="000001B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D2"/>
    <w:rsid w:val="00281BD2"/>
    <w:rsid w:val="0028770B"/>
    <w:rsid w:val="004043AD"/>
    <w:rsid w:val="00776F43"/>
    <w:rsid w:val="008E5A82"/>
    <w:rsid w:val="00E55EFE"/>
    <w:rsid w:val="00EC1463"/>
    <w:rsid w:val="00F6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5A82"/>
  </w:style>
  <w:style w:type="paragraph" w:customStyle="1" w:styleId="E213ACF7EC664901A08D7C1580DDE927">
    <w:name w:val="E213ACF7EC664901A08D7C1580DDE927"/>
    <w:rsid w:val="00281BD2"/>
  </w:style>
  <w:style w:type="paragraph" w:customStyle="1" w:styleId="65222A96FC5744288EF65CE56408ACC4">
    <w:name w:val="65222A96FC5744288EF65CE56408ACC4"/>
    <w:rsid w:val="008E5A82"/>
  </w:style>
  <w:style w:type="paragraph" w:customStyle="1" w:styleId="3D1FE06FDA774047A98B868D2A7BDF65">
    <w:name w:val="3D1FE06FDA774047A98B868D2A7BDF65"/>
    <w:rsid w:val="008E5A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5A82"/>
  </w:style>
  <w:style w:type="paragraph" w:customStyle="1" w:styleId="E213ACF7EC664901A08D7C1580DDE927">
    <w:name w:val="E213ACF7EC664901A08D7C1580DDE927"/>
    <w:rsid w:val="00281BD2"/>
  </w:style>
  <w:style w:type="paragraph" w:customStyle="1" w:styleId="65222A96FC5744288EF65CE56408ACC4">
    <w:name w:val="65222A96FC5744288EF65CE56408ACC4"/>
    <w:rsid w:val="008E5A82"/>
  </w:style>
  <w:style w:type="paragraph" w:customStyle="1" w:styleId="3D1FE06FDA774047A98B868D2A7BDF65">
    <w:name w:val="3D1FE06FDA774047A98B868D2A7BDF65"/>
    <w:rsid w:val="008E5A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4768</Words>
  <Characters>2719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2023-02-01T07:52:00Z</dcterms:created>
  <dcterms:modified xsi:type="dcterms:W3CDTF">2023-07-12T05:39:00Z</dcterms:modified>
</cp:coreProperties>
</file>