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A0F" w:rsidRPr="00CC3268" w:rsidRDefault="00AC1A0F" w:rsidP="00AC1A0F">
      <w:r w:rsidRPr="00CC3268">
        <w:t>DU studiju virziena “Ķīmija, ķīmijas tehnoloģijas un biotehnoloģija” SVID analīze:</w:t>
      </w:r>
    </w:p>
    <w:tbl>
      <w:tblPr>
        <w:tblStyle w:val="ListTable3-Accent5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4394"/>
        <w:gridCol w:w="4678"/>
      </w:tblGrid>
      <w:tr w:rsidR="00AC1A0F" w:rsidRPr="00CC3268" w:rsidTr="00CD17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</w:pPr>
          </w:p>
        </w:tc>
        <w:tc>
          <w:tcPr>
            <w:tcW w:w="439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CC3268">
              <w:rPr>
                <w:b/>
                <w:bCs/>
              </w:rPr>
              <w:t>Stiprās puses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  <w:rPr>
                <w:b/>
                <w:bCs/>
              </w:rPr>
            </w:pPr>
            <w:r w:rsidRPr="00CC3268">
              <w:rPr>
                <w:b/>
                <w:bCs/>
              </w:rPr>
              <w:t>Vājās puses</w:t>
            </w:r>
          </w:p>
        </w:tc>
      </w:tr>
      <w:tr w:rsidR="00AC1A0F" w:rsidRPr="00CC3268" w:rsidTr="00CD1726">
        <w:trPr>
          <w:trHeight w:val="48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extDirection w:val="btLr"/>
          </w:tcPr>
          <w:p w:rsidR="00AC1A0F" w:rsidRPr="00CC3268" w:rsidRDefault="00AC1A0F" w:rsidP="00CD1726">
            <w:pPr>
              <w:pStyle w:val="table"/>
              <w:jc w:val="center"/>
            </w:pPr>
            <w:r w:rsidRPr="00CC3268">
              <w:t>Iekšējie nosacījumi</w:t>
            </w:r>
          </w:p>
        </w:tc>
        <w:tc>
          <w:tcPr>
            <w:tcW w:w="4394" w:type="dxa"/>
          </w:tcPr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pasniedzējiem ir kvalitatīva nepieciešamā izglītība un liela pedagoģiskā un zinātniski–pētnieciskā darba pieredze;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kvalificēts un pieredzes bagāts mācību palīgpersonāls;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personāla pieredze projektu darbos;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augsti kvalificēti un profesionāli sagatavoti programmas absolventi;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laba sadarbība ar DU struktūrvienībām, Latvijas un ārvalstu izglītības un zinātniski pētnieciskajām iestādēm;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sadarbība starp mācībspēkiem un studējošajiem, regulāra studiju programmas attīstības izvērtēšana;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studiju programma ir mērķtiecīgi orientēta galvenokārt uz Latgales un citu Austrumlatvijas reģionu vajadzībām;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sadarbība ar darba devējiem.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</w:tcPr>
          <w:p w:rsidR="008006BC" w:rsidRPr="008006BC" w:rsidRDefault="008006BC" w:rsidP="00AC1A0F">
            <w:pPr>
              <w:pStyle w:val="table"/>
              <w:numPr>
                <w:ilvl w:val="0"/>
                <w:numId w:val="2"/>
              </w:numPr>
              <w:ind w:left="205" w:hanging="218"/>
              <w:rPr>
                <w:highlight w:val="yellow"/>
              </w:rPr>
            </w:pPr>
            <w:r w:rsidRPr="008006BC">
              <w:rPr>
                <w:highlight w:val="yellow"/>
              </w:rPr>
              <w:t>N</w:t>
            </w:r>
            <w:r w:rsidRPr="008006BC">
              <w:rPr>
                <w:highlight w:val="yellow"/>
              </w:rPr>
              <w:t>eliel</w:t>
            </w:r>
            <w:r w:rsidRPr="008006BC">
              <w:rPr>
                <w:highlight w:val="yellow"/>
              </w:rPr>
              <w:t>s</w:t>
            </w:r>
            <w:r w:rsidRPr="008006BC">
              <w:rPr>
                <w:highlight w:val="yellow"/>
              </w:rPr>
              <w:t xml:space="preserve"> studiju programmu skait</w:t>
            </w:r>
            <w:r w:rsidRPr="008006BC">
              <w:rPr>
                <w:highlight w:val="yellow"/>
              </w:rPr>
              <w:t>s</w:t>
            </w:r>
            <w:r w:rsidRPr="008006BC">
              <w:rPr>
                <w:highlight w:val="yellow"/>
              </w:rPr>
              <w:t xml:space="preserve"> un to apšaubām</w:t>
            </w:r>
            <w:r w:rsidRPr="008006BC">
              <w:rPr>
                <w:highlight w:val="yellow"/>
              </w:rPr>
              <w:t>a</w:t>
            </w:r>
            <w:r w:rsidRPr="008006BC">
              <w:rPr>
                <w:highlight w:val="yellow"/>
              </w:rPr>
              <w:t xml:space="preserve"> ekonomisk</w:t>
            </w:r>
            <w:r w:rsidRPr="008006BC">
              <w:rPr>
                <w:highlight w:val="yellow"/>
              </w:rPr>
              <w:t>a</w:t>
            </w:r>
            <w:r w:rsidRPr="008006BC">
              <w:rPr>
                <w:highlight w:val="yellow"/>
              </w:rPr>
              <w:t xml:space="preserve"> un organizatorisk</w:t>
            </w:r>
            <w:r w:rsidRPr="008006BC">
              <w:rPr>
                <w:highlight w:val="yellow"/>
              </w:rPr>
              <w:t>a</w:t>
            </w:r>
            <w:r w:rsidRPr="008006BC">
              <w:rPr>
                <w:highlight w:val="yellow"/>
              </w:rPr>
              <w:t xml:space="preserve"> ilgtspēj</w:t>
            </w:r>
            <w:r w:rsidRPr="008006BC">
              <w:rPr>
                <w:highlight w:val="yellow"/>
              </w:rPr>
              <w:t>a;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 xml:space="preserve">nepietiekams skaits publicēto materiālu, kuri atspoguļo zinātniski–pētniecisko un metodisko personāla darbību; neaktīva piedalīšanās starptautiskās konferencēs;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Motivējošas sistēmas trūkums mācībspēkiem darbā ar ārvalstu studentiem;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Akadēmiskā personāla atjaunotne</w:t>
            </w:r>
            <w:r w:rsidR="008006BC">
              <w:t xml:space="preserve">, </w:t>
            </w:r>
            <w:r w:rsidR="008006BC" w:rsidRPr="008006BC">
              <w:rPr>
                <w:highlight w:val="yellow"/>
              </w:rPr>
              <w:t>nepietiekam</w:t>
            </w:r>
            <w:r w:rsidR="008006BC">
              <w:rPr>
                <w:highlight w:val="yellow"/>
              </w:rPr>
              <w:t>ais</w:t>
            </w:r>
            <w:r w:rsidR="008006BC" w:rsidRPr="008006BC">
              <w:rPr>
                <w:highlight w:val="yellow"/>
              </w:rPr>
              <w:t xml:space="preserve"> akadēmiskā personāla (īpaši </w:t>
            </w:r>
            <w:r w:rsidR="008006BC" w:rsidRPr="008006BC">
              <w:rPr>
                <w:highlight w:val="yellow"/>
              </w:rPr>
              <w:t>docētāju</w:t>
            </w:r>
            <w:r w:rsidR="008006BC" w:rsidRPr="008006BC">
              <w:rPr>
                <w:highlight w:val="yellow"/>
              </w:rPr>
              <w:t xml:space="preserve"> ar doktora grādu ķīmijā) skait</w:t>
            </w:r>
            <w:r w:rsidR="008006BC">
              <w:rPr>
                <w:highlight w:val="yellow"/>
              </w:rPr>
              <w:t>s</w:t>
            </w:r>
            <w:r w:rsidR="008006BC" w:rsidRPr="008006BC">
              <w:rPr>
                <w:highlight w:val="yellow"/>
              </w:rPr>
              <w:t xml:space="preserve"> un atbilstošu mūžizglītības programmu trūkum</w:t>
            </w:r>
            <w:r w:rsidR="008006BC">
              <w:rPr>
                <w:highlight w:val="yellow"/>
              </w:rPr>
              <w:t>s</w:t>
            </w:r>
            <w:r w:rsidRPr="008006BC">
              <w:rPr>
                <w:highlight w:val="yellow"/>
              </w:rPr>
              <w:t>;</w:t>
            </w:r>
            <w:r w:rsidR="004E4F46">
              <w:t xml:space="preserve">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nepietiekamais studējošo un mācībspēku svešvalodu zināšanu līmenis;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DU bibliotēkas samērā vājais nodrošinājums ar mūsdienu zinātnisko literatūru un periodiku latviešu valodā;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ne pilnā apmērā tiek izmantotas studentu apmaiņas programmu iespējas;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Neparedzama valdības politika izglītības finansēšanas jomā;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2"/>
              </w:numPr>
              <w:ind w:left="205" w:hanging="218"/>
            </w:pPr>
            <w:r w:rsidRPr="00CC3268">
              <w:t>Objektīvi ierobežojumi laboratorijas darbu digitalizēšanas iespējām, jo ne visu var digitalizēt</w:t>
            </w:r>
          </w:p>
          <w:p w:rsidR="00AC1A0F" w:rsidRPr="00CC3268" w:rsidRDefault="00AC1A0F" w:rsidP="00CD1726">
            <w:pPr>
              <w:pStyle w:val="table"/>
              <w:ind w:left="205" w:hanging="218"/>
            </w:pPr>
          </w:p>
        </w:tc>
      </w:tr>
      <w:tr w:rsidR="00AC1A0F" w:rsidRPr="00CC3268" w:rsidTr="00CD17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CC3268">
              <w:rPr>
                <w:b/>
                <w:bCs/>
              </w:rPr>
              <w:t>Attīstības iespējas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pStyle w:val="table"/>
              <w:jc w:val="center"/>
              <w:rPr>
                <w:b/>
                <w:bCs/>
              </w:rPr>
            </w:pPr>
            <w:r w:rsidRPr="00CC3268">
              <w:rPr>
                <w:b/>
                <w:bCs/>
              </w:rPr>
              <w:t>Riski</w:t>
            </w:r>
          </w:p>
        </w:tc>
      </w:tr>
      <w:tr w:rsidR="00AC1A0F" w:rsidRPr="00CC3268" w:rsidTr="00CD1726">
        <w:trPr>
          <w:trHeight w:val="4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  <w:textDirection w:val="btLr"/>
          </w:tcPr>
          <w:p w:rsidR="00AC1A0F" w:rsidRPr="00CC3268" w:rsidRDefault="00AC1A0F" w:rsidP="00CD1726">
            <w:pPr>
              <w:pStyle w:val="table"/>
              <w:jc w:val="center"/>
              <w:rPr>
                <w:lang w:eastAsia="lv-LV"/>
              </w:rPr>
            </w:pPr>
            <w:r w:rsidRPr="00CC3268">
              <w:t>Ārējie nosacījumi</w:t>
            </w:r>
          </w:p>
        </w:tc>
        <w:tc>
          <w:tcPr>
            <w:tcW w:w="4394" w:type="dxa"/>
          </w:tcPr>
          <w:p w:rsidR="00AC1A0F" w:rsidRPr="00CC3268" w:rsidRDefault="00AC1A0F" w:rsidP="00AC1A0F">
            <w:pPr>
              <w:pStyle w:val="table"/>
              <w:numPr>
                <w:ilvl w:val="0"/>
                <w:numId w:val="4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attīstības stratēģijas patstāvīga pilnveidošana, ievērojot izmaiņas darba tirgū un svarīgākās attīstības tendences pasaulē, jaunu studiju programmu ieviešana;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ES finanšu instrumentu un struktūrfondu līdzekļu piesaistīšana studiju vides un kvalitātes paaugstināšanai;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sadarbības paplašināšana ar citām Eiropas universitātēm, izmantojot ERASMUS iespējas studentu un docētāju apmaiņai;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sadarbības paplašināšana ar citām Latvijas augstskolām, kurās tiek realizētas ķīmijas zinātnes studiju programmas;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studiju kursu nodrošināšana svešvalodās, ārvalstu studentu piesaistīšana studiju programmā;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kvalificētu vieslektoru piesaiste;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7" w:hanging="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jaunu akadēmiskā personāla un palīgpersonāla štata vietu atvēršana, jaunu docētāju ievēlēšana līdz ar programmas attīstību, jaunu programmu izveidi un zinātniskās infrastruktūras paplašināšanu.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</w:tcPr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>budžeta finansējuma samazināšana;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>demogrāfiskās situācijas iespaidā var samazināties potenciālo studentu skaits, kā arī – pasliktināties uzņemto studentu sākotnējā sagatavotība;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 xml:space="preserve">konkurences pastiprināšanās izglītības pakalpojumu tirgū; 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>nepietiekami izmantotas finansējuma piesaistes iespējas zinātnisko pētījumu veikšanai un materiāli tehniskās bāzes pilnveidošanai (LZP, IZM u.c. granti, ES finansējums);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>darba devēju neprasme noformulēt precīzas prasības ķīmijas jomas efektīva un konkurētspējīga speciālista pastāvošajā darba tirgū kompetencēm;</w:t>
            </w:r>
          </w:p>
          <w:p w:rsidR="00AC1A0F" w:rsidRPr="00CC3268" w:rsidRDefault="00AC1A0F" w:rsidP="00AC1A0F">
            <w:pPr>
              <w:pStyle w:val="table"/>
              <w:numPr>
                <w:ilvl w:val="0"/>
                <w:numId w:val="3"/>
              </w:numPr>
              <w:ind w:left="205" w:hanging="218"/>
            </w:pPr>
            <w:r w:rsidRPr="00CC3268">
              <w:t>personāla novecošana, nepietiekams skaits aizstāvēto promocijas darbu jauno zinātnieku vidū.</w:t>
            </w:r>
          </w:p>
        </w:tc>
      </w:tr>
    </w:tbl>
    <w:p w:rsidR="00AC1A0F" w:rsidRDefault="00AC1A0F" w:rsidP="00AC1A0F"/>
    <w:p w:rsidR="00AC1A0F" w:rsidRDefault="00AC1A0F" w:rsidP="00AC1A0F"/>
    <w:p w:rsidR="00AC1A0F" w:rsidRDefault="00AC1A0F" w:rsidP="00AC1A0F"/>
    <w:p w:rsidR="00AC1A0F" w:rsidRPr="00CC3268" w:rsidRDefault="00AC1A0F" w:rsidP="00AC1A0F"/>
    <w:p w:rsidR="00AC1A0F" w:rsidRPr="00CC3268" w:rsidRDefault="00AC1A0F" w:rsidP="00AC1A0F">
      <w:r w:rsidRPr="00CC3268">
        <w:t>SVID analīzes matrica stratēģijas izvēlei:</w:t>
      </w:r>
    </w:p>
    <w:tbl>
      <w:tblPr>
        <w:tblStyle w:val="GridTable1Light-Accent1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AC1A0F" w:rsidRPr="00CC3268" w:rsidTr="00CD17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jc w:val="center"/>
            </w:pPr>
          </w:p>
        </w:tc>
        <w:tc>
          <w:tcPr>
            <w:tcW w:w="4394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iCs/>
              </w:rPr>
              <w:t>Attīstības iespējas</w:t>
            </w:r>
          </w:p>
        </w:tc>
        <w:tc>
          <w:tcPr>
            <w:tcW w:w="4643" w:type="dxa"/>
            <w:shd w:val="clear" w:color="auto" w:fill="D9E2F3" w:themeFill="accent1" w:themeFillTint="33"/>
          </w:tcPr>
          <w:p w:rsidR="00AC1A0F" w:rsidRPr="00CC3268" w:rsidRDefault="00AC1A0F" w:rsidP="00CD1726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iCs/>
              </w:rPr>
              <w:t>Riski</w:t>
            </w:r>
          </w:p>
        </w:tc>
      </w:tr>
      <w:tr w:rsidR="00AC1A0F" w:rsidRPr="00CC3268" w:rsidTr="00CD1726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 w:val="restart"/>
            <w:textDirection w:val="btLr"/>
          </w:tcPr>
          <w:p w:rsidR="00AC1A0F" w:rsidRPr="00CC3268" w:rsidRDefault="00AC1A0F" w:rsidP="00CD1726">
            <w:pPr>
              <w:ind w:left="113" w:right="113"/>
              <w:jc w:val="center"/>
            </w:pPr>
            <w:r w:rsidRPr="00CC3268">
              <w:rPr>
                <w:iCs/>
              </w:rPr>
              <w:t>Stiprās puses</w:t>
            </w:r>
          </w:p>
        </w:tc>
        <w:tc>
          <w:tcPr>
            <w:tcW w:w="4394" w:type="dxa"/>
            <w:shd w:val="clear" w:color="auto" w:fill="B4C6E7" w:themeFill="accent1" w:themeFillTint="66"/>
          </w:tcPr>
          <w:p w:rsidR="00AC1A0F" w:rsidRPr="00CC3268" w:rsidRDefault="00AC1A0F" w:rsidP="00CD1726">
            <w:pPr>
              <w:spacing w:after="0"/>
              <w:ind w:firstLine="6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</w:rPr>
            </w:pPr>
            <w:r w:rsidRPr="00CC3268">
              <w:rPr>
                <w:b/>
                <w:bCs/>
                <w:iCs/>
              </w:rPr>
              <w:t xml:space="preserve">Stipro pušu izmantošanas stratēģijas maksimālās atdeves iegūšanai no piedāvātajām iespējām </w:t>
            </w:r>
          </w:p>
        </w:tc>
        <w:tc>
          <w:tcPr>
            <w:tcW w:w="4643" w:type="dxa"/>
            <w:shd w:val="clear" w:color="auto" w:fill="B4C6E7" w:themeFill="accent1" w:themeFillTint="66"/>
          </w:tcPr>
          <w:p w:rsidR="00AC1A0F" w:rsidRPr="00CC3268" w:rsidRDefault="00AC1A0F" w:rsidP="00CD1726">
            <w:pPr>
              <w:spacing w:after="0"/>
              <w:ind w:firstLine="6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</w:rPr>
            </w:pPr>
            <w:r w:rsidRPr="00CC3268">
              <w:rPr>
                <w:b/>
                <w:bCs/>
                <w:iCs/>
              </w:rPr>
              <w:t>Stipro pušu izmantošanas stratēģijas risku minimizācijai</w:t>
            </w:r>
          </w:p>
        </w:tc>
      </w:tr>
      <w:tr w:rsidR="00AC1A0F" w:rsidRPr="00CC3268" w:rsidTr="00CD17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/>
            <w:textDirection w:val="btLr"/>
          </w:tcPr>
          <w:p w:rsidR="00AC1A0F" w:rsidRPr="00CC3268" w:rsidRDefault="00AC1A0F" w:rsidP="00CD1726">
            <w:pPr>
              <w:ind w:left="113" w:right="113"/>
              <w:jc w:val="center"/>
            </w:pPr>
          </w:p>
        </w:tc>
        <w:tc>
          <w:tcPr>
            <w:tcW w:w="4394" w:type="dxa"/>
          </w:tcPr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saglabāt un attīstīt tradīcijas, pilnveidot kadru potenciālu;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pastāvīgi sadarboties ar reģiona uzņēmumiem un organizācijām, dibināt lietišķus kontaktus;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jaunu studiju kursu izstrāde;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studiju kursu satura pilnveidošana, studiju kursu nodrošināšana svešvalodās;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akadēmiskā personāla un studējošo iesaistīšana zinātniski pētnieciskajos projektos.</w:t>
            </w:r>
          </w:p>
          <w:p w:rsidR="00AC1A0F" w:rsidRPr="00CC3268" w:rsidRDefault="00AC1A0F" w:rsidP="00CD1726">
            <w:pPr>
              <w:spacing w:after="0"/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43" w:type="dxa"/>
          </w:tcPr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izglītības satura un speciālistu sagatavošanas struktūras transformācija atbilstoši darba tirgus pieprasījumam; 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studentu aktīva un programmas absolventu potenciāla izmantošana, lai attīstītu kontaktus ar potenciālajiem darba devējiem; 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studentu un pasniedzēju piedalīšanās iespēju dažādos konkursos, </w:t>
            </w:r>
            <w:proofErr w:type="spellStart"/>
            <w:r w:rsidRPr="00CC3268">
              <w:t>grantos</w:t>
            </w:r>
            <w:proofErr w:type="spellEnd"/>
            <w:r w:rsidRPr="00CC3268">
              <w:t xml:space="preserve">, projektos, līgumdarbos meklēšana, analīze un izmantošana; 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jaunu mācību tehnoloģiju un aktīvu mācību metožu izstrāde un ieviešana.</w:t>
            </w:r>
          </w:p>
        </w:tc>
      </w:tr>
      <w:tr w:rsidR="00AC1A0F" w:rsidRPr="00CC3268" w:rsidTr="00CD1726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 w:val="restart"/>
            <w:textDirection w:val="btLr"/>
          </w:tcPr>
          <w:p w:rsidR="00AC1A0F" w:rsidRPr="00CC3268" w:rsidRDefault="00AC1A0F" w:rsidP="00CD1726">
            <w:pPr>
              <w:ind w:left="113" w:right="113"/>
              <w:jc w:val="center"/>
            </w:pPr>
            <w:r w:rsidRPr="00CC3268">
              <w:rPr>
                <w:iCs/>
              </w:rPr>
              <w:t>Vājās puses</w:t>
            </w:r>
          </w:p>
        </w:tc>
        <w:tc>
          <w:tcPr>
            <w:tcW w:w="4394" w:type="dxa"/>
          </w:tcPr>
          <w:p w:rsidR="00AC1A0F" w:rsidRPr="00CC3268" w:rsidRDefault="00AC1A0F" w:rsidP="00CD1726">
            <w:pPr>
              <w:spacing w:after="0"/>
              <w:ind w:firstLine="6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b/>
                <w:bCs/>
                <w:iCs/>
              </w:rPr>
              <w:t xml:space="preserve">Vājo pušu minimizācijas stratēģijas izmantojot piedāvātās iespējas </w:t>
            </w:r>
          </w:p>
        </w:tc>
        <w:tc>
          <w:tcPr>
            <w:tcW w:w="4643" w:type="dxa"/>
          </w:tcPr>
          <w:p w:rsidR="00AC1A0F" w:rsidRPr="00CC3268" w:rsidRDefault="00AC1A0F" w:rsidP="00CD1726">
            <w:pPr>
              <w:spacing w:after="0"/>
              <w:ind w:firstLine="6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b/>
                <w:bCs/>
                <w:iCs/>
              </w:rPr>
              <w:t>Vājo pušu un risku minimizācijas stratēģijas</w:t>
            </w:r>
          </w:p>
        </w:tc>
      </w:tr>
      <w:tr w:rsidR="00AC1A0F" w:rsidRPr="00081202" w:rsidTr="00CD17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/>
          </w:tcPr>
          <w:p w:rsidR="00AC1A0F" w:rsidRPr="00CC3268" w:rsidRDefault="00AC1A0F" w:rsidP="00CD1726"/>
        </w:tc>
        <w:tc>
          <w:tcPr>
            <w:tcW w:w="4394" w:type="dxa"/>
          </w:tcPr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color w:val="000000"/>
              </w:rPr>
              <w:t>programmas absolventu atpazīstamības veidošana, akcentējot speciālistu sagatavošanas kvalitāti un efektivitāti</w:t>
            </w:r>
            <w:r w:rsidRPr="00CC3268">
              <w:rPr>
                <w:lang w:eastAsia="ru-RU"/>
              </w:rPr>
              <w:t>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docētāju zinātniskā un metodiskā potenciāla paaugstināšana;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iespēju robežās pilnveidot materiāli tehnisko bāzi ar mūsdienu prasībām atbilstošu aprīkojumu;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aktivizēt studējošo iesaistīšanos starptautiskās apmaiņas programmās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iesaistīt studiju procesā darba devēju speciālistus ķīmijas jomā.</w:t>
            </w:r>
          </w:p>
          <w:p w:rsidR="00AC1A0F" w:rsidRPr="00CC3268" w:rsidRDefault="00AC1A0F" w:rsidP="00CD1726">
            <w:pPr>
              <w:spacing w:after="0"/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43" w:type="dxa"/>
          </w:tcPr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rPr>
                <w:color w:val="000000"/>
              </w:rPr>
              <w:t xml:space="preserve">nemateriālās stimulēšanas paplašināšana </w:t>
            </w:r>
            <w:r w:rsidRPr="00CC3268">
              <w:t xml:space="preserve">pasniedzējiem, kuri aktīvi piedalās zinātniskajā pētniecībā, projektos un līgumdarbos, disproporciju samazināšana slodžu un bonusu sadalē; 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 xml:space="preserve">katedras darbinieku ieinteresētības palielināšana savas kvalifikācijas paaugstināšanā un zinātnisko grādu iegūšanā; 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studentu attieksmes pret programmas saturu, formām, struktūru un mācību metodēm monitoringa sistēmas pilnveidošana;</w:t>
            </w:r>
          </w:p>
          <w:p w:rsidR="00AC1A0F" w:rsidRPr="00CC3268" w:rsidRDefault="00AC1A0F" w:rsidP="00AC1A0F">
            <w:pPr>
              <w:numPr>
                <w:ilvl w:val="0"/>
                <w:numId w:val="1"/>
              </w:numPr>
              <w:autoSpaceDE/>
              <w:autoSpaceDN/>
              <w:spacing w:before="120" w:after="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68">
              <w:t>turpmākais darbs jaunās paaudzes metodisko materiālu veidošanā un modernizācijā, kuri veic ne tikai informēšanas</w:t>
            </w:r>
            <w:r w:rsidRPr="00CC3268">
              <w:rPr>
                <w:color w:val="000000"/>
              </w:rPr>
              <w:t xml:space="preserve"> funkcijas, bet arī vada studentu izziņas darbību. </w:t>
            </w:r>
          </w:p>
        </w:tc>
      </w:tr>
    </w:tbl>
    <w:p w:rsidR="00484359" w:rsidRDefault="00484359"/>
    <w:sectPr w:rsidR="004843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CF5"/>
    <w:multiLevelType w:val="hybridMultilevel"/>
    <w:tmpl w:val="41442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0712"/>
    <w:multiLevelType w:val="hybridMultilevel"/>
    <w:tmpl w:val="4C6A15B4"/>
    <w:lvl w:ilvl="0" w:tplc="97B69606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A405B"/>
    <w:multiLevelType w:val="hybridMultilevel"/>
    <w:tmpl w:val="67209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61CB"/>
    <w:multiLevelType w:val="hybridMultilevel"/>
    <w:tmpl w:val="1E7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506669">
    <w:abstractNumId w:val="1"/>
  </w:num>
  <w:num w:numId="2" w16cid:durableId="1238708805">
    <w:abstractNumId w:val="3"/>
  </w:num>
  <w:num w:numId="3" w16cid:durableId="2061438114">
    <w:abstractNumId w:val="2"/>
  </w:num>
  <w:num w:numId="4" w16cid:durableId="1572808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0F"/>
    <w:rsid w:val="00484359"/>
    <w:rsid w:val="004E4F46"/>
    <w:rsid w:val="008006BC"/>
    <w:rsid w:val="00961999"/>
    <w:rsid w:val="00AC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5F9A"/>
  <w15:chartTrackingRefBased/>
  <w15:docId w15:val="{78161703-FED2-478E-B262-9F6A3B52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C1A0F"/>
    <w:pPr>
      <w:widowControl w:val="0"/>
      <w:autoSpaceDE w:val="0"/>
      <w:autoSpaceDN w:val="0"/>
      <w:spacing w:before="60" w:after="60" w:line="240" w:lineRule="auto"/>
      <w:ind w:firstLine="720"/>
      <w:jc w:val="both"/>
    </w:pPr>
    <w:rPr>
      <w:rFonts w:eastAsia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uiPriority w:val="1"/>
    <w:qFormat/>
    <w:rsid w:val="00AC1A0F"/>
    <w:pPr>
      <w:ind w:firstLine="0"/>
    </w:pPr>
    <w:rPr>
      <w:sz w:val="20"/>
    </w:rPr>
  </w:style>
  <w:style w:type="character" w:customStyle="1" w:styleId="tableChar">
    <w:name w:val="table Char"/>
    <w:basedOn w:val="DefaultParagraphFont"/>
    <w:link w:val="table"/>
    <w:uiPriority w:val="1"/>
    <w:rsid w:val="00AC1A0F"/>
    <w:rPr>
      <w:rFonts w:eastAsia="Trebuchet MS" w:cs="Trebuchet MS"/>
      <w:sz w:val="20"/>
    </w:rPr>
  </w:style>
  <w:style w:type="table" w:styleId="ListTable3-Accent5">
    <w:name w:val="List Table 3 Accent 5"/>
    <w:basedOn w:val="TableNormal"/>
    <w:uiPriority w:val="48"/>
    <w:rsid w:val="00AC1A0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1Light-Accent1">
    <w:name w:val="Grid Table 1 Light Accent 1"/>
    <w:basedOn w:val="TableNormal"/>
    <w:uiPriority w:val="46"/>
    <w:rsid w:val="00AC1A0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3371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Sergejs Osipovs</cp:lastModifiedBy>
  <cp:revision>3</cp:revision>
  <dcterms:created xsi:type="dcterms:W3CDTF">2024-04-15T09:02:00Z</dcterms:created>
  <dcterms:modified xsi:type="dcterms:W3CDTF">2024-04-15T14:34:00Z</dcterms:modified>
</cp:coreProperties>
</file>