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CA254" w14:textId="77777777" w:rsidR="002D54CB" w:rsidRPr="0049086B" w:rsidRDefault="002D54CB" w:rsidP="002D54C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498C4BA1" w14:textId="77777777" w:rsidR="002D54CB" w:rsidRPr="0049086B" w:rsidRDefault="002D54CB" w:rsidP="002D54C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263E3489" w14:textId="77777777" w:rsidR="002D54CB" w:rsidRPr="00E13AEA" w:rsidRDefault="002D54CB" w:rsidP="002D54CB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2D54CB" w:rsidRPr="0093308E" w14:paraId="0F55ED44" w14:textId="77777777" w:rsidTr="0099658A">
        <w:tc>
          <w:tcPr>
            <w:tcW w:w="4219" w:type="dxa"/>
          </w:tcPr>
          <w:p w14:paraId="3B722577" w14:textId="77777777" w:rsidR="002D54CB" w:rsidRPr="0093308E" w:rsidRDefault="002D54CB" w:rsidP="0099658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25141AD4" w14:textId="77777777" w:rsidR="002D54CB" w:rsidRPr="00545539" w:rsidRDefault="002D54CB" w:rsidP="0099658A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proofErr w:type="spellStart"/>
            <w:r w:rsidRPr="00545539">
              <w:rPr>
                <w:b/>
                <w:i/>
              </w:rPr>
              <w:t>Bioorganiskā</w:t>
            </w:r>
            <w:proofErr w:type="spellEnd"/>
            <w:r w:rsidRPr="00545539">
              <w:rPr>
                <w:b/>
                <w:i/>
              </w:rPr>
              <w:t xml:space="preserve"> ķīmija  </w:t>
            </w:r>
          </w:p>
        </w:tc>
      </w:tr>
      <w:tr w:rsidR="002D54CB" w:rsidRPr="0093308E" w14:paraId="69EED7B6" w14:textId="77777777" w:rsidTr="0099658A">
        <w:tc>
          <w:tcPr>
            <w:tcW w:w="4219" w:type="dxa"/>
          </w:tcPr>
          <w:p w14:paraId="6E7C10A8" w14:textId="77777777" w:rsidR="002D54CB" w:rsidRPr="0093308E" w:rsidRDefault="002D54CB" w:rsidP="0099658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2897FDC3" w14:textId="77777777" w:rsidR="002D54CB" w:rsidRPr="0093308E" w:rsidRDefault="002D54CB" w:rsidP="0099658A">
            <w:pPr>
              <w:rPr>
                <w:lang w:eastAsia="lv-LV"/>
              </w:rPr>
            </w:pPr>
            <w:r>
              <w:t xml:space="preserve"> </w:t>
            </w:r>
            <w:r w:rsidRPr="002D54CB">
              <w:rPr>
                <w:rFonts w:hint="eastAsia"/>
              </w:rPr>
              <w:t>Ķī</w:t>
            </w:r>
            <w:r w:rsidRPr="002D54CB">
              <w:t>mi5030</w:t>
            </w:r>
            <w:r>
              <w:t xml:space="preserve"> </w:t>
            </w:r>
          </w:p>
        </w:tc>
      </w:tr>
      <w:tr w:rsidR="002D54CB" w:rsidRPr="0093308E" w14:paraId="05CBB4AD" w14:textId="77777777" w:rsidTr="0099658A">
        <w:tc>
          <w:tcPr>
            <w:tcW w:w="4219" w:type="dxa"/>
          </w:tcPr>
          <w:p w14:paraId="0AD651F6" w14:textId="77777777" w:rsidR="002D54CB" w:rsidRPr="0093308E" w:rsidRDefault="002D54CB" w:rsidP="0099658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0E64AAE468AF4A608002F5842344BDB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5B1312F9" w14:textId="77777777" w:rsidR="002D54CB" w:rsidRPr="0093308E" w:rsidRDefault="002D54CB" w:rsidP="0099658A">
                <w:pPr>
                  <w:rPr>
                    <w:b/>
                  </w:rPr>
                </w:pPr>
                <w:r w:rsidRPr="00545539">
                  <w:t>Ķīmija</w:t>
                </w:r>
              </w:p>
            </w:tc>
          </w:sdtContent>
        </w:sdt>
      </w:tr>
      <w:tr w:rsidR="002D54CB" w:rsidRPr="0093308E" w14:paraId="5324B23F" w14:textId="77777777" w:rsidTr="0099658A">
        <w:tc>
          <w:tcPr>
            <w:tcW w:w="4219" w:type="dxa"/>
          </w:tcPr>
          <w:p w14:paraId="72DEF8A2" w14:textId="77777777" w:rsidR="002D54CB" w:rsidRPr="0093308E" w:rsidRDefault="002D54CB" w:rsidP="0099658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6EF549FF" w14:textId="77777777" w:rsidR="002D54CB" w:rsidRPr="0093308E" w:rsidRDefault="002D54CB" w:rsidP="0099658A">
            <w:pPr>
              <w:rPr>
                <w:lang w:eastAsia="lv-LV"/>
              </w:rPr>
            </w:pPr>
            <w:r>
              <w:t xml:space="preserve">   </w:t>
            </w:r>
          </w:p>
        </w:tc>
      </w:tr>
      <w:tr w:rsidR="002D54CB" w:rsidRPr="0093308E" w14:paraId="56F82EBC" w14:textId="77777777" w:rsidTr="0099658A">
        <w:tc>
          <w:tcPr>
            <w:tcW w:w="4219" w:type="dxa"/>
          </w:tcPr>
          <w:p w14:paraId="41D70968" w14:textId="77777777" w:rsidR="002D54CB" w:rsidRPr="0093308E" w:rsidRDefault="002D54CB" w:rsidP="0099658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7190B18C" w14:textId="77777777" w:rsidR="002D54CB" w:rsidRPr="0093308E" w:rsidRDefault="002D54CB" w:rsidP="0099658A">
            <w:pPr>
              <w:rPr>
                <w:lang w:eastAsia="lv-LV"/>
              </w:rPr>
            </w:pPr>
            <w:r>
              <w:t xml:space="preserve"> 2  </w:t>
            </w:r>
          </w:p>
        </w:tc>
      </w:tr>
      <w:tr w:rsidR="002D54CB" w:rsidRPr="0093308E" w14:paraId="3A07A945" w14:textId="77777777" w:rsidTr="0099658A">
        <w:tc>
          <w:tcPr>
            <w:tcW w:w="4219" w:type="dxa"/>
          </w:tcPr>
          <w:p w14:paraId="0A25CB46" w14:textId="77777777" w:rsidR="002D54CB" w:rsidRPr="0093308E" w:rsidRDefault="002D54CB" w:rsidP="0099658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66F40243" w14:textId="77777777" w:rsidR="002D54CB" w:rsidRPr="0093308E" w:rsidRDefault="002D54CB" w:rsidP="0099658A">
            <w:r>
              <w:t xml:space="preserve"> 3 </w:t>
            </w:r>
          </w:p>
        </w:tc>
      </w:tr>
      <w:tr w:rsidR="002D54CB" w:rsidRPr="0093308E" w14:paraId="5BEFA082" w14:textId="77777777" w:rsidTr="0099658A">
        <w:tc>
          <w:tcPr>
            <w:tcW w:w="4219" w:type="dxa"/>
          </w:tcPr>
          <w:p w14:paraId="52F5893E" w14:textId="77777777" w:rsidR="002D54CB" w:rsidRPr="0093308E" w:rsidRDefault="002D54CB" w:rsidP="0099658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309EECCF" w14:textId="77777777" w:rsidR="002D54CB" w:rsidRPr="0093308E" w:rsidRDefault="002D54CB" w:rsidP="0099658A">
            <w:pPr>
              <w:rPr>
                <w:lang w:eastAsia="lv-LV"/>
              </w:rPr>
            </w:pPr>
            <w:r>
              <w:t xml:space="preserve"> 32  </w:t>
            </w:r>
          </w:p>
        </w:tc>
      </w:tr>
      <w:tr w:rsidR="002D54CB" w:rsidRPr="0093308E" w14:paraId="04FBF19A" w14:textId="77777777" w:rsidTr="0099658A">
        <w:tc>
          <w:tcPr>
            <w:tcW w:w="4219" w:type="dxa"/>
          </w:tcPr>
          <w:p w14:paraId="12ED76DE" w14:textId="77777777" w:rsidR="002D54CB" w:rsidRPr="0093308E" w:rsidRDefault="002D54CB" w:rsidP="0099658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3AF5DBBF" w14:textId="77777777" w:rsidR="002D54CB" w:rsidRPr="0093308E" w:rsidRDefault="002D54CB" w:rsidP="0099658A">
            <w:r>
              <w:t xml:space="preserve"> 16  </w:t>
            </w:r>
          </w:p>
        </w:tc>
      </w:tr>
      <w:tr w:rsidR="002D54CB" w:rsidRPr="0093308E" w14:paraId="714E177F" w14:textId="77777777" w:rsidTr="0099658A">
        <w:tc>
          <w:tcPr>
            <w:tcW w:w="4219" w:type="dxa"/>
          </w:tcPr>
          <w:p w14:paraId="507051CC" w14:textId="77777777" w:rsidR="002D54CB" w:rsidRPr="0093308E" w:rsidRDefault="002D54CB" w:rsidP="0099658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7FFEE96E" w14:textId="77777777" w:rsidR="002D54CB" w:rsidRPr="0093308E" w:rsidRDefault="002D54CB" w:rsidP="0099658A">
            <w:r>
              <w:t xml:space="preserve"> 0 </w:t>
            </w:r>
          </w:p>
        </w:tc>
      </w:tr>
      <w:tr w:rsidR="002D54CB" w:rsidRPr="0093308E" w14:paraId="1755FAEB" w14:textId="77777777" w:rsidTr="0099658A">
        <w:tc>
          <w:tcPr>
            <w:tcW w:w="4219" w:type="dxa"/>
          </w:tcPr>
          <w:p w14:paraId="5BE84AC3" w14:textId="77777777" w:rsidR="002D54CB" w:rsidRPr="0093308E" w:rsidRDefault="002D54CB" w:rsidP="0099658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7988FCC5" w14:textId="77777777" w:rsidR="002D54CB" w:rsidRPr="0093308E" w:rsidRDefault="002D54CB" w:rsidP="0099658A">
            <w:r>
              <w:t xml:space="preserve"> 0  </w:t>
            </w:r>
          </w:p>
        </w:tc>
      </w:tr>
      <w:tr w:rsidR="002D54CB" w:rsidRPr="0093308E" w14:paraId="58BDC262" w14:textId="77777777" w:rsidTr="0099658A">
        <w:tc>
          <w:tcPr>
            <w:tcW w:w="4219" w:type="dxa"/>
          </w:tcPr>
          <w:p w14:paraId="5887CBD5" w14:textId="77777777" w:rsidR="002D54CB" w:rsidRPr="0093308E" w:rsidRDefault="002D54CB" w:rsidP="0099658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CA388A3" w14:textId="77777777" w:rsidR="002D54CB" w:rsidRPr="0093308E" w:rsidRDefault="002D54CB" w:rsidP="0099658A">
            <w:r>
              <w:t xml:space="preserve"> 16  </w:t>
            </w:r>
          </w:p>
        </w:tc>
      </w:tr>
      <w:tr w:rsidR="002D54CB" w:rsidRPr="0093308E" w14:paraId="745DD514" w14:textId="77777777" w:rsidTr="0099658A">
        <w:tc>
          <w:tcPr>
            <w:tcW w:w="4219" w:type="dxa"/>
          </w:tcPr>
          <w:p w14:paraId="02D71C78" w14:textId="77777777" w:rsidR="002D54CB" w:rsidRPr="0093308E" w:rsidRDefault="002D54CB" w:rsidP="0099658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116BEC88" w14:textId="77777777" w:rsidR="002D54CB" w:rsidRPr="0093308E" w:rsidRDefault="002D54CB" w:rsidP="0099658A">
            <w:pPr>
              <w:rPr>
                <w:lang w:eastAsia="lv-LV"/>
              </w:rPr>
            </w:pPr>
            <w:r>
              <w:t xml:space="preserve"> 32 </w:t>
            </w:r>
          </w:p>
        </w:tc>
      </w:tr>
      <w:tr w:rsidR="002D54CB" w:rsidRPr="0093308E" w14:paraId="5C2C0A91" w14:textId="77777777" w:rsidTr="0099658A">
        <w:tc>
          <w:tcPr>
            <w:tcW w:w="9039" w:type="dxa"/>
            <w:gridSpan w:val="2"/>
          </w:tcPr>
          <w:p w14:paraId="4EC44F89" w14:textId="77777777" w:rsidR="002D54CB" w:rsidRPr="0093308E" w:rsidRDefault="002D54CB" w:rsidP="0099658A">
            <w:pPr>
              <w:rPr>
                <w:lang w:eastAsia="lv-LV"/>
              </w:rPr>
            </w:pPr>
          </w:p>
        </w:tc>
      </w:tr>
      <w:tr w:rsidR="002D54CB" w:rsidRPr="0093308E" w14:paraId="73307A02" w14:textId="77777777" w:rsidTr="0099658A">
        <w:tc>
          <w:tcPr>
            <w:tcW w:w="9039" w:type="dxa"/>
            <w:gridSpan w:val="2"/>
          </w:tcPr>
          <w:p w14:paraId="209E47AD" w14:textId="77777777" w:rsidR="002D54CB" w:rsidRPr="0093308E" w:rsidRDefault="002D54CB" w:rsidP="0099658A">
            <w:pPr>
              <w:pStyle w:val="Nosaukumi"/>
            </w:pPr>
            <w:r w:rsidRPr="0093308E">
              <w:t>Kursa autors(-i)</w:t>
            </w:r>
          </w:p>
        </w:tc>
      </w:tr>
      <w:tr w:rsidR="002D54CB" w:rsidRPr="0093308E" w14:paraId="25EB2AC3" w14:textId="77777777" w:rsidTr="0099658A">
        <w:tc>
          <w:tcPr>
            <w:tcW w:w="9039" w:type="dxa"/>
            <w:gridSpan w:val="2"/>
          </w:tcPr>
          <w:p w14:paraId="25C5877A" w14:textId="77777777" w:rsidR="002D54CB" w:rsidRPr="0093308E" w:rsidRDefault="002D54CB" w:rsidP="0099658A">
            <w:r>
              <w:t xml:space="preserve"> </w:t>
            </w:r>
            <w:r w:rsidRPr="00F60936">
              <w:t xml:space="preserve">Dr. </w:t>
            </w:r>
            <w:r w:rsidRPr="00D649C9">
              <w:t>ķīm</w:t>
            </w:r>
            <w:r w:rsidRPr="00F60936">
              <w:t>., vad.</w:t>
            </w:r>
            <w:r>
              <w:t xml:space="preserve"> </w:t>
            </w:r>
            <w:proofErr w:type="spellStart"/>
            <w:r w:rsidRPr="00F60936">
              <w:t>pētn</w:t>
            </w:r>
            <w:proofErr w:type="spellEnd"/>
            <w:r w:rsidRPr="00F60936">
              <w:t xml:space="preserve">., doc. Jeļena Kirilova </w:t>
            </w:r>
            <w:r>
              <w:t xml:space="preserve">  </w:t>
            </w:r>
          </w:p>
        </w:tc>
      </w:tr>
      <w:tr w:rsidR="002D54CB" w:rsidRPr="0093308E" w14:paraId="719C0A90" w14:textId="77777777" w:rsidTr="0099658A">
        <w:tc>
          <w:tcPr>
            <w:tcW w:w="9039" w:type="dxa"/>
            <w:gridSpan w:val="2"/>
          </w:tcPr>
          <w:p w14:paraId="49D453B4" w14:textId="77777777" w:rsidR="002D54CB" w:rsidRPr="0093308E" w:rsidRDefault="002D54CB" w:rsidP="0099658A">
            <w:pPr>
              <w:pStyle w:val="Nosaukumi"/>
            </w:pPr>
            <w:r w:rsidRPr="0093308E">
              <w:t>Kursa docētājs(-i)</w:t>
            </w:r>
          </w:p>
        </w:tc>
      </w:tr>
      <w:tr w:rsidR="002D54CB" w:rsidRPr="0093308E" w14:paraId="3B5482F5" w14:textId="77777777" w:rsidTr="0099658A">
        <w:tc>
          <w:tcPr>
            <w:tcW w:w="9039" w:type="dxa"/>
            <w:gridSpan w:val="2"/>
          </w:tcPr>
          <w:p w14:paraId="7204C05C" w14:textId="6A68ADF5" w:rsidR="002D54CB" w:rsidRPr="00545539" w:rsidRDefault="002D54CB" w:rsidP="0099658A">
            <w:r>
              <w:t xml:space="preserve"> </w:t>
            </w:r>
            <w:r w:rsidRPr="00D649C9">
              <w:t>Dr.</w:t>
            </w:r>
            <w:r w:rsidRPr="00F60936">
              <w:t xml:space="preserve"> </w:t>
            </w:r>
            <w:r w:rsidRPr="00D649C9">
              <w:t>ķīm., vad.</w:t>
            </w:r>
            <w:r>
              <w:t xml:space="preserve"> </w:t>
            </w:r>
            <w:proofErr w:type="spellStart"/>
            <w:r w:rsidRPr="00D649C9">
              <w:t>pētn</w:t>
            </w:r>
            <w:proofErr w:type="spellEnd"/>
            <w:r w:rsidRPr="00D649C9">
              <w:t>., doc. Jeļena Kirilova</w:t>
            </w:r>
          </w:p>
        </w:tc>
      </w:tr>
      <w:tr w:rsidR="002D54CB" w:rsidRPr="0093308E" w14:paraId="4CBAAAF9" w14:textId="77777777" w:rsidTr="0099658A">
        <w:tc>
          <w:tcPr>
            <w:tcW w:w="9039" w:type="dxa"/>
            <w:gridSpan w:val="2"/>
          </w:tcPr>
          <w:p w14:paraId="3430BC75" w14:textId="77777777" w:rsidR="002D54CB" w:rsidRPr="0093308E" w:rsidRDefault="002D54CB" w:rsidP="0099658A">
            <w:pPr>
              <w:pStyle w:val="Nosaukumi"/>
            </w:pPr>
            <w:r w:rsidRPr="0093308E">
              <w:t>Priekšzināšanas</w:t>
            </w:r>
          </w:p>
        </w:tc>
      </w:tr>
      <w:tr w:rsidR="002D54CB" w:rsidRPr="0093308E" w14:paraId="5065CAE3" w14:textId="77777777" w:rsidTr="0099658A">
        <w:tc>
          <w:tcPr>
            <w:tcW w:w="9039" w:type="dxa"/>
            <w:gridSpan w:val="2"/>
          </w:tcPr>
          <w:p w14:paraId="303DDD76" w14:textId="77777777" w:rsidR="002D54CB" w:rsidRPr="0093308E" w:rsidRDefault="002D54CB" w:rsidP="0099658A">
            <w:r w:rsidRPr="000830E2">
              <w:t>Ķīmi</w:t>
            </w:r>
            <w:r>
              <w:t>5</w:t>
            </w:r>
            <w:r w:rsidRPr="000830E2">
              <w:t>00</w:t>
            </w:r>
            <w:r>
              <w:t>2</w:t>
            </w:r>
            <w:r w:rsidRPr="000830E2">
              <w:t xml:space="preserve"> Organiskā ķīmija</w:t>
            </w:r>
            <w:r>
              <w:t>;</w:t>
            </w:r>
            <w:r w:rsidRPr="000830E2">
              <w:t xml:space="preserve"> </w:t>
            </w:r>
          </w:p>
        </w:tc>
      </w:tr>
      <w:tr w:rsidR="002D54CB" w:rsidRPr="0093308E" w14:paraId="6D9C30EF" w14:textId="77777777" w:rsidTr="0099658A">
        <w:tc>
          <w:tcPr>
            <w:tcW w:w="9039" w:type="dxa"/>
            <w:gridSpan w:val="2"/>
          </w:tcPr>
          <w:p w14:paraId="6C254A31" w14:textId="77777777" w:rsidR="002D54CB" w:rsidRPr="0093308E" w:rsidRDefault="002D54CB" w:rsidP="0099658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2D54CB" w:rsidRPr="0093308E" w14:paraId="623E717B" w14:textId="77777777" w:rsidTr="0099658A">
        <w:tc>
          <w:tcPr>
            <w:tcW w:w="9039" w:type="dxa"/>
            <w:gridSpan w:val="2"/>
          </w:tcPr>
          <w:p w14:paraId="1C0E39D6" w14:textId="77777777" w:rsidR="002D54CB" w:rsidRDefault="002D54CB" w:rsidP="0099658A">
            <w:r>
              <w:t xml:space="preserve">KURSA MĒRĶIS: </w:t>
            </w:r>
          </w:p>
          <w:p w14:paraId="68CD87B4" w14:textId="77777777" w:rsidR="002D54CB" w:rsidRPr="00FD37AD" w:rsidRDefault="002D54CB" w:rsidP="0099658A">
            <w:pPr>
              <w:pStyle w:val="Footer"/>
            </w:pPr>
            <w:r w:rsidRPr="00F60936">
              <w:t xml:space="preserve">Attīstīt studentos aktīvo un radošo attieksmi pret mācību procesu, sniegt mūsdienu priekšstatu par </w:t>
            </w:r>
            <w:proofErr w:type="spellStart"/>
            <w:r w:rsidRPr="00F60936">
              <w:t>bio</w:t>
            </w:r>
            <w:r>
              <w:t>organis</w:t>
            </w:r>
            <w:r w:rsidRPr="00F60936">
              <w:t>ko</w:t>
            </w:r>
            <w:proofErr w:type="spellEnd"/>
            <w:r w:rsidRPr="00F60936">
              <w:t xml:space="preserve"> ķīmiju un tās saturu, par cilvēka organisma bioķīmiskajām pārvērtībām un ķīmisko sastāvu. Dot zināšanas par </w:t>
            </w:r>
            <w:r w:rsidRPr="00FD37AD">
              <w:t xml:space="preserve">bioloģiski aktīvo vielu klasēm, īpašībām, noteikšanas metodēm un </w:t>
            </w:r>
            <w:r w:rsidRPr="00F60936">
              <w:t xml:space="preserve">svarīgākiem </w:t>
            </w:r>
            <w:proofErr w:type="spellStart"/>
            <w:r w:rsidRPr="00F60936">
              <w:t>bioorganisķiem</w:t>
            </w:r>
            <w:proofErr w:type="spellEnd"/>
            <w:r w:rsidRPr="00F60936">
              <w:t xml:space="preserve"> procesiem</w:t>
            </w:r>
            <w:r w:rsidRPr="00FD37AD">
              <w:t>, kā arī paplašināt iepriekš bakalaura programmā apgūtās zināšanas bioloģiskajā ķīmijā. </w:t>
            </w:r>
          </w:p>
          <w:p w14:paraId="2FDBF0BD" w14:textId="77777777" w:rsidR="002D54CB" w:rsidRDefault="002D54CB" w:rsidP="0099658A">
            <w:r w:rsidRPr="00F60936">
              <w:t xml:space="preserve">Iepazīt studentus ar </w:t>
            </w:r>
            <w:proofErr w:type="spellStart"/>
            <w:r w:rsidRPr="00FD37AD">
              <w:t>bioorganisko</w:t>
            </w:r>
            <w:proofErr w:type="spellEnd"/>
            <w:r w:rsidRPr="00FD37AD">
              <w:t xml:space="preserve"> savienojumu </w:t>
            </w:r>
            <w:r w:rsidRPr="00F60936">
              <w:t xml:space="preserve">pētīšanas metodēm. Laboratorijas darbu laikā attīstīt un nostiprināt zinātniskā darba prasmes un iemaņas bioloģiski </w:t>
            </w:r>
            <w:r>
              <w:t>akt</w:t>
            </w:r>
            <w:r w:rsidRPr="00F60936">
              <w:t>ī</w:t>
            </w:r>
            <w:r>
              <w:t>v</w:t>
            </w:r>
            <w:r w:rsidRPr="00F60936">
              <w:t>o vielu pētījumu veikšanā.</w:t>
            </w:r>
          </w:p>
          <w:p w14:paraId="23AF4F2A" w14:textId="77777777" w:rsidR="002D54CB" w:rsidRDefault="002D54CB" w:rsidP="0099658A"/>
          <w:p w14:paraId="177CC332" w14:textId="77777777" w:rsidR="002D54CB" w:rsidRDefault="002D54CB" w:rsidP="0099658A">
            <w:r>
              <w:t>KURSA UZDEVUMI:</w:t>
            </w:r>
          </w:p>
          <w:p w14:paraId="28590CD6" w14:textId="77777777" w:rsidR="002D54CB" w:rsidRDefault="002D54CB" w:rsidP="0099658A">
            <w:r w:rsidRPr="00F60936">
              <w:t>1</w:t>
            </w:r>
            <w:r>
              <w:t>. I</w:t>
            </w:r>
            <w:r w:rsidRPr="00F60936">
              <w:t xml:space="preserve">epazīstināt </w:t>
            </w:r>
            <w:r>
              <w:t>studējošos</w:t>
            </w:r>
            <w:r w:rsidRPr="00F60936">
              <w:t xml:space="preserve"> ar </w:t>
            </w:r>
            <w:r w:rsidRPr="00325E9E">
              <w:t>bioloģiski aktīvo</w:t>
            </w:r>
            <w:r w:rsidRPr="00F60936">
              <w:t xml:space="preserve"> savienojumu </w:t>
            </w:r>
            <w:proofErr w:type="spellStart"/>
            <w:r w:rsidRPr="00F60936">
              <w:t>pamatklasēm</w:t>
            </w:r>
            <w:proofErr w:type="spellEnd"/>
            <w:r w:rsidRPr="00F60936">
              <w:t>, to struktūru un īpašībām</w:t>
            </w:r>
            <w:r>
              <w:t>;</w:t>
            </w:r>
            <w:r w:rsidRPr="00F60936">
              <w:br/>
              <w:t>2</w:t>
            </w:r>
            <w:r>
              <w:t>. D</w:t>
            </w:r>
            <w:r w:rsidRPr="00F60936">
              <w:t xml:space="preserve">ot </w:t>
            </w:r>
            <w:r>
              <w:t xml:space="preserve">studējošiem </w:t>
            </w:r>
            <w:r w:rsidRPr="00F60936">
              <w:t xml:space="preserve">priekšstatu par </w:t>
            </w:r>
            <w:r w:rsidRPr="00325E9E">
              <w:t xml:space="preserve">galvenajām organisko un neorganisko </w:t>
            </w:r>
            <w:proofErr w:type="spellStart"/>
            <w:r w:rsidRPr="00325E9E">
              <w:t>biomolekulu</w:t>
            </w:r>
            <w:proofErr w:type="spellEnd"/>
            <w:r w:rsidRPr="00325E9E">
              <w:t xml:space="preserve"> klasēm un bioķīmiskajiem procesiem šūnā, to daudzveidību un mijiedarbību</w:t>
            </w:r>
            <w:r>
              <w:t>;</w:t>
            </w:r>
          </w:p>
          <w:p w14:paraId="7B4E4601" w14:textId="77777777" w:rsidR="002D54CB" w:rsidRDefault="002D54CB" w:rsidP="0099658A">
            <w:r w:rsidRPr="00F60936">
              <w:t>3</w:t>
            </w:r>
            <w:r>
              <w:t xml:space="preserve">. Nodrošināt </w:t>
            </w:r>
            <w:r w:rsidRPr="00F60936">
              <w:t>laboratorijas darbu tehnik</w:t>
            </w:r>
            <w:r>
              <w:t>as iemaņu</w:t>
            </w:r>
            <w:r w:rsidRPr="00F60936">
              <w:t xml:space="preserve"> </w:t>
            </w:r>
            <w:r>
              <w:t>a</w:t>
            </w:r>
            <w:r w:rsidRPr="000D5240">
              <w:t>pgū</w:t>
            </w:r>
            <w:r>
              <w:t>šanu</w:t>
            </w:r>
            <w:r w:rsidRPr="000D5240">
              <w:t xml:space="preserve"> </w:t>
            </w:r>
            <w:r w:rsidRPr="00F60936">
              <w:t>bioķīmijas laboratorijā</w:t>
            </w:r>
            <w:r>
              <w:t>;</w:t>
            </w:r>
          </w:p>
          <w:p w14:paraId="04E09385" w14:textId="77777777" w:rsidR="002D54CB" w:rsidRPr="0056330A" w:rsidRDefault="002D54CB" w:rsidP="0099658A">
            <w:r>
              <w:t>4. Veicināt studējošo patstāvīgā darba iemaņu stiprinā</w:t>
            </w:r>
            <w:r w:rsidRPr="0056330A">
              <w:t>šanu darbam ar zinātniskās literatūras izpēti</w:t>
            </w:r>
            <w:r>
              <w:t>;</w:t>
            </w:r>
          </w:p>
          <w:p w14:paraId="3688123C" w14:textId="77777777" w:rsidR="002D54CB" w:rsidRDefault="002D54CB" w:rsidP="0099658A">
            <w:r>
              <w:t xml:space="preserve">5. </w:t>
            </w:r>
            <w:r w:rsidRPr="0056330A">
              <w:t>Veicināt studējošo iemaņu stiprināšanu darba organizācijā, plānošanā, atbilstošo metožu izvēlē, to pielietošanu profesionālajā darbībā</w:t>
            </w:r>
            <w:r>
              <w:t>.</w:t>
            </w:r>
          </w:p>
          <w:p w14:paraId="1D305520" w14:textId="77777777" w:rsidR="002D54CB" w:rsidRPr="0093308E" w:rsidRDefault="002D54CB" w:rsidP="0099658A"/>
        </w:tc>
      </w:tr>
      <w:tr w:rsidR="002D54CB" w:rsidRPr="0093308E" w14:paraId="2AF729EC" w14:textId="77777777" w:rsidTr="0099658A">
        <w:tc>
          <w:tcPr>
            <w:tcW w:w="9039" w:type="dxa"/>
            <w:gridSpan w:val="2"/>
          </w:tcPr>
          <w:p w14:paraId="1094791E" w14:textId="77777777" w:rsidR="002D54CB" w:rsidRPr="0093308E" w:rsidRDefault="002D54CB" w:rsidP="0099658A">
            <w:pPr>
              <w:pStyle w:val="Nosaukumi"/>
            </w:pPr>
            <w:r w:rsidRPr="0093308E">
              <w:t>Studiju kursa kalendārais plāns</w:t>
            </w:r>
          </w:p>
        </w:tc>
      </w:tr>
      <w:tr w:rsidR="002D54CB" w:rsidRPr="0093308E" w14:paraId="3A350CAD" w14:textId="77777777" w:rsidTr="0099658A">
        <w:tc>
          <w:tcPr>
            <w:tcW w:w="9039" w:type="dxa"/>
            <w:gridSpan w:val="2"/>
          </w:tcPr>
          <w:p w14:paraId="67101B26" w14:textId="77777777" w:rsidR="002D54CB" w:rsidRDefault="002D54CB" w:rsidP="0099658A">
            <w:r w:rsidRPr="00F3091F">
              <w:t xml:space="preserve">  </w:t>
            </w:r>
            <w:bookmarkStart w:id="0" w:name="_Hlk125126615"/>
            <w:r>
              <w:t>L16, Ld16, Pd48</w:t>
            </w:r>
          </w:p>
          <w:p w14:paraId="6FEE6787" w14:textId="77777777" w:rsidR="002D54CB" w:rsidRPr="00F60936" w:rsidRDefault="002D54CB" w:rsidP="0099658A"/>
          <w:p w14:paraId="2806A75F" w14:textId="77777777" w:rsidR="002D54CB" w:rsidRPr="00452AF3" w:rsidRDefault="002D54CB" w:rsidP="0099658A">
            <w:r>
              <w:t xml:space="preserve">1. </w:t>
            </w:r>
            <w:proofErr w:type="spellStart"/>
            <w:r w:rsidRPr="00F55E3E">
              <w:t>Bioorganisko</w:t>
            </w:r>
            <w:proofErr w:type="spellEnd"/>
            <w:r w:rsidRPr="00F55E3E">
              <w:t xml:space="preserve"> savienojumu pēt</w:t>
            </w:r>
            <w:r w:rsidRPr="00452AF3">
              <w:t xml:space="preserve">īšanas metodes. Bioloģiski svarīgas </w:t>
            </w:r>
            <w:proofErr w:type="spellStart"/>
            <w:r w:rsidRPr="00452AF3">
              <w:t>polifunkcionālu</w:t>
            </w:r>
            <w:proofErr w:type="spellEnd"/>
            <w:r w:rsidRPr="00452AF3">
              <w:t xml:space="preserve"> un </w:t>
            </w:r>
            <w:proofErr w:type="spellStart"/>
            <w:r w:rsidRPr="00452AF3">
              <w:t>heterofunkcionālu</w:t>
            </w:r>
            <w:proofErr w:type="spellEnd"/>
            <w:r w:rsidRPr="00452AF3">
              <w:t xml:space="preserve"> savienojumu klases. </w:t>
            </w:r>
            <w:r>
              <w:t>L2</w:t>
            </w:r>
            <w:r w:rsidRPr="00452AF3">
              <w:t>, Pd</w:t>
            </w:r>
            <w:r>
              <w:t>3</w:t>
            </w:r>
          </w:p>
          <w:p w14:paraId="224FAEC5" w14:textId="77777777" w:rsidR="002D54CB" w:rsidRPr="00452AF3" w:rsidRDefault="002D54CB" w:rsidP="0099658A">
            <w:r>
              <w:lastRenderedPageBreak/>
              <w:t xml:space="preserve">2. </w:t>
            </w:r>
            <w:proofErr w:type="spellStart"/>
            <w:r w:rsidRPr="00F55E3E">
              <w:t>Mazmolekul</w:t>
            </w:r>
            <w:r w:rsidRPr="00452AF3">
              <w:t>ārie</w:t>
            </w:r>
            <w:proofErr w:type="spellEnd"/>
            <w:r w:rsidRPr="00452AF3">
              <w:t xml:space="preserve"> bioloģiski svarīgi savienojumi. Slāpekļa saturošie un </w:t>
            </w:r>
            <w:proofErr w:type="spellStart"/>
            <w:r w:rsidRPr="00452AF3">
              <w:t>heterocikliskie</w:t>
            </w:r>
            <w:proofErr w:type="spellEnd"/>
            <w:r w:rsidRPr="00452AF3">
              <w:t xml:space="preserve"> savienojumi.</w:t>
            </w:r>
            <w:r>
              <w:t xml:space="preserve"> L</w:t>
            </w:r>
            <w:r w:rsidRPr="00452AF3">
              <w:t>2, Ld2, Pd</w:t>
            </w:r>
            <w:r>
              <w:t>6</w:t>
            </w:r>
          </w:p>
          <w:p w14:paraId="65F08B70" w14:textId="77777777" w:rsidR="002D54CB" w:rsidRPr="00452AF3" w:rsidRDefault="002D54CB" w:rsidP="0099658A">
            <w:r>
              <w:t xml:space="preserve">3. </w:t>
            </w:r>
            <w:r w:rsidRPr="00F55E3E">
              <w:t xml:space="preserve">Ogļhidrāti </w:t>
            </w:r>
            <w:r w:rsidRPr="00452AF3">
              <w:t xml:space="preserve"> -  </w:t>
            </w:r>
            <w:proofErr w:type="spellStart"/>
            <w:r w:rsidRPr="00452AF3">
              <w:t>monosaharīdi</w:t>
            </w:r>
            <w:proofErr w:type="spellEnd"/>
            <w:r w:rsidRPr="00452AF3">
              <w:t xml:space="preserve">, </w:t>
            </w:r>
            <w:proofErr w:type="spellStart"/>
            <w:r w:rsidRPr="00452AF3">
              <w:t>oligosaharīdi</w:t>
            </w:r>
            <w:proofErr w:type="spellEnd"/>
            <w:r w:rsidRPr="00452AF3">
              <w:t xml:space="preserve">  un polisaharīdi. </w:t>
            </w:r>
            <w:r>
              <w:t>L</w:t>
            </w:r>
            <w:r w:rsidRPr="00452AF3">
              <w:t>2, Ld2, Pd</w:t>
            </w:r>
            <w:r>
              <w:t>6</w:t>
            </w:r>
          </w:p>
          <w:p w14:paraId="582239A7" w14:textId="77777777" w:rsidR="002D54CB" w:rsidRPr="00452AF3" w:rsidRDefault="002D54CB" w:rsidP="0099658A">
            <w:r>
              <w:t xml:space="preserve">4. </w:t>
            </w:r>
            <w:r w:rsidRPr="00F55E3E">
              <w:t xml:space="preserve">Lipīdi. Fosfolipīdi. </w:t>
            </w:r>
            <w:proofErr w:type="spellStart"/>
            <w:r w:rsidRPr="00F55E3E">
              <w:t>Steroidi</w:t>
            </w:r>
            <w:proofErr w:type="spellEnd"/>
            <w:r w:rsidRPr="00F55E3E">
              <w:t xml:space="preserve">. Loma dzīvajā organismā. </w:t>
            </w:r>
            <w:r>
              <w:t>L</w:t>
            </w:r>
            <w:r w:rsidRPr="00452AF3">
              <w:t>2, Ld2, Pd</w:t>
            </w:r>
            <w:r>
              <w:t>6</w:t>
            </w:r>
          </w:p>
          <w:p w14:paraId="340AA013" w14:textId="77777777" w:rsidR="002D54CB" w:rsidRPr="00452AF3" w:rsidRDefault="002D54CB" w:rsidP="0099658A">
            <w:r>
              <w:t xml:space="preserve">5. </w:t>
            </w:r>
            <w:r w:rsidRPr="00F55E3E">
              <w:t xml:space="preserve">Alkaloīdi. </w:t>
            </w:r>
            <w:proofErr w:type="spellStart"/>
            <w:r w:rsidRPr="00F55E3E">
              <w:t>Mazmolekul</w:t>
            </w:r>
            <w:r w:rsidRPr="00452AF3">
              <w:t>āri</w:t>
            </w:r>
            <w:proofErr w:type="spellEnd"/>
            <w:r w:rsidRPr="00452AF3">
              <w:t xml:space="preserve"> </w:t>
            </w:r>
            <w:proofErr w:type="spellStart"/>
            <w:r w:rsidRPr="00452AF3">
              <w:t>bioregulatori</w:t>
            </w:r>
            <w:proofErr w:type="spellEnd"/>
            <w:r w:rsidRPr="00452AF3">
              <w:t xml:space="preserve">.  </w:t>
            </w:r>
            <w:r>
              <w:t>L</w:t>
            </w:r>
            <w:r w:rsidRPr="00452AF3">
              <w:t>2, Ld2, Pd</w:t>
            </w:r>
            <w:r>
              <w:t>6</w:t>
            </w:r>
          </w:p>
          <w:p w14:paraId="16ABBBAB" w14:textId="77777777" w:rsidR="002D54CB" w:rsidRPr="00452AF3" w:rsidRDefault="002D54CB" w:rsidP="0099658A">
            <w:r>
              <w:t xml:space="preserve">6. </w:t>
            </w:r>
            <w:r w:rsidRPr="00F55E3E">
              <w:t>Aminosk</w:t>
            </w:r>
            <w:r w:rsidRPr="00452AF3">
              <w:t xml:space="preserve">ābju un peptīdu ķīmijā. To organizācijas līmeņi. </w:t>
            </w:r>
            <w:r>
              <w:t>L</w:t>
            </w:r>
            <w:r w:rsidRPr="00452AF3">
              <w:t>2, Ld</w:t>
            </w:r>
            <w:r>
              <w:t>4</w:t>
            </w:r>
            <w:r w:rsidRPr="00452AF3">
              <w:t>, Pd</w:t>
            </w:r>
            <w:r>
              <w:t>9</w:t>
            </w:r>
          </w:p>
          <w:p w14:paraId="554B3C87" w14:textId="77777777" w:rsidR="002D54CB" w:rsidRPr="00452AF3" w:rsidRDefault="002D54CB" w:rsidP="0099658A">
            <w:r>
              <w:t xml:space="preserve">7. </w:t>
            </w:r>
            <w:r w:rsidRPr="00F55E3E">
              <w:t xml:space="preserve">Enzīmu uzbūve. </w:t>
            </w:r>
            <w:proofErr w:type="spellStart"/>
            <w:r w:rsidRPr="00F55E3E">
              <w:t>Kofermenti</w:t>
            </w:r>
            <w:proofErr w:type="spellEnd"/>
            <w:r w:rsidRPr="00F55E3E">
              <w:t xml:space="preserve"> un vitamīni. </w:t>
            </w:r>
            <w:r>
              <w:t>L</w:t>
            </w:r>
            <w:r w:rsidRPr="00452AF3">
              <w:t>2, Ld2, Pd</w:t>
            </w:r>
            <w:r>
              <w:t>6</w:t>
            </w:r>
          </w:p>
          <w:p w14:paraId="425DE3BB" w14:textId="77777777" w:rsidR="002D54CB" w:rsidRPr="00452AF3" w:rsidRDefault="002D54CB" w:rsidP="0099658A">
            <w:r>
              <w:t xml:space="preserve">8. </w:t>
            </w:r>
            <w:r w:rsidRPr="00F55E3E">
              <w:t>Sl</w:t>
            </w:r>
            <w:r w:rsidRPr="00452AF3">
              <w:t xml:space="preserve">āpekļa bāzes. </w:t>
            </w:r>
            <w:proofErr w:type="spellStart"/>
            <w:r w:rsidRPr="00452AF3">
              <w:t>Nukleotīdi</w:t>
            </w:r>
            <w:proofErr w:type="spellEnd"/>
            <w:r w:rsidRPr="00452AF3">
              <w:t xml:space="preserve"> un nukleozīdi. DNS. RNS. </w:t>
            </w:r>
            <w:r w:rsidRPr="00452AF3">
              <w:rPr>
                <w:lang w:eastAsia="ru-RU"/>
              </w:rPr>
              <w:t>Šūnas struktūras organizācija, bioķīmiskie procesi šūnā.  Metabolisma  galven</w:t>
            </w:r>
            <w:r w:rsidRPr="00452AF3">
              <w:t>ā</w:t>
            </w:r>
            <w:r w:rsidRPr="00452AF3">
              <w:rPr>
                <w:lang w:eastAsia="ru-RU"/>
              </w:rPr>
              <w:t>s likumsakar</w:t>
            </w:r>
            <w:r w:rsidRPr="00452AF3">
              <w:t>ī</w:t>
            </w:r>
            <w:r w:rsidRPr="00452AF3">
              <w:rPr>
                <w:lang w:eastAsia="ru-RU"/>
              </w:rPr>
              <w:t>bas.</w:t>
            </w:r>
            <w:r>
              <w:t xml:space="preserve"> L</w:t>
            </w:r>
            <w:r w:rsidRPr="00452AF3">
              <w:t>2, Ld2, Pd</w:t>
            </w:r>
            <w:r>
              <w:t>6</w:t>
            </w:r>
          </w:p>
          <w:p w14:paraId="26F64ADC" w14:textId="77777777" w:rsidR="002D54CB" w:rsidRPr="00F60936" w:rsidRDefault="002D54CB" w:rsidP="0099658A"/>
          <w:bookmarkEnd w:id="0"/>
          <w:p w14:paraId="51A2B02A" w14:textId="77777777" w:rsidR="002D54CB" w:rsidRPr="00D951AD" w:rsidRDefault="002D54CB" w:rsidP="0099658A">
            <w:r w:rsidRPr="00C816D9">
              <w:t>L -  lekcija</w:t>
            </w:r>
          </w:p>
          <w:p w14:paraId="694D17B8" w14:textId="77777777" w:rsidR="002D54CB" w:rsidRPr="00D951AD" w:rsidRDefault="002D54CB" w:rsidP="0099658A">
            <w:proofErr w:type="spellStart"/>
            <w:r w:rsidRPr="00C816D9">
              <w:t>Ld</w:t>
            </w:r>
            <w:proofErr w:type="spellEnd"/>
            <w:r w:rsidRPr="00C816D9">
              <w:t xml:space="preserve"> – laboratorijas darbi</w:t>
            </w:r>
          </w:p>
          <w:p w14:paraId="4D93CD3A" w14:textId="77777777" w:rsidR="002D54CB" w:rsidRPr="0093308E" w:rsidRDefault="002D54CB" w:rsidP="0099658A">
            <w:proofErr w:type="spellStart"/>
            <w:r w:rsidRPr="00C816D9">
              <w:t>Pd</w:t>
            </w:r>
            <w:proofErr w:type="spellEnd"/>
            <w:r w:rsidRPr="00C816D9">
              <w:t xml:space="preserve"> – patstāvīgais darbs</w:t>
            </w:r>
            <w:r w:rsidRPr="00D951AD">
              <w:t xml:space="preserve"> </w:t>
            </w:r>
          </w:p>
        </w:tc>
      </w:tr>
      <w:tr w:rsidR="002D54CB" w:rsidRPr="0093308E" w14:paraId="0B5D0907" w14:textId="77777777" w:rsidTr="0099658A">
        <w:tc>
          <w:tcPr>
            <w:tcW w:w="9039" w:type="dxa"/>
            <w:gridSpan w:val="2"/>
          </w:tcPr>
          <w:p w14:paraId="20342430" w14:textId="77777777" w:rsidR="002D54CB" w:rsidRPr="0093308E" w:rsidRDefault="002D54CB" w:rsidP="0099658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2D54CB" w:rsidRPr="0093308E" w14:paraId="67A552E1" w14:textId="77777777" w:rsidTr="0099658A">
        <w:tc>
          <w:tcPr>
            <w:tcW w:w="9039" w:type="dxa"/>
            <w:gridSpan w:val="2"/>
          </w:tcPr>
          <w:p w14:paraId="0B2FFEE1" w14:textId="77777777" w:rsidR="002D54CB" w:rsidRPr="00DE3EF9" w:rsidRDefault="002D54CB" w:rsidP="0099658A">
            <w:bookmarkStart w:id="1" w:name="_Hlk125121535"/>
            <w:r w:rsidRPr="004B664C">
              <w:t xml:space="preserve">ZINĀŠANAS: </w:t>
            </w:r>
          </w:p>
          <w:p w14:paraId="4B51AD18" w14:textId="77777777" w:rsidR="002D54CB" w:rsidRPr="00DE3EF9" w:rsidRDefault="002D54CB" w:rsidP="0099658A">
            <w:r>
              <w:t xml:space="preserve">1. </w:t>
            </w:r>
            <w:r w:rsidRPr="00DE3EF9">
              <w:t xml:space="preserve">izprot likumsakarības par dzīvo organismu ķīmisko sastāvu un dzīvības procesu ķīmiskajiem pamatiem, kā arī parādīt šo zināšanu kritisku izpratni; </w:t>
            </w:r>
          </w:p>
          <w:p w14:paraId="176A43C5" w14:textId="77777777" w:rsidR="002D54CB" w:rsidRPr="00DE3EF9" w:rsidRDefault="002D54CB" w:rsidP="0099658A">
            <w:r>
              <w:t xml:space="preserve">2. </w:t>
            </w:r>
            <w:r w:rsidRPr="00DE3EF9">
              <w:t xml:space="preserve">pārzina </w:t>
            </w:r>
            <w:proofErr w:type="spellStart"/>
            <w:r w:rsidRPr="00DE3EF9">
              <w:t>bioorganiskus</w:t>
            </w:r>
            <w:proofErr w:type="spellEnd"/>
            <w:r w:rsidRPr="00DE3EF9">
              <w:t xml:space="preserve"> savienojumus – ogļhidrātu, olbaltumvielu, lipīdu un nukleīnskābju ķīmisko uzbūvi, funkcijas;</w:t>
            </w:r>
          </w:p>
          <w:p w14:paraId="62B68C12" w14:textId="77777777" w:rsidR="002D54CB" w:rsidRPr="00DE3EF9" w:rsidRDefault="002D54CB" w:rsidP="0099658A">
            <w:r>
              <w:t xml:space="preserve">3. </w:t>
            </w:r>
            <w:r w:rsidRPr="00DE3EF9">
              <w:t xml:space="preserve">demonstrē zināšanas par modernām metodēm un tehnoloģijām </w:t>
            </w:r>
            <w:proofErr w:type="spellStart"/>
            <w:r w:rsidRPr="00DE3EF9">
              <w:t>biorganiskajā</w:t>
            </w:r>
            <w:proofErr w:type="spellEnd"/>
            <w:r w:rsidRPr="00DE3EF9">
              <w:t xml:space="preserve"> ķīmijā;</w:t>
            </w:r>
          </w:p>
          <w:p w14:paraId="10286E87" w14:textId="77777777" w:rsidR="002D54CB" w:rsidRPr="00DE3EF9" w:rsidRDefault="002D54CB" w:rsidP="0099658A">
            <w:r>
              <w:t>4</w:t>
            </w:r>
            <w:r w:rsidRPr="00DE3EF9">
              <w:t>. izprot organisma galvenos enerģijas avotus un enerģijas ražošanā iesaistītās vielas, to regulāciju;</w:t>
            </w:r>
          </w:p>
          <w:p w14:paraId="7A24D84D" w14:textId="77777777" w:rsidR="002D54CB" w:rsidRPr="00DE3EF9" w:rsidRDefault="002D54CB" w:rsidP="0099658A">
            <w:r>
              <w:t>5</w:t>
            </w:r>
            <w:r w:rsidRPr="00DE3EF9">
              <w:t xml:space="preserve">. pārzina metaboliskos ceļus, kas cilvēka organismā saista ogļhidrātus, lipīdus un aminoskābes un </w:t>
            </w:r>
            <w:proofErr w:type="spellStart"/>
            <w:r w:rsidRPr="00DE3EF9">
              <w:t>so</w:t>
            </w:r>
            <w:proofErr w:type="spellEnd"/>
            <w:r w:rsidRPr="00DE3EF9">
              <w:t xml:space="preserve"> vielu grupu savstarpējas pārvērtības;</w:t>
            </w:r>
          </w:p>
          <w:p w14:paraId="728B0911" w14:textId="77777777" w:rsidR="002D54CB" w:rsidRDefault="002D54CB" w:rsidP="0099658A">
            <w:r>
              <w:t>6</w:t>
            </w:r>
            <w:r w:rsidRPr="00DE3EF9">
              <w:t>. demonstrē vispusīgas faktu, teoriju un likumsakarību zināšanas par procesu dinamiku organismā un to kopsakarību, par bioķīmisko procesu izmaiņām organismā un to pētījumu metodēm</w:t>
            </w:r>
            <w:r>
              <w:t>;</w:t>
            </w:r>
          </w:p>
          <w:p w14:paraId="5AE7BE32" w14:textId="77777777" w:rsidR="002D54CB" w:rsidRPr="00DE3EF9" w:rsidRDefault="002D54CB" w:rsidP="0099658A"/>
          <w:p w14:paraId="07786919" w14:textId="77777777" w:rsidR="002D54CB" w:rsidRPr="00DE3EF9" w:rsidRDefault="002D54CB" w:rsidP="0099658A">
            <w:r w:rsidRPr="004B664C">
              <w:t>PRASMES:</w:t>
            </w:r>
          </w:p>
          <w:p w14:paraId="31648AE5" w14:textId="77777777" w:rsidR="002D54CB" w:rsidRPr="00DE3EF9" w:rsidRDefault="002D54CB" w:rsidP="0099658A">
            <w:r w:rsidRPr="00B721E0">
              <w:t>7</w:t>
            </w:r>
            <w:r w:rsidRPr="00DE3EF9">
              <w:t>. prot veikt analītiskus bioķīmiskus eksperimentus, lietot laboratorijas traukus un aparatūru;</w:t>
            </w:r>
          </w:p>
          <w:p w14:paraId="79315079" w14:textId="77777777" w:rsidR="002D54CB" w:rsidRPr="00DE3EF9" w:rsidRDefault="002D54CB" w:rsidP="0099658A">
            <w:r w:rsidRPr="00B721E0">
              <w:t>8. skaidro struktūru uzbūves saistību ar funkcijām;</w:t>
            </w:r>
          </w:p>
          <w:p w14:paraId="73E937A0" w14:textId="77777777" w:rsidR="002D54CB" w:rsidRPr="00DE3EF9" w:rsidRDefault="002D54CB" w:rsidP="0099658A">
            <w:r w:rsidRPr="00B721E0">
              <w:t>9</w:t>
            </w:r>
            <w:r w:rsidRPr="00DE3EF9">
              <w:t>. prot secīgi izskaidrot – ogļhidrātu, olbaltumvielu, lipīdu un nukleīnskābju savstarpējās pārvērtības, izmantojot atbilstošos metaboliskos ceļus;</w:t>
            </w:r>
          </w:p>
          <w:p w14:paraId="5507F720" w14:textId="77777777" w:rsidR="002D54CB" w:rsidRPr="00DE3EF9" w:rsidRDefault="002D54CB" w:rsidP="0099658A">
            <w:r w:rsidRPr="00B721E0">
              <w:t>10. prot</w:t>
            </w:r>
            <w:r w:rsidRPr="00DE3EF9">
              <w:t xml:space="preserve"> pamatot attiecīgo bioķīmisko metožu pielietojumu;</w:t>
            </w:r>
          </w:p>
          <w:p w14:paraId="2DA06629" w14:textId="77777777" w:rsidR="002D54CB" w:rsidRPr="00DE3EF9" w:rsidRDefault="002D54CB" w:rsidP="0099658A">
            <w:r w:rsidRPr="00B721E0">
              <w:t>11</w:t>
            </w:r>
            <w:r w:rsidRPr="00DE3EF9">
              <w:t xml:space="preserve">. prot iegūtās zināšanas pielietot praksē: spēt analizēt un izskaidrot </w:t>
            </w:r>
            <w:proofErr w:type="spellStart"/>
            <w:r w:rsidRPr="00DE3EF9">
              <w:t>biomolekulu</w:t>
            </w:r>
            <w:proofErr w:type="spellEnd"/>
            <w:r w:rsidRPr="00DE3EF9">
              <w:t xml:space="preserve">  struktūras-aktivitātes sakarības;</w:t>
            </w:r>
          </w:p>
          <w:p w14:paraId="7D7BFD12" w14:textId="77777777" w:rsidR="002D54CB" w:rsidRDefault="002D54CB" w:rsidP="0099658A">
            <w:r>
              <w:t xml:space="preserve">12. prot lietot zinātniskās literatūras datu bāzes (t.sk. SCOPUS, 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);</w:t>
            </w:r>
          </w:p>
          <w:p w14:paraId="18A89500" w14:textId="77777777" w:rsidR="002D54CB" w:rsidRPr="00DE3EF9" w:rsidRDefault="002D54CB" w:rsidP="0099658A"/>
          <w:p w14:paraId="1668E56A" w14:textId="77777777" w:rsidR="002D54CB" w:rsidRPr="00DE3EF9" w:rsidRDefault="002D54CB" w:rsidP="0099658A">
            <w:r w:rsidRPr="004B664C">
              <w:t>KOMPETENCES:</w:t>
            </w:r>
          </w:p>
          <w:p w14:paraId="5135C0C4" w14:textId="77777777" w:rsidR="002D54CB" w:rsidRPr="00DE3EF9" w:rsidRDefault="002D54CB" w:rsidP="0099658A">
            <w:r>
              <w:t xml:space="preserve">13. </w:t>
            </w:r>
            <w:r w:rsidRPr="00DE3EF9">
              <w:t xml:space="preserve">izmantot laboratorijas darbos iegūto prasmi – sagatavot un veikt eksperimentu, lietot attiecīgo aparatūru, novērtēt rezultātus – tālākā praktiskā vai zinātniskā darbā; </w:t>
            </w:r>
          </w:p>
          <w:p w14:paraId="1630EDF5" w14:textId="77777777" w:rsidR="002D54CB" w:rsidRPr="00DE3EF9" w:rsidRDefault="002D54CB" w:rsidP="0099658A">
            <w:r w:rsidRPr="00B721E0">
              <w:t>1</w:t>
            </w:r>
            <w:r w:rsidRPr="00DE3EF9">
              <w:t xml:space="preserve">4. spēj prasmīgi analizēt iegūtos rezultātus: novērtēt  galveno </w:t>
            </w:r>
            <w:proofErr w:type="spellStart"/>
            <w:r w:rsidRPr="00DE3EF9">
              <w:t>bio</w:t>
            </w:r>
            <w:r w:rsidRPr="00B721E0">
              <w:t>organisko</w:t>
            </w:r>
            <w:proofErr w:type="spellEnd"/>
            <w:r w:rsidRPr="00B721E0">
              <w:t xml:space="preserve"> savienojumu nozīmīgumu un svarīgumu dzīvajās sistēmās</w:t>
            </w:r>
            <w:r w:rsidRPr="00DE3EF9">
              <w:t>, salīdzināt ar literatūras datiem, patstāvīgi izvēlēties piemērotāko metodi konkrētas bioloģiski aktīvās vielas izpētei; novērtēt izvēlētās metodes priekšrocības un trūkumus salīdzinājumā ar citām aprakstītām vai iespējamām metodēm;</w:t>
            </w:r>
          </w:p>
          <w:p w14:paraId="6E257FCE" w14:textId="77777777" w:rsidR="002D54CB" w:rsidRPr="00CE15D9" w:rsidRDefault="002D54CB" w:rsidP="0099658A">
            <w:r w:rsidRPr="00B721E0">
              <w:t>15</w:t>
            </w:r>
            <w:r w:rsidRPr="00DE3EF9">
              <w:t xml:space="preserve">. spēj patstāvīgi strādāt ar zinātnisko literatūru </w:t>
            </w:r>
            <w:proofErr w:type="spellStart"/>
            <w:r w:rsidRPr="00DE3EF9">
              <w:t>biorganiskās</w:t>
            </w:r>
            <w:proofErr w:type="spellEnd"/>
            <w:r w:rsidRPr="00DE3EF9">
              <w:t xml:space="preserve"> ķīmijas jomā, analizēt un interpretēt literatūru par </w:t>
            </w:r>
            <w:proofErr w:type="spellStart"/>
            <w:r w:rsidRPr="00DE3EF9">
              <w:t>bioorganisko</w:t>
            </w:r>
            <w:proofErr w:type="spellEnd"/>
            <w:r w:rsidRPr="00DE3EF9">
              <w:t xml:space="preserve"> vielu īpašībām un funkcijām.</w:t>
            </w:r>
            <w:bookmarkStart w:id="2" w:name="_Hlk34246248"/>
          </w:p>
          <w:bookmarkEnd w:id="2"/>
          <w:p w14:paraId="2FA4FDB2" w14:textId="77777777" w:rsidR="002D54CB" w:rsidRPr="0093308E" w:rsidRDefault="002D54CB" w:rsidP="0099658A"/>
        </w:tc>
      </w:tr>
      <w:bookmarkEnd w:id="1"/>
      <w:tr w:rsidR="002D54CB" w:rsidRPr="0093308E" w14:paraId="033853EE" w14:textId="77777777" w:rsidTr="0099658A">
        <w:tc>
          <w:tcPr>
            <w:tcW w:w="9039" w:type="dxa"/>
            <w:gridSpan w:val="2"/>
          </w:tcPr>
          <w:p w14:paraId="4C696AF0" w14:textId="77777777" w:rsidR="002D54CB" w:rsidRPr="0093308E" w:rsidRDefault="002D54CB" w:rsidP="0099658A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2D54CB" w:rsidRPr="0093308E" w14:paraId="27F0E5AE" w14:textId="77777777" w:rsidTr="0099658A">
        <w:tc>
          <w:tcPr>
            <w:tcW w:w="9039" w:type="dxa"/>
            <w:gridSpan w:val="2"/>
          </w:tcPr>
          <w:p w14:paraId="22F883AA" w14:textId="77777777" w:rsidR="002D54CB" w:rsidRDefault="002D54CB" w:rsidP="0099658A">
            <w:r w:rsidRPr="00B846E9">
              <w:t xml:space="preserve">Studējošo darbs tiek organizēts individuāli un grupās, patstāvīgi sagatavojoties </w:t>
            </w:r>
            <w:r w:rsidRPr="00CE15D9">
              <w:t>laboratorijas darbiem, sagatavojot laboratorijas darbu protokolus. Katrs studējošais sagatavo laboratorijas darbu atskaites.</w:t>
            </w:r>
          </w:p>
          <w:p w14:paraId="32DFDF10" w14:textId="77777777" w:rsidR="002D54CB" w:rsidRPr="002356D0" w:rsidRDefault="002D54CB" w:rsidP="0099658A">
            <w:r w:rsidRPr="00C07DEE">
              <w:t>Pirms katras nodarbības studējošie ie</w:t>
            </w:r>
            <w:r w:rsidRPr="002356D0">
              <w:t>pazīstas ar nodarbības tematu un atbilstošo zinātnisko un mācību literatūru.</w:t>
            </w:r>
          </w:p>
          <w:p w14:paraId="517D2C2C" w14:textId="77777777" w:rsidR="002D54CB" w:rsidRPr="002356D0" w:rsidRDefault="002D54CB" w:rsidP="0099658A">
            <w:r w:rsidRPr="00C07DEE">
              <w:t>Patstāvīgais darbs paredzēts pēc katra</w:t>
            </w:r>
            <w:r w:rsidRPr="002356D0">
              <w:t xml:space="preserve">s lekcijas un ir saistīts ar lekcijas tēmu padziļinātu analīzi. Patstāvīgā darba ietvaros tiek veikta literatūras avotu analīze. Studējošie patstāvīgā darba ietvaros gatavojas kursa </w:t>
            </w:r>
            <w:proofErr w:type="spellStart"/>
            <w:r w:rsidRPr="002356D0">
              <w:t>starppārbaudījumiem</w:t>
            </w:r>
            <w:proofErr w:type="spellEnd"/>
            <w:r w:rsidRPr="002356D0">
              <w:t xml:space="preserve"> (</w:t>
            </w:r>
            <w:r>
              <w:t>2</w:t>
            </w:r>
            <w:r w:rsidRPr="002356D0">
              <w:t xml:space="preserve"> kontroldarbi) un noslēguma pārbaudījumam. </w:t>
            </w:r>
          </w:p>
          <w:p w14:paraId="4A147923" w14:textId="77777777" w:rsidR="002D54CB" w:rsidRPr="00CE15D9" w:rsidRDefault="002D54CB" w:rsidP="0099658A"/>
          <w:p w14:paraId="0E7815CD" w14:textId="77777777" w:rsidR="002D54CB" w:rsidRPr="002356D0" w:rsidRDefault="002D54CB" w:rsidP="0099658A">
            <w:r w:rsidRPr="00C07DEE">
              <w:t xml:space="preserve">1. kontroldarbs. </w:t>
            </w:r>
            <w:r>
              <w:t>G</w:t>
            </w:r>
            <w:r w:rsidRPr="00DE3EF9">
              <w:t>alven</w:t>
            </w:r>
            <w:r>
              <w:t>ās</w:t>
            </w:r>
            <w:r w:rsidRPr="00911E58">
              <w:t xml:space="preserve"> </w:t>
            </w:r>
            <w:proofErr w:type="spellStart"/>
            <w:r w:rsidRPr="00911E58">
              <w:t>bio</w:t>
            </w:r>
            <w:r w:rsidRPr="00B721E0">
              <w:t>organisko</w:t>
            </w:r>
            <w:proofErr w:type="spellEnd"/>
            <w:r w:rsidRPr="00B721E0">
              <w:t xml:space="preserve"> savienojumu</w:t>
            </w:r>
            <w:r>
              <w:t xml:space="preserve"> klases, to </w:t>
            </w:r>
            <w:r w:rsidRPr="00CE15D9">
              <w:t xml:space="preserve">nozīme un </w:t>
            </w:r>
            <w:r>
              <w:t>funkcijas</w:t>
            </w:r>
            <w:r w:rsidRPr="00CE15D9">
              <w:t xml:space="preserve">. </w:t>
            </w:r>
          </w:p>
          <w:p w14:paraId="2FE90409" w14:textId="77777777" w:rsidR="002D54CB" w:rsidRDefault="002D54CB" w:rsidP="0099658A">
            <w:r w:rsidRPr="00C07DEE">
              <w:t>2. kontroldarbs.</w:t>
            </w:r>
            <w:r w:rsidRPr="002356D0">
              <w:t xml:space="preserve"> </w:t>
            </w:r>
            <w:r w:rsidRPr="00CE15D9">
              <w:t>Olbaltumvielu</w:t>
            </w:r>
            <w:r>
              <w:t>, f</w:t>
            </w:r>
            <w:r w:rsidRPr="00CE15D9">
              <w:t>erment</w:t>
            </w:r>
            <w:r>
              <w:t>u un n</w:t>
            </w:r>
            <w:r w:rsidRPr="00CE15D9">
              <w:t>ukleīnskābju</w:t>
            </w:r>
            <w:r>
              <w:t xml:space="preserve"> pētījumu metodes.</w:t>
            </w:r>
          </w:p>
          <w:p w14:paraId="194C8757" w14:textId="77777777" w:rsidR="002D54CB" w:rsidRPr="0093308E" w:rsidRDefault="002D54CB" w:rsidP="0099658A"/>
        </w:tc>
      </w:tr>
      <w:tr w:rsidR="002D54CB" w:rsidRPr="0093308E" w14:paraId="4CE9892C" w14:textId="77777777" w:rsidTr="0099658A">
        <w:tc>
          <w:tcPr>
            <w:tcW w:w="9039" w:type="dxa"/>
            <w:gridSpan w:val="2"/>
          </w:tcPr>
          <w:p w14:paraId="5FA80C37" w14:textId="77777777" w:rsidR="002D54CB" w:rsidRPr="0093308E" w:rsidRDefault="002D54CB" w:rsidP="0099658A">
            <w:pPr>
              <w:pStyle w:val="Nosaukumi"/>
            </w:pPr>
            <w:r w:rsidRPr="0093308E">
              <w:t>Prasības kredītpunktu iegūšanai</w:t>
            </w:r>
          </w:p>
        </w:tc>
      </w:tr>
      <w:tr w:rsidR="002D54CB" w:rsidRPr="0093308E" w14:paraId="74DC7DBD" w14:textId="77777777" w:rsidTr="0099658A">
        <w:tc>
          <w:tcPr>
            <w:tcW w:w="9039" w:type="dxa"/>
            <w:gridSpan w:val="2"/>
          </w:tcPr>
          <w:p w14:paraId="36404C1B" w14:textId="77777777" w:rsidR="002D54CB" w:rsidRPr="002356D0" w:rsidRDefault="002D54CB" w:rsidP="0099658A">
            <w:r w:rsidRPr="00C816D9">
              <w:t>STUDIJU REZULTĀTU VĒRTĒŠANAS KRITĒRIJI</w:t>
            </w:r>
          </w:p>
          <w:p w14:paraId="5BB46998" w14:textId="77777777" w:rsidR="002D54CB" w:rsidRDefault="002D54CB" w:rsidP="0099658A"/>
          <w:p w14:paraId="3343D87E" w14:textId="77777777" w:rsidR="002D54CB" w:rsidRPr="002356D0" w:rsidRDefault="002D54CB" w:rsidP="0099658A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2356D0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4CD51F4E" w14:textId="77777777" w:rsidR="002D54CB" w:rsidRDefault="002D54CB" w:rsidP="0099658A"/>
          <w:p w14:paraId="271EE2C2" w14:textId="77777777" w:rsidR="002D54CB" w:rsidRPr="009B5EB2" w:rsidRDefault="002D54CB" w:rsidP="0099658A">
            <w:r w:rsidRPr="00FC78B9">
              <w:t>S</w:t>
            </w:r>
            <w:r w:rsidRPr="009B5EB2">
              <w:t>tudējošo prasmes un kompetences tiek novērtētas 8 laboratorijas darbos.</w:t>
            </w:r>
          </w:p>
          <w:p w14:paraId="66EDE3C6" w14:textId="77777777" w:rsidR="002D54CB" w:rsidRPr="009B5EB2" w:rsidRDefault="002D54CB" w:rsidP="0099658A">
            <w:r w:rsidRPr="00FC78B9">
              <w:t>Studējošie apgūst prasmes: sagatavot laboratorijas darba teorētisko pamatojumu, individuāli un kolektīvi</w:t>
            </w:r>
            <w:r w:rsidRPr="009B5EB2">
              <w:t xml:space="preserve"> veikt bioķīmiskās reakcijas, izvēlēties atbilstošus reaktīvus un laboratorijas traukus, interpretēt iegūtos rezultātus, salīdzināt ar literatūras datiem. </w:t>
            </w:r>
          </w:p>
          <w:p w14:paraId="4F47FEB7" w14:textId="77777777" w:rsidR="002D54CB" w:rsidRPr="009B5EB2" w:rsidRDefault="002D54CB" w:rsidP="0099658A">
            <w:r w:rsidRPr="00FC78B9">
              <w:t xml:space="preserve"> </w:t>
            </w:r>
          </w:p>
          <w:p w14:paraId="18039FE1" w14:textId="77777777" w:rsidR="002D54CB" w:rsidRPr="009B5EB2" w:rsidRDefault="002D54CB" w:rsidP="0099658A">
            <w:proofErr w:type="spellStart"/>
            <w:r w:rsidRPr="008C614E">
              <w:t>Summatīvā</w:t>
            </w:r>
            <w:proofErr w:type="spellEnd"/>
            <w:r w:rsidRPr="008C614E">
              <w:t xml:space="preserve"> zināšanu un kompetenču vērtēšana kontroldarbos. Obligāti ir sekmīgi jāuzraksta visi kontroldarbi. </w:t>
            </w:r>
          </w:p>
          <w:p w14:paraId="5E1935B5" w14:textId="77777777" w:rsidR="002D54CB" w:rsidRPr="009B5EB2" w:rsidRDefault="002D54CB" w:rsidP="0099658A">
            <w:r w:rsidRPr="008C614E">
              <w:t>Ja studējošais neierodas uz pārbaudes darbu vai to sekmīgi nenokārto, atkārtoti pārbaudes darbu ir obligāti sekmīgi jānokārto.  Lai studējoš</w:t>
            </w:r>
            <w:r w:rsidRPr="009B5EB2">
              <w:t>o pielaistu pie rakstiska eksāmena un izliktu sekmīgu gala vērtējumu,  viņam ir jābūt sekmīgi uzrakstītiem visiem paredzētajiem pārbaudes darbiem.</w:t>
            </w:r>
          </w:p>
          <w:p w14:paraId="082E38B9" w14:textId="77777777" w:rsidR="002D54CB" w:rsidRPr="008C614E" w:rsidRDefault="002D54CB" w:rsidP="0099658A"/>
          <w:p w14:paraId="7042CE1F" w14:textId="77777777" w:rsidR="002D54CB" w:rsidRPr="009B5EB2" w:rsidRDefault="002D54CB" w:rsidP="0099658A">
            <w:r w:rsidRPr="008C614E">
              <w:t xml:space="preserve">Laboratorijas darbos studējošajiem ir individuāli jāaizpilda mērījumu protokols. Jāizdara secinājumi par iegūto rezultātu atbilstību paredzētajam, jāveic to interpretēšana. </w:t>
            </w:r>
          </w:p>
          <w:p w14:paraId="4DEA6EF3" w14:textId="77777777" w:rsidR="002D54CB" w:rsidRPr="002356D0" w:rsidRDefault="002D54CB" w:rsidP="0099658A">
            <w:r w:rsidRPr="00D801AD">
              <w:t>Gala vērtējumu par studiju kursu nosaka vidējais vērtējums par kontroldarbiem semestra laikā (</w:t>
            </w:r>
            <w:r>
              <w:t>6</w:t>
            </w:r>
            <w:r w:rsidRPr="00D801AD">
              <w:t xml:space="preserve">0%), </w:t>
            </w:r>
            <w:r w:rsidRPr="009B5EB2">
              <w:t>laboratorijas darbu protokoliem (10%) un atbildes eksāmenā (</w:t>
            </w:r>
            <w:r>
              <w:t>3</w:t>
            </w:r>
            <w:r w:rsidRPr="009B5EB2">
              <w:t>0%).</w:t>
            </w:r>
            <w:r>
              <w:t xml:space="preserve"> </w:t>
            </w:r>
            <w:r w:rsidRPr="0048087E">
              <w:t>Studiju kursa noslēguma pārbaudījums</w:t>
            </w:r>
            <w:r w:rsidRPr="002356D0">
              <w:t xml:space="preserve"> - rakstisks eksāmens. </w:t>
            </w:r>
          </w:p>
          <w:p w14:paraId="35AF4B80" w14:textId="77777777" w:rsidR="002D54CB" w:rsidRPr="002356D0" w:rsidRDefault="002D54CB" w:rsidP="0099658A">
            <w:r>
              <w:t>Pie</w:t>
            </w:r>
            <w:r w:rsidRPr="002356D0">
              <w:t xml:space="preserve"> eksāmena kārtošanas tiek pielaisti tikai tie studējošie, kas ir nokārtojuši </w:t>
            </w:r>
            <w:r>
              <w:t>divus</w:t>
            </w:r>
            <w:r w:rsidRPr="002356D0">
              <w:t xml:space="preserve"> kontroldarbus</w:t>
            </w:r>
          </w:p>
          <w:p w14:paraId="20F04492" w14:textId="77777777" w:rsidR="002D54CB" w:rsidRDefault="002D54CB" w:rsidP="0099658A"/>
          <w:p w14:paraId="3C834B10" w14:textId="77777777" w:rsidR="002D54CB" w:rsidRPr="002356D0" w:rsidRDefault="002D54CB" w:rsidP="0099658A">
            <w:r w:rsidRPr="00C816D9">
              <w:t>STUDIJU REZULTĀTU VĒRTĒŠANA</w:t>
            </w:r>
          </w:p>
          <w:p w14:paraId="13E37D3B" w14:textId="77777777" w:rsidR="002D54CB" w:rsidRDefault="002D54CB" w:rsidP="0099658A"/>
          <w:tbl>
            <w:tblPr>
              <w:tblW w:w="843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22"/>
              <w:gridCol w:w="396"/>
              <w:gridCol w:w="396"/>
              <w:gridCol w:w="396"/>
              <w:gridCol w:w="396"/>
              <w:gridCol w:w="396"/>
              <w:gridCol w:w="396"/>
              <w:gridCol w:w="386"/>
              <w:gridCol w:w="270"/>
              <w:gridCol w:w="274"/>
              <w:gridCol w:w="651"/>
              <w:gridCol w:w="320"/>
              <w:gridCol w:w="502"/>
              <w:gridCol w:w="320"/>
              <w:gridCol w:w="591"/>
              <w:gridCol w:w="280"/>
              <w:gridCol w:w="40"/>
            </w:tblGrid>
            <w:tr w:rsidR="002D54CB" w:rsidRPr="00026C21" w14:paraId="6D8C3902" w14:textId="77777777" w:rsidTr="0099658A">
              <w:trPr>
                <w:gridAfter w:val="1"/>
                <w:wAfter w:w="40" w:type="dxa"/>
                <w:jc w:val="center"/>
              </w:trPr>
              <w:tc>
                <w:tcPr>
                  <w:tcW w:w="24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94800CD" w14:textId="77777777" w:rsidR="002D54CB" w:rsidRPr="002356D0" w:rsidRDefault="002D54CB" w:rsidP="0099658A">
                  <w:r w:rsidRPr="00C816D9">
                    <w:t>Pārbaudījumu veidi</w:t>
                  </w:r>
                </w:p>
              </w:tc>
              <w:tc>
                <w:tcPr>
                  <w:tcW w:w="5970" w:type="dxa"/>
                  <w:gridSpan w:val="1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536D12" w14:textId="77777777" w:rsidR="002D54CB" w:rsidRPr="002356D0" w:rsidRDefault="002D54CB" w:rsidP="0099658A">
                  <w:r w:rsidRPr="00A849CC">
                    <w:t>Studiju rezultāti</w:t>
                  </w:r>
                </w:p>
              </w:tc>
            </w:tr>
            <w:tr w:rsidR="002D54CB" w:rsidRPr="00026C21" w14:paraId="2B009DD2" w14:textId="77777777" w:rsidTr="0099658A">
              <w:trPr>
                <w:jc w:val="center"/>
              </w:trPr>
              <w:tc>
                <w:tcPr>
                  <w:tcW w:w="24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773EA1A" w14:textId="77777777" w:rsidR="002D54CB" w:rsidRPr="00C816D9" w:rsidRDefault="002D54CB" w:rsidP="0099658A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4E8C255" w14:textId="77777777" w:rsidR="002D54CB" w:rsidRPr="002356D0" w:rsidRDefault="002D54CB" w:rsidP="0099658A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741D62" w14:textId="77777777" w:rsidR="002D54CB" w:rsidRPr="002356D0" w:rsidRDefault="002D54CB" w:rsidP="0099658A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197FEA9" w14:textId="77777777" w:rsidR="002D54CB" w:rsidRPr="002356D0" w:rsidRDefault="002D54CB" w:rsidP="0099658A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F116CDD" w14:textId="77777777" w:rsidR="002D54CB" w:rsidRPr="002356D0" w:rsidRDefault="002D54CB" w:rsidP="0099658A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A8A4176" w14:textId="77777777" w:rsidR="002D54CB" w:rsidRPr="002356D0" w:rsidRDefault="002D54CB" w:rsidP="0099658A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4FE2A46" w14:textId="77777777" w:rsidR="002D54CB" w:rsidRPr="002356D0" w:rsidRDefault="002D54CB" w:rsidP="0099658A">
                  <w:r w:rsidRPr="00C816D9">
                    <w:t>6.</w:t>
                  </w:r>
                </w:p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A8BA8A" w14:textId="77777777" w:rsidR="002D54CB" w:rsidRPr="002356D0" w:rsidRDefault="002D54CB" w:rsidP="0099658A">
                  <w:r>
                    <w:t>7.</w:t>
                  </w:r>
                </w:p>
              </w:tc>
              <w:tc>
                <w:tcPr>
                  <w:tcW w:w="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090452" w14:textId="77777777" w:rsidR="002D54CB" w:rsidRPr="002356D0" w:rsidRDefault="002D54CB" w:rsidP="0099658A">
                  <w:r>
                    <w:t>8.</w:t>
                  </w:r>
                </w:p>
              </w:tc>
              <w:tc>
                <w:tcPr>
                  <w:tcW w:w="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77C81" w14:textId="77777777" w:rsidR="002D54CB" w:rsidRPr="002356D0" w:rsidRDefault="002D54CB" w:rsidP="0099658A">
                  <w:r>
                    <w:t>9.</w:t>
                  </w: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703BF9" w14:textId="77777777" w:rsidR="002D54CB" w:rsidRPr="002356D0" w:rsidRDefault="002D54CB" w:rsidP="0099658A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9BADD" w14:textId="77777777" w:rsidR="002D54CB" w:rsidRPr="002356D0" w:rsidRDefault="002D54CB" w:rsidP="0099658A">
                  <w:r>
                    <w:t>11.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42906B" w14:textId="77777777" w:rsidR="002D54CB" w:rsidRPr="002356D0" w:rsidRDefault="002D54CB" w:rsidP="0099658A">
                  <w:r>
                    <w:t>12.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AB346F" w14:textId="77777777" w:rsidR="002D54CB" w:rsidRPr="002356D0" w:rsidRDefault="002D54CB" w:rsidP="0099658A">
                  <w:r>
                    <w:t>13.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075ED1" w14:textId="77777777" w:rsidR="002D54CB" w:rsidRPr="002356D0" w:rsidRDefault="002D54CB" w:rsidP="0099658A">
                  <w:r>
                    <w:t>14.</w:t>
                  </w:r>
                </w:p>
              </w:tc>
              <w:tc>
                <w:tcPr>
                  <w:tcW w:w="3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CD3F42" w14:textId="77777777" w:rsidR="002D54CB" w:rsidRPr="002356D0" w:rsidRDefault="002D54CB" w:rsidP="0099658A">
                  <w:r>
                    <w:t>15.</w:t>
                  </w:r>
                </w:p>
              </w:tc>
            </w:tr>
            <w:tr w:rsidR="002D54CB" w:rsidRPr="00026C21" w14:paraId="476B662A" w14:textId="77777777" w:rsidTr="0099658A">
              <w:trPr>
                <w:jc w:val="center"/>
              </w:trPr>
              <w:tc>
                <w:tcPr>
                  <w:tcW w:w="2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B348C5" w14:textId="77777777" w:rsidR="002D54CB" w:rsidRPr="002356D0" w:rsidRDefault="002D54CB" w:rsidP="0099658A">
                  <w:r w:rsidRPr="00C816D9">
                    <w:t>1.</w:t>
                  </w:r>
                  <w:r>
                    <w:t xml:space="preserve"> </w:t>
                  </w:r>
                  <w:r w:rsidRPr="002356D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FB9258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2A1F91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0A0992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1DDE50" w14:textId="77777777" w:rsidR="002D54CB" w:rsidRPr="00C816D9" w:rsidRDefault="002D54CB" w:rsidP="0099658A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E66659" w14:textId="77777777" w:rsidR="002D54CB" w:rsidRPr="00C816D9" w:rsidRDefault="002D54CB" w:rsidP="0099658A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F14285" w14:textId="77777777" w:rsidR="002D54CB" w:rsidRPr="00C816D9" w:rsidRDefault="002D54CB" w:rsidP="0099658A"/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91A827" w14:textId="77777777" w:rsidR="002D54CB" w:rsidRPr="00C816D9" w:rsidRDefault="002D54CB" w:rsidP="0099658A"/>
              </w:tc>
              <w:tc>
                <w:tcPr>
                  <w:tcW w:w="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ECD715" w14:textId="77777777" w:rsidR="002D54CB" w:rsidRPr="00C816D9" w:rsidRDefault="002D54CB" w:rsidP="0099658A"/>
              </w:tc>
              <w:tc>
                <w:tcPr>
                  <w:tcW w:w="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03FE4C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3F6FE4" w14:textId="77777777" w:rsidR="002D54CB" w:rsidRPr="002356D0" w:rsidRDefault="002D54CB" w:rsidP="0099658A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B46634" w14:textId="77777777" w:rsidR="002D54CB" w:rsidRPr="00C816D9" w:rsidRDefault="002D54CB" w:rsidP="0099658A"/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C1B3B4" w14:textId="77777777" w:rsidR="002D54CB" w:rsidRPr="00C816D9" w:rsidRDefault="002D54CB" w:rsidP="0099658A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17DFED" w14:textId="77777777" w:rsidR="002D54CB" w:rsidRPr="00C816D9" w:rsidRDefault="002D54CB" w:rsidP="0099658A"/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F65147" w14:textId="77777777" w:rsidR="002D54CB" w:rsidRPr="00C816D9" w:rsidRDefault="002D54CB" w:rsidP="0099658A"/>
              </w:tc>
              <w:tc>
                <w:tcPr>
                  <w:tcW w:w="3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98E3E4" w14:textId="77777777" w:rsidR="002D54CB" w:rsidRPr="00C816D9" w:rsidRDefault="002D54CB" w:rsidP="0099658A"/>
              </w:tc>
            </w:tr>
            <w:tr w:rsidR="002D54CB" w:rsidRPr="00026C21" w14:paraId="61BC5C15" w14:textId="77777777" w:rsidTr="0099658A">
              <w:trPr>
                <w:jc w:val="center"/>
              </w:trPr>
              <w:tc>
                <w:tcPr>
                  <w:tcW w:w="2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3B25E8" w14:textId="77777777" w:rsidR="002D54CB" w:rsidRPr="002356D0" w:rsidRDefault="002D54CB" w:rsidP="0099658A">
                  <w:r w:rsidRPr="00C816D9">
                    <w:t>2.</w:t>
                  </w:r>
                  <w:r>
                    <w:t xml:space="preserve"> </w:t>
                  </w:r>
                  <w:r w:rsidRPr="002356D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2A2E84" w14:textId="77777777" w:rsidR="002D54CB" w:rsidRPr="00C816D9" w:rsidRDefault="002D54CB" w:rsidP="0099658A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4753E5" w14:textId="77777777" w:rsidR="002D54CB" w:rsidRPr="00C816D9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6A5F25" w14:textId="77777777" w:rsidR="002D54CB" w:rsidRPr="00C816D9" w:rsidRDefault="002D54CB" w:rsidP="0099658A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D0D819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FEFFC4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6BD05" w14:textId="77777777" w:rsidR="002D54CB" w:rsidRPr="00C816D9" w:rsidRDefault="002D54CB" w:rsidP="0099658A"/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AE5936" w14:textId="77777777" w:rsidR="002D54CB" w:rsidRPr="00C816D9" w:rsidRDefault="002D54CB" w:rsidP="0099658A"/>
              </w:tc>
              <w:tc>
                <w:tcPr>
                  <w:tcW w:w="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A131C6" w14:textId="77777777" w:rsidR="002D54CB" w:rsidRPr="00C816D9" w:rsidRDefault="002D54CB" w:rsidP="0099658A">
                  <w:r>
                    <w:t>X</w:t>
                  </w:r>
                </w:p>
              </w:tc>
              <w:tc>
                <w:tcPr>
                  <w:tcW w:w="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FF6BE0" w14:textId="77777777" w:rsidR="002D54CB" w:rsidRPr="00C816D9" w:rsidRDefault="002D54CB" w:rsidP="0099658A">
                  <w:r>
                    <w:t>X</w:t>
                  </w: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DA15EA" w14:textId="77777777" w:rsidR="002D54CB" w:rsidRPr="00C816D9" w:rsidRDefault="002D54CB" w:rsidP="0099658A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878BEB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0FB560" w14:textId="77777777" w:rsidR="002D54CB" w:rsidRPr="00C816D9" w:rsidRDefault="002D54CB" w:rsidP="0099658A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ADF938" w14:textId="77777777" w:rsidR="002D54CB" w:rsidRPr="00C816D9" w:rsidRDefault="002D54CB" w:rsidP="0099658A"/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3EAEE9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C90B1E" w14:textId="77777777" w:rsidR="002D54CB" w:rsidRPr="002356D0" w:rsidRDefault="002D54CB" w:rsidP="0099658A">
                  <w:r>
                    <w:t>X</w:t>
                  </w:r>
                </w:p>
              </w:tc>
            </w:tr>
            <w:tr w:rsidR="002D54CB" w:rsidRPr="00026C21" w14:paraId="73854092" w14:textId="77777777" w:rsidTr="0099658A">
              <w:trPr>
                <w:jc w:val="center"/>
              </w:trPr>
              <w:tc>
                <w:tcPr>
                  <w:tcW w:w="2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2577D6" w14:textId="77777777" w:rsidR="002D54CB" w:rsidRPr="002356D0" w:rsidRDefault="002D54CB" w:rsidP="0099658A">
                  <w:r>
                    <w:lastRenderedPageBreak/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72F6ED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77C60D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F5C667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C9238D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65B2A9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83E074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467A90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D8B78A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05D8B6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7A513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64840B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A9866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256B60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95387D" w14:textId="77777777" w:rsidR="002D54CB" w:rsidRPr="002356D0" w:rsidRDefault="002D54CB" w:rsidP="0099658A">
                  <w:r>
                    <w:t>X</w:t>
                  </w:r>
                </w:p>
              </w:tc>
              <w:tc>
                <w:tcPr>
                  <w:tcW w:w="3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A4DB7D" w14:textId="77777777" w:rsidR="002D54CB" w:rsidRPr="002356D0" w:rsidRDefault="002D54CB" w:rsidP="0099658A">
                  <w:r>
                    <w:t>X</w:t>
                  </w:r>
                </w:p>
              </w:tc>
            </w:tr>
          </w:tbl>
          <w:p w14:paraId="5A0B0C1C" w14:textId="77777777" w:rsidR="002D54CB" w:rsidRPr="0093308E" w:rsidRDefault="002D54CB" w:rsidP="0099658A">
            <w:r w:rsidRPr="00CE15D9">
              <w:t xml:space="preserve"> </w:t>
            </w:r>
            <w:r>
              <w:t xml:space="preserve"> </w:t>
            </w:r>
          </w:p>
        </w:tc>
      </w:tr>
      <w:tr w:rsidR="002D54CB" w:rsidRPr="0093308E" w14:paraId="64AD6285" w14:textId="77777777" w:rsidTr="0099658A">
        <w:tc>
          <w:tcPr>
            <w:tcW w:w="9039" w:type="dxa"/>
            <w:gridSpan w:val="2"/>
          </w:tcPr>
          <w:p w14:paraId="49D0A742" w14:textId="77777777" w:rsidR="002D54CB" w:rsidRPr="0093308E" w:rsidRDefault="002D54CB" w:rsidP="0099658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2D54CB" w:rsidRPr="0093308E" w14:paraId="26394F0B" w14:textId="77777777" w:rsidTr="0099658A">
        <w:tc>
          <w:tcPr>
            <w:tcW w:w="9039" w:type="dxa"/>
            <w:gridSpan w:val="2"/>
          </w:tcPr>
          <w:p w14:paraId="6AA97675" w14:textId="77777777" w:rsidR="002D54CB" w:rsidRPr="009B5EB2" w:rsidRDefault="002D54CB" w:rsidP="0099658A">
            <w:r>
              <w:t>L16, L</w:t>
            </w:r>
            <w:r w:rsidRPr="009B5EB2">
              <w:t>d</w:t>
            </w:r>
            <w:r>
              <w:t xml:space="preserve">16, </w:t>
            </w:r>
            <w:r w:rsidRPr="009B5EB2">
              <w:t>Pd</w:t>
            </w:r>
            <w:r>
              <w:t>48</w:t>
            </w:r>
          </w:p>
          <w:p w14:paraId="02326729" w14:textId="77777777" w:rsidR="002D54CB" w:rsidRPr="009B5EB2" w:rsidRDefault="002D54CB" w:rsidP="0099658A">
            <w:r w:rsidRPr="00F60936">
              <w:t>Lekcijas:</w:t>
            </w:r>
          </w:p>
          <w:p w14:paraId="62AC3EA6" w14:textId="77777777" w:rsidR="002D54CB" w:rsidRPr="00F70C0E" w:rsidRDefault="002D54CB" w:rsidP="0099658A">
            <w:r>
              <w:t xml:space="preserve">1. </w:t>
            </w:r>
            <w:proofErr w:type="spellStart"/>
            <w:r w:rsidRPr="00F70C0E">
              <w:t>Bioorganisko</w:t>
            </w:r>
            <w:proofErr w:type="spellEnd"/>
            <w:r w:rsidRPr="00F70C0E">
              <w:t xml:space="preserve"> savienojumu pētīšanas metodes. Bioloģiski svarīgas </w:t>
            </w:r>
            <w:proofErr w:type="spellStart"/>
            <w:r w:rsidRPr="00F70C0E">
              <w:t>polifunkcionālu</w:t>
            </w:r>
            <w:proofErr w:type="spellEnd"/>
            <w:r w:rsidRPr="00F70C0E">
              <w:t xml:space="preserve"> un </w:t>
            </w:r>
            <w:proofErr w:type="spellStart"/>
            <w:r w:rsidRPr="00F70C0E">
              <w:t>heterofunkcionālu</w:t>
            </w:r>
            <w:proofErr w:type="spellEnd"/>
            <w:r w:rsidRPr="00F70C0E">
              <w:t xml:space="preserve"> savienojumu klases. L2, Pd</w:t>
            </w:r>
            <w:r>
              <w:t>3</w:t>
            </w:r>
          </w:p>
          <w:p w14:paraId="04EC4D56" w14:textId="77777777" w:rsidR="002D54CB" w:rsidRPr="00F70C0E" w:rsidRDefault="002D54CB" w:rsidP="0099658A">
            <w:r>
              <w:t xml:space="preserve">2. </w:t>
            </w:r>
            <w:proofErr w:type="spellStart"/>
            <w:r w:rsidRPr="00F70C0E">
              <w:t>Mazmolekulārie</w:t>
            </w:r>
            <w:proofErr w:type="spellEnd"/>
            <w:r w:rsidRPr="00F70C0E">
              <w:t xml:space="preserve"> bioloģiski svarīgi savienojumi. Slāpekļa saturošie un </w:t>
            </w:r>
            <w:proofErr w:type="spellStart"/>
            <w:r w:rsidRPr="00F70C0E">
              <w:t>heterocikliskie</w:t>
            </w:r>
            <w:proofErr w:type="spellEnd"/>
            <w:r w:rsidRPr="00F70C0E">
              <w:t xml:space="preserve"> savienojumi. L2, Pd</w:t>
            </w:r>
            <w:r>
              <w:t>3</w:t>
            </w:r>
          </w:p>
          <w:p w14:paraId="785F9D5A" w14:textId="77777777" w:rsidR="002D54CB" w:rsidRPr="00F70C0E" w:rsidRDefault="002D54CB" w:rsidP="0099658A">
            <w:r>
              <w:t xml:space="preserve">3. </w:t>
            </w:r>
            <w:r w:rsidRPr="00F70C0E">
              <w:t xml:space="preserve">Ogļhidrāti  -  </w:t>
            </w:r>
            <w:proofErr w:type="spellStart"/>
            <w:r w:rsidRPr="00F70C0E">
              <w:t>monosaharīdi</w:t>
            </w:r>
            <w:proofErr w:type="spellEnd"/>
            <w:r w:rsidRPr="00F70C0E">
              <w:t xml:space="preserve">, </w:t>
            </w:r>
            <w:proofErr w:type="spellStart"/>
            <w:r w:rsidRPr="00F70C0E">
              <w:t>oligosaharīdi</w:t>
            </w:r>
            <w:proofErr w:type="spellEnd"/>
            <w:r w:rsidRPr="00F70C0E">
              <w:t xml:space="preserve">  un polisaharīdi. L2, Pd</w:t>
            </w:r>
            <w:r>
              <w:t>3</w:t>
            </w:r>
          </w:p>
          <w:p w14:paraId="07247FFB" w14:textId="77777777" w:rsidR="002D54CB" w:rsidRPr="00F70C0E" w:rsidRDefault="002D54CB" w:rsidP="0099658A">
            <w:r>
              <w:t xml:space="preserve">4. </w:t>
            </w:r>
            <w:r w:rsidRPr="00F70C0E">
              <w:t xml:space="preserve">Lipīdi. Fosfolipīdi. </w:t>
            </w:r>
            <w:proofErr w:type="spellStart"/>
            <w:r w:rsidRPr="00F70C0E">
              <w:t>Steroidi</w:t>
            </w:r>
            <w:proofErr w:type="spellEnd"/>
            <w:r w:rsidRPr="00F70C0E">
              <w:t>. Loma dzīvajā organismā. L2, Pd</w:t>
            </w:r>
            <w:r>
              <w:t>3</w:t>
            </w:r>
          </w:p>
          <w:p w14:paraId="1E4E8472" w14:textId="77777777" w:rsidR="002D54CB" w:rsidRPr="00F70C0E" w:rsidRDefault="002D54CB" w:rsidP="0099658A">
            <w:r>
              <w:t xml:space="preserve">5. </w:t>
            </w:r>
            <w:r w:rsidRPr="00F70C0E">
              <w:t xml:space="preserve">Alkaloīdi. </w:t>
            </w:r>
            <w:proofErr w:type="spellStart"/>
            <w:r w:rsidRPr="00F70C0E">
              <w:t>Mazmolekulāri</w:t>
            </w:r>
            <w:proofErr w:type="spellEnd"/>
            <w:r w:rsidRPr="00F70C0E">
              <w:t xml:space="preserve"> </w:t>
            </w:r>
            <w:proofErr w:type="spellStart"/>
            <w:r w:rsidRPr="00F70C0E">
              <w:t>bioregulatori</w:t>
            </w:r>
            <w:proofErr w:type="spellEnd"/>
            <w:r w:rsidRPr="00F70C0E">
              <w:t>.  L2, Pd</w:t>
            </w:r>
            <w:r>
              <w:t>3</w:t>
            </w:r>
          </w:p>
          <w:p w14:paraId="453BCF19" w14:textId="77777777" w:rsidR="002D54CB" w:rsidRPr="00F70C0E" w:rsidRDefault="002D54CB" w:rsidP="0099658A">
            <w:r>
              <w:t xml:space="preserve">6. </w:t>
            </w:r>
            <w:r w:rsidRPr="00F70C0E">
              <w:t>Aminoskābju un peptīdu ķīmijā. To organizācijas līmeņi. L2, Pd</w:t>
            </w:r>
            <w:r>
              <w:t>3</w:t>
            </w:r>
          </w:p>
          <w:p w14:paraId="2284C913" w14:textId="77777777" w:rsidR="002D54CB" w:rsidRPr="00F70C0E" w:rsidRDefault="002D54CB" w:rsidP="0099658A">
            <w:r>
              <w:t>7</w:t>
            </w:r>
            <w:r w:rsidRPr="00F70C0E">
              <w:t xml:space="preserve">. Enzīmu uzbūve. </w:t>
            </w:r>
            <w:proofErr w:type="spellStart"/>
            <w:r w:rsidRPr="00F70C0E">
              <w:t>Kofermenti</w:t>
            </w:r>
            <w:proofErr w:type="spellEnd"/>
            <w:r w:rsidRPr="00F70C0E">
              <w:t xml:space="preserve"> un vitamīni. L2, Pd</w:t>
            </w:r>
            <w:r>
              <w:t>3</w:t>
            </w:r>
          </w:p>
          <w:p w14:paraId="5B22B352" w14:textId="77777777" w:rsidR="002D54CB" w:rsidRPr="00F70C0E" w:rsidRDefault="002D54CB" w:rsidP="0099658A">
            <w:r>
              <w:t xml:space="preserve">8. </w:t>
            </w:r>
            <w:r w:rsidRPr="00F70C0E">
              <w:t xml:space="preserve">Slāpekļa bāzes. </w:t>
            </w:r>
            <w:proofErr w:type="spellStart"/>
            <w:r w:rsidRPr="00F70C0E">
              <w:t>Nukleotīdi</w:t>
            </w:r>
            <w:proofErr w:type="spellEnd"/>
            <w:r w:rsidRPr="00F70C0E">
              <w:t xml:space="preserve"> un nukleozīdi. DNS. RNS. </w:t>
            </w:r>
            <w:r w:rsidRPr="00F70C0E">
              <w:rPr>
                <w:lang w:eastAsia="ru-RU"/>
              </w:rPr>
              <w:t>Šūnas struktūras organizācija, bioķīmiskie procesi šūnā.  Metabolisma  galven</w:t>
            </w:r>
            <w:r w:rsidRPr="00F70C0E">
              <w:t>ā</w:t>
            </w:r>
            <w:r w:rsidRPr="00F70C0E">
              <w:rPr>
                <w:lang w:eastAsia="ru-RU"/>
              </w:rPr>
              <w:t>s likumsakar</w:t>
            </w:r>
            <w:r w:rsidRPr="00F70C0E">
              <w:t>ī</w:t>
            </w:r>
            <w:r w:rsidRPr="00F70C0E">
              <w:rPr>
                <w:lang w:eastAsia="ru-RU"/>
              </w:rPr>
              <w:t>bas.</w:t>
            </w:r>
            <w:r w:rsidRPr="00F70C0E">
              <w:t xml:space="preserve"> L2, Pd</w:t>
            </w:r>
            <w:r>
              <w:t>3</w:t>
            </w:r>
          </w:p>
          <w:p w14:paraId="5D462D53" w14:textId="77777777" w:rsidR="002D54CB" w:rsidRDefault="002D54CB" w:rsidP="0099658A"/>
          <w:p w14:paraId="6845AF81" w14:textId="77777777" w:rsidR="002D54CB" w:rsidRPr="007B7A3E" w:rsidRDefault="002D54CB" w:rsidP="0099658A">
            <w:r w:rsidRPr="00F60936">
              <w:t>Laboratorijas darb</w:t>
            </w:r>
            <w:r>
              <w:t>i</w:t>
            </w:r>
            <w:r w:rsidRPr="00F60936">
              <w:t>:</w:t>
            </w:r>
          </w:p>
          <w:p w14:paraId="546AC659" w14:textId="77777777" w:rsidR="002D54CB" w:rsidRPr="00F70C0E" w:rsidRDefault="002D54CB" w:rsidP="0099658A">
            <w:r w:rsidRPr="00F60936">
              <w:t xml:space="preserve">1. </w:t>
            </w:r>
            <w:r w:rsidRPr="00F70C0E">
              <w:t>Aminoskābju un proteīnu reakcijas.</w:t>
            </w:r>
            <w:r>
              <w:t xml:space="preserve"> </w:t>
            </w:r>
            <w:r w:rsidRPr="009B5EB2">
              <w:t>L</w:t>
            </w:r>
            <w:r w:rsidRPr="00F70C0E">
              <w:t>d2, Pd</w:t>
            </w:r>
            <w:r>
              <w:t>3</w:t>
            </w:r>
          </w:p>
          <w:p w14:paraId="1F48200C" w14:textId="77777777" w:rsidR="002D54CB" w:rsidRPr="00F70C0E" w:rsidRDefault="002D54CB" w:rsidP="0099658A">
            <w:r>
              <w:t xml:space="preserve">2. </w:t>
            </w:r>
            <w:r w:rsidRPr="00F70C0E">
              <w:t xml:space="preserve">Polisaharīdu un </w:t>
            </w:r>
            <w:proofErr w:type="spellStart"/>
            <w:r w:rsidRPr="00F70C0E">
              <w:t>oligosaharīdu</w:t>
            </w:r>
            <w:proofErr w:type="spellEnd"/>
            <w:r w:rsidRPr="00F70C0E">
              <w:t xml:space="preserve"> īpašības.</w:t>
            </w:r>
            <w:r>
              <w:t xml:space="preserve"> </w:t>
            </w:r>
            <w:r w:rsidRPr="009B5EB2">
              <w:t>L</w:t>
            </w:r>
            <w:r w:rsidRPr="00F70C0E">
              <w:t>d2, Pd</w:t>
            </w:r>
            <w:r>
              <w:t>3</w:t>
            </w:r>
          </w:p>
          <w:p w14:paraId="2D022C6D" w14:textId="77777777" w:rsidR="002D54CB" w:rsidRPr="00F70C0E" w:rsidRDefault="002D54CB" w:rsidP="0099658A">
            <w:r>
              <w:t xml:space="preserve">3. </w:t>
            </w:r>
            <w:r w:rsidRPr="00F70C0E">
              <w:t xml:space="preserve">Fosfolipīdi. </w:t>
            </w:r>
            <w:r>
              <w:t xml:space="preserve"> </w:t>
            </w:r>
            <w:r w:rsidRPr="009B5EB2">
              <w:t>L</w:t>
            </w:r>
            <w:r w:rsidRPr="00F70C0E">
              <w:t>d2, Pd</w:t>
            </w:r>
            <w:r>
              <w:t>3</w:t>
            </w:r>
          </w:p>
          <w:p w14:paraId="476F10B0" w14:textId="77777777" w:rsidR="002D54CB" w:rsidRPr="00F70C0E" w:rsidRDefault="002D54CB" w:rsidP="0099658A">
            <w:r>
              <w:t xml:space="preserve">4. </w:t>
            </w:r>
            <w:proofErr w:type="spellStart"/>
            <w:r w:rsidRPr="00F70C0E">
              <w:t>Oksidāžu</w:t>
            </w:r>
            <w:proofErr w:type="spellEnd"/>
            <w:r w:rsidRPr="00F70C0E">
              <w:t xml:space="preserve"> un </w:t>
            </w:r>
            <w:proofErr w:type="spellStart"/>
            <w:r w:rsidRPr="00F70C0E">
              <w:t>peroksidāžu</w:t>
            </w:r>
            <w:proofErr w:type="spellEnd"/>
            <w:r w:rsidRPr="00F70C0E">
              <w:t xml:space="preserve">  iedarbība. </w:t>
            </w:r>
            <w:r w:rsidRPr="009B5EB2">
              <w:t>L</w:t>
            </w:r>
            <w:r w:rsidRPr="00F70C0E">
              <w:t>d2, Pd</w:t>
            </w:r>
            <w:r>
              <w:t>3</w:t>
            </w:r>
          </w:p>
          <w:p w14:paraId="0AE00788" w14:textId="77777777" w:rsidR="002D54CB" w:rsidRPr="00F70C0E" w:rsidRDefault="002D54CB" w:rsidP="0099658A">
            <w:r>
              <w:t xml:space="preserve">5. </w:t>
            </w:r>
            <w:proofErr w:type="spellStart"/>
            <w:r w:rsidRPr="00F70C0E">
              <w:t>Kofermenti</w:t>
            </w:r>
            <w:proofErr w:type="spellEnd"/>
            <w:r w:rsidRPr="00F70C0E">
              <w:t>.</w:t>
            </w:r>
            <w:r>
              <w:t xml:space="preserve"> </w:t>
            </w:r>
            <w:r w:rsidRPr="009B5EB2">
              <w:t>L</w:t>
            </w:r>
            <w:r w:rsidRPr="00F70C0E">
              <w:t>d2, Pd</w:t>
            </w:r>
            <w:r>
              <w:t>3</w:t>
            </w:r>
          </w:p>
          <w:p w14:paraId="4F8DACD8" w14:textId="77777777" w:rsidR="002D54CB" w:rsidRPr="00F70C0E" w:rsidRDefault="002D54CB" w:rsidP="0099658A">
            <w:r>
              <w:t xml:space="preserve">6. </w:t>
            </w:r>
            <w:r w:rsidRPr="00F70C0E">
              <w:t xml:space="preserve">Vitamīnu  noteikšanas reakcijas. </w:t>
            </w:r>
            <w:r w:rsidRPr="009B5EB2">
              <w:t>L</w:t>
            </w:r>
            <w:r w:rsidRPr="00447778">
              <w:t>d2, Pd</w:t>
            </w:r>
            <w:r>
              <w:t>3</w:t>
            </w:r>
          </w:p>
          <w:p w14:paraId="092CBC67" w14:textId="77777777" w:rsidR="002D54CB" w:rsidRPr="00F70C0E" w:rsidRDefault="002D54CB" w:rsidP="0099658A">
            <w:r>
              <w:t xml:space="preserve">7. </w:t>
            </w:r>
            <w:proofErr w:type="spellStart"/>
            <w:r w:rsidRPr="00F70C0E">
              <w:t>Nukleotīdi</w:t>
            </w:r>
            <w:proofErr w:type="spellEnd"/>
            <w:r w:rsidRPr="00F70C0E">
              <w:t xml:space="preserve"> un nukleozīdi.</w:t>
            </w:r>
            <w:r>
              <w:t xml:space="preserve"> </w:t>
            </w:r>
            <w:r w:rsidRPr="009B5EB2">
              <w:t>L</w:t>
            </w:r>
            <w:r w:rsidRPr="00447778">
              <w:t>d2, Pd</w:t>
            </w:r>
            <w:r>
              <w:t>3</w:t>
            </w:r>
          </w:p>
          <w:p w14:paraId="14447E68" w14:textId="77777777" w:rsidR="002D54CB" w:rsidRPr="009B5EB2" w:rsidRDefault="002D54CB" w:rsidP="0099658A">
            <w:r>
              <w:t xml:space="preserve">8. </w:t>
            </w:r>
            <w:r w:rsidRPr="00F70C0E">
              <w:t>Alkaloīdi.</w:t>
            </w:r>
            <w:r>
              <w:t xml:space="preserve">  </w:t>
            </w:r>
            <w:r w:rsidRPr="009B5EB2">
              <w:t>L</w:t>
            </w:r>
            <w:r w:rsidRPr="007B7A3E">
              <w:t>d</w:t>
            </w:r>
            <w:r>
              <w:t>2</w:t>
            </w:r>
            <w:r w:rsidRPr="007B7A3E">
              <w:t>, Pd</w:t>
            </w:r>
            <w:r>
              <w:t>3</w:t>
            </w:r>
          </w:p>
          <w:p w14:paraId="22B21E18" w14:textId="77777777" w:rsidR="002D54CB" w:rsidRPr="0093308E" w:rsidRDefault="002D54CB" w:rsidP="0099658A"/>
        </w:tc>
      </w:tr>
      <w:tr w:rsidR="002D54CB" w:rsidRPr="0093308E" w14:paraId="57FF2009" w14:textId="77777777" w:rsidTr="0099658A">
        <w:tc>
          <w:tcPr>
            <w:tcW w:w="9039" w:type="dxa"/>
            <w:gridSpan w:val="2"/>
          </w:tcPr>
          <w:p w14:paraId="7F9A280B" w14:textId="77777777" w:rsidR="002D54CB" w:rsidRPr="0093308E" w:rsidRDefault="002D54CB" w:rsidP="0099658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2D54CB" w:rsidRPr="0093308E" w14:paraId="6CFEEABD" w14:textId="77777777" w:rsidTr="0099658A">
        <w:tc>
          <w:tcPr>
            <w:tcW w:w="9039" w:type="dxa"/>
            <w:gridSpan w:val="2"/>
          </w:tcPr>
          <w:p w14:paraId="717CE4CA" w14:textId="77777777" w:rsidR="002D54CB" w:rsidRPr="00447B95" w:rsidRDefault="002D54CB" w:rsidP="0099658A">
            <w:r>
              <w:t xml:space="preserve"> 1.  </w:t>
            </w:r>
            <w:r w:rsidRPr="005B4147">
              <w:t>Kalsi P. S.</w:t>
            </w:r>
            <w:r w:rsidRPr="00447778">
              <w:t xml:space="preserve">  </w:t>
            </w:r>
            <w:proofErr w:type="spellStart"/>
            <w:r w:rsidRPr="00447778">
              <w:t>Bioorganic</w:t>
            </w:r>
            <w:proofErr w:type="spellEnd"/>
            <w:r w:rsidRPr="00447778">
              <w:t xml:space="preserve">, </w:t>
            </w:r>
            <w:proofErr w:type="spellStart"/>
            <w:r w:rsidRPr="00447778">
              <w:t>bioinorganic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and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supramolecular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chemistry</w:t>
            </w:r>
            <w:proofErr w:type="spellEnd"/>
            <w:r w:rsidRPr="00447778">
              <w:t xml:space="preserve">/ P.S. Kalsi, J.P. Kalsi. - </w:t>
            </w:r>
            <w:proofErr w:type="spellStart"/>
            <w:r w:rsidRPr="00447778">
              <w:t>Second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edition</w:t>
            </w:r>
            <w:proofErr w:type="spellEnd"/>
            <w:r w:rsidRPr="00447778">
              <w:t xml:space="preserve">. - </w:t>
            </w:r>
            <w:proofErr w:type="spellStart"/>
            <w:r w:rsidRPr="00447778">
              <w:t>Tunbridge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Wells</w:t>
            </w:r>
            <w:proofErr w:type="spellEnd"/>
            <w:r w:rsidRPr="00447778">
              <w:t xml:space="preserve">: </w:t>
            </w:r>
            <w:proofErr w:type="spellStart"/>
            <w:r w:rsidRPr="00447778">
              <w:t>New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Academic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Science</w:t>
            </w:r>
            <w:proofErr w:type="spellEnd"/>
            <w:r w:rsidRPr="00447778">
              <w:t xml:space="preserve"> </w:t>
            </w:r>
            <w:proofErr w:type="spellStart"/>
            <w:r w:rsidRPr="00447778">
              <w:t>Limted</w:t>
            </w:r>
            <w:proofErr w:type="spellEnd"/>
            <w:r w:rsidRPr="00447778">
              <w:t>, 2011. - 414 lpp</w:t>
            </w:r>
            <w:r w:rsidRPr="00447B95">
              <w:t xml:space="preserve">. </w:t>
            </w:r>
          </w:p>
          <w:p w14:paraId="5F620C52" w14:textId="77777777" w:rsidR="002D54CB" w:rsidRPr="00F82A2B" w:rsidRDefault="002D54CB" w:rsidP="0099658A">
            <w:r>
              <w:t xml:space="preserve">2. </w:t>
            </w:r>
            <w:proofErr w:type="spellStart"/>
            <w:r w:rsidRPr="00B95956">
              <w:t>Papachristodoulou</w:t>
            </w:r>
            <w:proofErr w:type="spellEnd"/>
            <w:r w:rsidRPr="00B95956">
              <w:t xml:space="preserve"> D.</w:t>
            </w:r>
            <w:r w:rsidRPr="00447B95">
              <w:t xml:space="preserve">  </w:t>
            </w:r>
            <w:proofErr w:type="spellStart"/>
            <w:r w:rsidRPr="00447B95">
              <w:t>Biochemistry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and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molecular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biology</w:t>
            </w:r>
            <w:proofErr w:type="spellEnd"/>
            <w:r w:rsidRPr="00447B95">
              <w:t xml:space="preserve"> / </w:t>
            </w:r>
            <w:proofErr w:type="spellStart"/>
            <w:r w:rsidRPr="00447B95">
              <w:t>Despo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Papachristodoulou</w:t>
            </w:r>
            <w:proofErr w:type="spellEnd"/>
            <w:r w:rsidRPr="00447B95">
              <w:t xml:space="preserve">, </w:t>
            </w:r>
            <w:proofErr w:type="spellStart"/>
            <w:r w:rsidRPr="00447B95">
              <w:t>Alison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Snape</w:t>
            </w:r>
            <w:proofErr w:type="spellEnd"/>
            <w:r w:rsidRPr="00447B95">
              <w:t xml:space="preserve">, </w:t>
            </w:r>
            <w:proofErr w:type="spellStart"/>
            <w:r w:rsidRPr="00447B95">
              <w:t>William</w:t>
            </w:r>
            <w:proofErr w:type="spellEnd"/>
            <w:r w:rsidRPr="00447B95">
              <w:t xml:space="preserve"> H. </w:t>
            </w:r>
            <w:proofErr w:type="spellStart"/>
            <w:r w:rsidRPr="00447B95">
              <w:t>Elliott</w:t>
            </w:r>
            <w:proofErr w:type="spellEnd"/>
            <w:r w:rsidRPr="00447B95">
              <w:t xml:space="preserve">, </w:t>
            </w:r>
            <w:proofErr w:type="spellStart"/>
            <w:r w:rsidRPr="00447B95">
              <w:t>and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Daphne</w:t>
            </w:r>
            <w:proofErr w:type="spellEnd"/>
            <w:r w:rsidRPr="00447B95">
              <w:t xml:space="preserve"> C. </w:t>
            </w:r>
            <w:proofErr w:type="spellStart"/>
            <w:r w:rsidRPr="00447B95">
              <w:t>Elliott</w:t>
            </w:r>
            <w:proofErr w:type="spellEnd"/>
            <w:r w:rsidRPr="00447B95">
              <w:t xml:space="preserve">. - </w:t>
            </w:r>
            <w:proofErr w:type="spellStart"/>
            <w:r w:rsidRPr="00447B95">
              <w:t>Sixth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edition</w:t>
            </w:r>
            <w:proofErr w:type="spellEnd"/>
            <w:r w:rsidRPr="00447B95">
              <w:t xml:space="preserve">. - </w:t>
            </w:r>
            <w:proofErr w:type="spellStart"/>
            <w:r w:rsidRPr="00447B95">
              <w:t>Oxford</w:t>
            </w:r>
            <w:proofErr w:type="spellEnd"/>
            <w:r w:rsidRPr="00447B95">
              <w:t xml:space="preserve"> : </w:t>
            </w:r>
            <w:proofErr w:type="spellStart"/>
            <w:r w:rsidRPr="00447B95">
              <w:t>Oxford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University</w:t>
            </w:r>
            <w:proofErr w:type="spellEnd"/>
            <w:r w:rsidRPr="00447B95">
              <w:t xml:space="preserve"> </w:t>
            </w:r>
            <w:proofErr w:type="spellStart"/>
            <w:r w:rsidRPr="00447B95">
              <w:t>Press</w:t>
            </w:r>
            <w:proofErr w:type="spellEnd"/>
            <w:r w:rsidRPr="00447B95">
              <w:t xml:space="preserve">, 2018. -  607 </w:t>
            </w:r>
            <w:proofErr w:type="spellStart"/>
            <w:r w:rsidRPr="00447B95">
              <w:t>lpp</w:t>
            </w:r>
            <w:proofErr w:type="spellEnd"/>
          </w:p>
          <w:p w14:paraId="4F7F9834" w14:textId="77777777" w:rsidR="002D54CB" w:rsidRPr="0093308E" w:rsidRDefault="002D54CB" w:rsidP="0099658A"/>
        </w:tc>
      </w:tr>
      <w:tr w:rsidR="002D54CB" w:rsidRPr="0093308E" w14:paraId="76DA4453" w14:textId="77777777" w:rsidTr="0099658A">
        <w:tc>
          <w:tcPr>
            <w:tcW w:w="9039" w:type="dxa"/>
            <w:gridSpan w:val="2"/>
          </w:tcPr>
          <w:p w14:paraId="0A804B6D" w14:textId="77777777" w:rsidR="002D54CB" w:rsidRPr="0093308E" w:rsidRDefault="002D54CB" w:rsidP="0099658A">
            <w:pPr>
              <w:pStyle w:val="Nosaukumi"/>
            </w:pPr>
            <w:r w:rsidRPr="0093308E">
              <w:t>Papildus informācijas avoti</w:t>
            </w:r>
          </w:p>
        </w:tc>
      </w:tr>
      <w:tr w:rsidR="002D54CB" w:rsidRPr="0093308E" w14:paraId="5E4F9145" w14:textId="77777777" w:rsidTr="0099658A">
        <w:tc>
          <w:tcPr>
            <w:tcW w:w="9039" w:type="dxa"/>
            <w:gridSpan w:val="2"/>
          </w:tcPr>
          <w:p w14:paraId="2E7C190B" w14:textId="77777777" w:rsidR="002D54CB" w:rsidRDefault="002D54CB" w:rsidP="0099658A">
            <w:r>
              <w:t xml:space="preserve">1.  </w:t>
            </w:r>
            <w:proofErr w:type="spellStart"/>
            <w:r w:rsidRPr="00F82A2B">
              <w:t>Hames</w:t>
            </w:r>
            <w:proofErr w:type="spellEnd"/>
            <w:r w:rsidRPr="00F82A2B">
              <w:t xml:space="preserve"> D. </w:t>
            </w:r>
            <w:proofErr w:type="spellStart"/>
            <w:r w:rsidRPr="00F82A2B">
              <w:t>Biochemistry</w:t>
            </w:r>
            <w:proofErr w:type="spellEnd"/>
            <w:r w:rsidRPr="00F82A2B">
              <w:t>/</w:t>
            </w:r>
            <w:proofErr w:type="spellStart"/>
            <w:r w:rsidRPr="00F82A2B">
              <w:t>David</w:t>
            </w:r>
            <w:proofErr w:type="spellEnd"/>
            <w:r w:rsidRPr="00F82A2B">
              <w:t xml:space="preserve"> </w:t>
            </w:r>
            <w:proofErr w:type="spellStart"/>
            <w:r w:rsidRPr="00F82A2B">
              <w:t>Hames</w:t>
            </w:r>
            <w:proofErr w:type="spellEnd"/>
            <w:r w:rsidRPr="00F82A2B">
              <w:t xml:space="preserve"> &amp; </w:t>
            </w:r>
            <w:proofErr w:type="spellStart"/>
            <w:r w:rsidRPr="00F82A2B">
              <w:t>Nigel</w:t>
            </w:r>
            <w:proofErr w:type="spellEnd"/>
            <w:r w:rsidRPr="00F82A2B">
              <w:t xml:space="preserve"> </w:t>
            </w:r>
            <w:proofErr w:type="spellStart"/>
            <w:r w:rsidRPr="00F82A2B">
              <w:t>Hooper</w:t>
            </w:r>
            <w:proofErr w:type="spellEnd"/>
            <w:r w:rsidRPr="00F82A2B">
              <w:t xml:space="preserve">. - 3rd </w:t>
            </w:r>
            <w:proofErr w:type="spellStart"/>
            <w:r w:rsidRPr="00F82A2B">
              <w:t>ed</w:t>
            </w:r>
            <w:proofErr w:type="spellEnd"/>
            <w:r w:rsidRPr="00F82A2B">
              <w:t xml:space="preserve">. - </w:t>
            </w:r>
            <w:proofErr w:type="spellStart"/>
            <w:r w:rsidRPr="00F82A2B">
              <w:t>New</w:t>
            </w:r>
            <w:proofErr w:type="spellEnd"/>
            <w:r w:rsidRPr="00F82A2B">
              <w:t xml:space="preserve"> </w:t>
            </w:r>
            <w:proofErr w:type="spellStart"/>
            <w:r w:rsidRPr="00F82A2B">
              <w:t>York</w:t>
            </w:r>
            <w:proofErr w:type="spellEnd"/>
            <w:r w:rsidRPr="00F82A2B">
              <w:t xml:space="preserve"> : </w:t>
            </w:r>
            <w:proofErr w:type="spellStart"/>
            <w:r w:rsidRPr="00F82A2B">
              <w:t>Taylor</w:t>
            </w:r>
            <w:proofErr w:type="spellEnd"/>
            <w:r w:rsidRPr="00F82A2B">
              <w:t xml:space="preserve"> &amp; Francis, 2006</w:t>
            </w:r>
            <w:r>
              <w:t>,  438 lpp</w:t>
            </w:r>
            <w:r w:rsidRPr="00F82A2B">
              <w:t>.</w:t>
            </w:r>
          </w:p>
          <w:p w14:paraId="03FEBAC4" w14:textId="221426E8" w:rsidR="002D54CB" w:rsidRPr="0093308E" w:rsidRDefault="002D54CB" w:rsidP="003477A1">
            <w:r>
              <w:rPr>
                <w:highlight w:val="white"/>
              </w:rPr>
              <w:t xml:space="preserve">2. </w:t>
            </w:r>
            <w:proofErr w:type="spellStart"/>
            <w:r w:rsidRPr="00F477A4">
              <w:rPr>
                <w:highlight w:val="white"/>
              </w:rPr>
              <w:t>Principles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and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techniques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of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biochemistry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and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molecular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biology</w:t>
            </w:r>
            <w:proofErr w:type="spellEnd"/>
            <w:r w:rsidRPr="00F477A4">
              <w:rPr>
                <w:highlight w:val="white"/>
              </w:rPr>
              <w:t xml:space="preserve"> / </w:t>
            </w:r>
            <w:proofErr w:type="spellStart"/>
            <w:r w:rsidRPr="00F477A4">
              <w:rPr>
                <w:highlight w:val="white"/>
              </w:rPr>
              <w:t>edited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by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Keith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Wilson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and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John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Walker</w:t>
            </w:r>
            <w:proofErr w:type="spellEnd"/>
            <w:r w:rsidRPr="00F477A4">
              <w:rPr>
                <w:highlight w:val="white"/>
              </w:rPr>
              <w:t xml:space="preserve">. - 7th </w:t>
            </w:r>
            <w:proofErr w:type="spellStart"/>
            <w:r w:rsidRPr="00F477A4">
              <w:rPr>
                <w:highlight w:val="white"/>
              </w:rPr>
              <w:t>ed</w:t>
            </w:r>
            <w:proofErr w:type="spellEnd"/>
            <w:r w:rsidRPr="00F477A4">
              <w:rPr>
                <w:highlight w:val="white"/>
              </w:rPr>
              <w:t xml:space="preserve">. - </w:t>
            </w:r>
            <w:proofErr w:type="spellStart"/>
            <w:r w:rsidRPr="00F477A4">
              <w:rPr>
                <w:highlight w:val="white"/>
              </w:rPr>
              <w:t>Cambridge</w:t>
            </w:r>
            <w:proofErr w:type="spellEnd"/>
            <w:r w:rsidRPr="00F477A4">
              <w:rPr>
                <w:highlight w:val="white"/>
              </w:rPr>
              <w:t xml:space="preserve">, UK : </w:t>
            </w:r>
            <w:proofErr w:type="spellStart"/>
            <w:r w:rsidRPr="00F477A4">
              <w:rPr>
                <w:highlight w:val="white"/>
              </w:rPr>
              <w:t>Cambridge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University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Press</w:t>
            </w:r>
            <w:proofErr w:type="spellEnd"/>
            <w:r w:rsidRPr="00F477A4">
              <w:rPr>
                <w:highlight w:val="white"/>
              </w:rPr>
              <w:t xml:space="preserve"> ; </w:t>
            </w:r>
            <w:proofErr w:type="spellStart"/>
            <w:r w:rsidRPr="00F477A4">
              <w:rPr>
                <w:highlight w:val="white"/>
              </w:rPr>
              <w:t>New</w:t>
            </w:r>
            <w:proofErr w:type="spellEnd"/>
            <w:r w:rsidRPr="00F477A4">
              <w:rPr>
                <w:highlight w:val="white"/>
              </w:rPr>
              <w:t xml:space="preserve"> </w:t>
            </w:r>
            <w:proofErr w:type="spellStart"/>
            <w:r w:rsidRPr="00F477A4">
              <w:rPr>
                <w:highlight w:val="white"/>
              </w:rPr>
              <w:t>York</w:t>
            </w:r>
            <w:proofErr w:type="spellEnd"/>
            <w:r w:rsidRPr="00F477A4">
              <w:rPr>
                <w:highlight w:val="white"/>
              </w:rPr>
              <w:t>, 2009</w:t>
            </w:r>
            <w:r>
              <w:rPr>
                <w:highlight w:val="white"/>
              </w:rPr>
              <w:t xml:space="preserve">. - </w:t>
            </w:r>
            <w:r w:rsidRPr="00F477A4">
              <w:rPr>
                <w:highlight w:val="white"/>
              </w:rPr>
              <w:t>744 lpp.</w:t>
            </w:r>
          </w:p>
        </w:tc>
      </w:tr>
      <w:tr w:rsidR="002D54CB" w:rsidRPr="0093308E" w14:paraId="61862DCF" w14:textId="77777777" w:rsidTr="0099658A">
        <w:tc>
          <w:tcPr>
            <w:tcW w:w="9039" w:type="dxa"/>
            <w:gridSpan w:val="2"/>
          </w:tcPr>
          <w:p w14:paraId="2D84FA61" w14:textId="77777777" w:rsidR="002D54CB" w:rsidRPr="0093308E" w:rsidRDefault="002D54CB" w:rsidP="0099658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2D54CB" w:rsidRPr="0093308E" w14:paraId="11632E82" w14:textId="77777777" w:rsidTr="0099658A">
        <w:tc>
          <w:tcPr>
            <w:tcW w:w="9039" w:type="dxa"/>
            <w:gridSpan w:val="2"/>
          </w:tcPr>
          <w:p w14:paraId="5FB0E0CA" w14:textId="77777777" w:rsidR="00D3427B" w:rsidRPr="003477A1" w:rsidRDefault="00D3427B" w:rsidP="00D3427B">
            <w:r w:rsidRPr="003477A1">
              <w:t xml:space="preserve">1. </w:t>
            </w:r>
            <w:bookmarkStart w:id="3" w:name="_GoBack"/>
            <w:proofErr w:type="spellStart"/>
            <w:r w:rsidRPr="003477A1">
              <w:t>The</w:t>
            </w:r>
            <w:proofErr w:type="spellEnd"/>
            <w:r w:rsidRPr="003477A1">
              <w:t xml:space="preserve"> </w:t>
            </w:r>
            <w:proofErr w:type="spellStart"/>
            <w:r w:rsidRPr="003477A1">
              <w:t>Biochemical</w:t>
            </w:r>
            <w:proofErr w:type="spellEnd"/>
            <w:r w:rsidRPr="003477A1">
              <w:t xml:space="preserve"> </w:t>
            </w:r>
            <w:proofErr w:type="spellStart"/>
            <w:r w:rsidRPr="003477A1">
              <w:t>Journal</w:t>
            </w:r>
            <w:proofErr w:type="spellEnd"/>
            <w:r w:rsidRPr="003477A1">
              <w:t xml:space="preserve"> </w:t>
            </w:r>
            <w:hyperlink r:id="rId6" w:history="1">
              <w:r w:rsidRPr="003477A1">
                <w:rPr>
                  <w:rStyle w:val="Hyperlink"/>
                </w:rPr>
                <w:t>https://portlandpress.com/biochemj</w:t>
              </w:r>
            </w:hyperlink>
            <w:r w:rsidRPr="003477A1">
              <w:t xml:space="preserve"> (</w:t>
            </w:r>
            <w:proofErr w:type="spellStart"/>
            <w:r w:rsidRPr="003477A1">
              <w:t>Open</w:t>
            </w:r>
            <w:proofErr w:type="spellEnd"/>
            <w:r w:rsidRPr="003477A1">
              <w:t xml:space="preserve"> Access) </w:t>
            </w:r>
          </w:p>
          <w:p w14:paraId="1FAC8465" w14:textId="77777777" w:rsidR="00D3427B" w:rsidRPr="003477A1" w:rsidRDefault="00D3427B" w:rsidP="00D3427B">
            <w:r w:rsidRPr="003477A1">
              <w:t xml:space="preserve">2. </w:t>
            </w:r>
            <w:proofErr w:type="spellStart"/>
            <w:r w:rsidRPr="003477A1">
              <w:t>Biochemistry</w:t>
            </w:r>
            <w:proofErr w:type="spellEnd"/>
            <w:r w:rsidRPr="003477A1">
              <w:t xml:space="preserve"> </w:t>
            </w:r>
            <w:hyperlink r:id="rId7" w:history="1">
              <w:r w:rsidRPr="003477A1">
                <w:rPr>
                  <w:rStyle w:val="Hyperlink"/>
                </w:rPr>
                <w:t>https://pubs.acs.org/journal/bichaw</w:t>
              </w:r>
            </w:hyperlink>
            <w:r w:rsidRPr="003477A1">
              <w:rPr>
                <w:rStyle w:val="Hyperlink"/>
              </w:rPr>
              <w:t xml:space="preserve"> </w:t>
            </w:r>
            <w:r w:rsidRPr="003477A1">
              <w:t>(</w:t>
            </w:r>
            <w:proofErr w:type="spellStart"/>
            <w:r w:rsidRPr="003477A1">
              <w:t>Open</w:t>
            </w:r>
            <w:proofErr w:type="spellEnd"/>
            <w:r w:rsidRPr="003477A1">
              <w:t xml:space="preserve"> Access)</w:t>
            </w:r>
          </w:p>
          <w:p w14:paraId="385FD675" w14:textId="77777777" w:rsidR="00D3427B" w:rsidRPr="003477A1" w:rsidRDefault="00D3427B" w:rsidP="00D3427B">
            <w:r w:rsidRPr="003477A1">
              <w:t xml:space="preserve">3. </w:t>
            </w:r>
            <w:proofErr w:type="spellStart"/>
            <w:r w:rsidRPr="003477A1">
              <w:t>Histochem</w:t>
            </w:r>
            <w:proofErr w:type="spellEnd"/>
            <w:r w:rsidRPr="003477A1">
              <w:t xml:space="preserve">. </w:t>
            </w:r>
            <w:proofErr w:type="spellStart"/>
            <w:r w:rsidRPr="003477A1">
              <w:t>Cytochem</w:t>
            </w:r>
            <w:proofErr w:type="spellEnd"/>
            <w:r w:rsidRPr="003477A1">
              <w:t xml:space="preserve">. </w:t>
            </w:r>
            <w:hyperlink r:id="rId8" w:history="1">
              <w:r w:rsidRPr="003477A1">
                <w:rPr>
                  <w:rStyle w:val="Hyperlink"/>
                </w:rPr>
                <w:t>https://journals.sagepub.com/home/jhc</w:t>
              </w:r>
            </w:hyperlink>
            <w:r w:rsidRPr="003477A1">
              <w:t xml:space="preserve"> (</w:t>
            </w:r>
            <w:proofErr w:type="spellStart"/>
            <w:r w:rsidRPr="003477A1">
              <w:t>Sage</w:t>
            </w:r>
            <w:proofErr w:type="spellEnd"/>
            <w:r w:rsidRPr="003477A1">
              <w:t xml:space="preserve"> </w:t>
            </w:r>
            <w:proofErr w:type="spellStart"/>
            <w:r w:rsidRPr="003477A1">
              <w:t>Journals</w:t>
            </w:r>
            <w:proofErr w:type="spellEnd"/>
            <w:r w:rsidRPr="003477A1">
              <w:t>)</w:t>
            </w:r>
          </w:p>
          <w:p w14:paraId="4FB31015" w14:textId="77777777" w:rsidR="00D3427B" w:rsidRPr="003477A1" w:rsidRDefault="00D3427B" w:rsidP="00D3427B">
            <w:r w:rsidRPr="003477A1">
              <w:t xml:space="preserve">4. </w:t>
            </w:r>
            <w:proofErr w:type="spellStart"/>
            <w:r w:rsidRPr="003477A1">
              <w:t>Biochemical</w:t>
            </w:r>
            <w:proofErr w:type="spellEnd"/>
            <w:r w:rsidRPr="003477A1">
              <w:t xml:space="preserve"> </w:t>
            </w:r>
            <w:proofErr w:type="spellStart"/>
            <w:r w:rsidRPr="003477A1">
              <w:t>Journal</w:t>
            </w:r>
            <w:proofErr w:type="spellEnd"/>
            <w:r w:rsidRPr="003477A1">
              <w:t xml:space="preserve"> </w:t>
            </w:r>
            <w:hyperlink r:id="rId9" w:history="1">
              <w:r w:rsidRPr="003477A1">
                <w:rPr>
                  <w:rStyle w:val="Hyperlink"/>
                </w:rPr>
                <w:t>https://portlandpress.com/biochemj</w:t>
              </w:r>
            </w:hyperlink>
            <w:r w:rsidRPr="003477A1">
              <w:t xml:space="preserve"> (</w:t>
            </w:r>
            <w:proofErr w:type="spellStart"/>
            <w:r w:rsidRPr="003477A1">
              <w:t>Open</w:t>
            </w:r>
            <w:proofErr w:type="spellEnd"/>
            <w:r w:rsidRPr="003477A1">
              <w:t xml:space="preserve"> Access)</w:t>
            </w:r>
          </w:p>
          <w:p w14:paraId="237CDDB5" w14:textId="77777777" w:rsidR="00D3427B" w:rsidRPr="003477A1" w:rsidRDefault="00D3427B" w:rsidP="00D3427B">
            <w:r w:rsidRPr="003477A1">
              <w:t xml:space="preserve">5.  </w:t>
            </w:r>
            <w:proofErr w:type="spellStart"/>
            <w:r w:rsidRPr="003477A1">
              <w:t>Bioorganic</w:t>
            </w:r>
            <w:proofErr w:type="spellEnd"/>
            <w:r w:rsidRPr="003477A1">
              <w:t xml:space="preserve"> </w:t>
            </w:r>
            <w:proofErr w:type="spellStart"/>
            <w:r w:rsidRPr="003477A1">
              <w:t>Chemistry</w:t>
            </w:r>
            <w:proofErr w:type="spellEnd"/>
            <w:r w:rsidRPr="003477A1">
              <w:t xml:space="preserve"> https://www.sciencedirect.com/journal/bioorganic-chemistry </w:t>
            </w:r>
          </w:p>
          <w:p w14:paraId="1D95A838" w14:textId="085227B3" w:rsidR="002D54CB" w:rsidRPr="0093308E" w:rsidRDefault="00D3427B" w:rsidP="00D3427B">
            <w:r w:rsidRPr="003477A1">
              <w:t xml:space="preserve">6. DU abonētās datubāzes </w:t>
            </w:r>
            <w:proofErr w:type="spellStart"/>
            <w:r w:rsidRPr="003477A1">
              <w:t>ScienceDirect</w:t>
            </w:r>
            <w:proofErr w:type="spellEnd"/>
            <w:r w:rsidRPr="003477A1">
              <w:t xml:space="preserve">, </w:t>
            </w:r>
            <w:proofErr w:type="spellStart"/>
            <w:r w:rsidRPr="003477A1">
              <w:t>Scopus</w:t>
            </w:r>
            <w:bookmarkEnd w:id="3"/>
            <w:proofErr w:type="spellEnd"/>
          </w:p>
        </w:tc>
      </w:tr>
      <w:tr w:rsidR="002D54CB" w:rsidRPr="0093308E" w14:paraId="70BDA553" w14:textId="77777777" w:rsidTr="0099658A">
        <w:tc>
          <w:tcPr>
            <w:tcW w:w="9039" w:type="dxa"/>
            <w:gridSpan w:val="2"/>
          </w:tcPr>
          <w:p w14:paraId="24FBF39D" w14:textId="77777777" w:rsidR="002D54CB" w:rsidRPr="0093308E" w:rsidRDefault="002D54CB" w:rsidP="0099658A">
            <w:pPr>
              <w:pStyle w:val="Nosaukumi"/>
            </w:pPr>
            <w:r w:rsidRPr="0093308E">
              <w:t>Piezīmes</w:t>
            </w:r>
          </w:p>
        </w:tc>
      </w:tr>
      <w:tr w:rsidR="002D54CB" w:rsidRPr="0093308E" w14:paraId="0458E208" w14:textId="77777777" w:rsidTr="0099658A">
        <w:tc>
          <w:tcPr>
            <w:tcW w:w="9039" w:type="dxa"/>
            <w:gridSpan w:val="2"/>
          </w:tcPr>
          <w:p w14:paraId="367C5272" w14:textId="77777777" w:rsidR="002D54CB" w:rsidRPr="006E6F23" w:rsidRDefault="002D54CB" w:rsidP="0099658A">
            <w:r w:rsidRPr="00CA4847">
              <w:lastRenderedPageBreak/>
              <w:t>Akadēmiskās maģistra</w:t>
            </w:r>
            <w:r w:rsidRPr="006E6F23">
              <w:t xml:space="preserve"> studiju programmas “Ķīmija” studiju kurss. A daļa.</w:t>
            </w:r>
          </w:p>
          <w:p w14:paraId="5A73AB77" w14:textId="77777777" w:rsidR="002D54CB" w:rsidRPr="006E6F23" w:rsidRDefault="002D54CB" w:rsidP="0099658A"/>
          <w:p w14:paraId="2285DC15" w14:textId="77777777" w:rsidR="002D54CB" w:rsidRPr="0093308E" w:rsidRDefault="002D54CB" w:rsidP="0099658A">
            <w:r w:rsidRPr="00CA4847">
              <w:t>Kurss tiek docēts latviešu valodā.</w:t>
            </w:r>
          </w:p>
        </w:tc>
      </w:tr>
    </w:tbl>
    <w:p w14:paraId="60E3FC8F" w14:textId="77777777" w:rsidR="002D54CB" w:rsidRPr="00E13AEA" w:rsidRDefault="002D54CB" w:rsidP="002D54CB"/>
    <w:p w14:paraId="34349B0F" w14:textId="77777777" w:rsidR="00175273" w:rsidRDefault="00175273"/>
    <w:sectPr w:rsidR="00175273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22CD8" w14:textId="77777777" w:rsidR="00247484" w:rsidRDefault="00247484">
      <w:r>
        <w:separator/>
      </w:r>
    </w:p>
  </w:endnote>
  <w:endnote w:type="continuationSeparator" w:id="0">
    <w:p w14:paraId="1F356E42" w14:textId="77777777" w:rsidR="00247484" w:rsidRDefault="0024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F7D360" w14:textId="77777777" w:rsidR="00DD2A3F" w:rsidRDefault="00247484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674D3D5" w14:textId="77777777" w:rsidR="00DD2A3F" w:rsidRDefault="00DD2A3F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A97D4" w14:textId="77777777" w:rsidR="00247484" w:rsidRDefault="00247484">
      <w:r>
        <w:separator/>
      </w:r>
    </w:p>
  </w:footnote>
  <w:footnote w:type="continuationSeparator" w:id="0">
    <w:p w14:paraId="702F9D67" w14:textId="77777777" w:rsidR="00247484" w:rsidRDefault="00247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CE7DF" w14:textId="77777777" w:rsidR="00DD2A3F" w:rsidRDefault="00DD2A3F" w:rsidP="007534EA">
    <w:pPr>
      <w:pStyle w:val="Header"/>
    </w:pPr>
  </w:p>
  <w:p w14:paraId="78381B64" w14:textId="77777777" w:rsidR="00DD2A3F" w:rsidRPr="007B1FB4" w:rsidRDefault="00DD2A3F" w:rsidP="007534EA">
    <w:pPr>
      <w:pStyle w:val="Header"/>
    </w:pPr>
  </w:p>
  <w:p w14:paraId="1B7FD32D" w14:textId="77777777" w:rsidR="00DD2A3F" w:rsidRPr="00D66CC2" w:rsidRDefault="00DD2A3F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73"/>
    <w:rsid w:val="00175273"/>
    <w:rsid w:val="00180EC9"/>
    <w:rsid w:val="00247484"/>
    <w:rsid w:val="002C2473"/>
    <w:rsid w:val="002D54CB"/>
    <w:rsid w:val="003477A1"/>
    <w:rsid w:val="00407687"/>
    <w:rsid w:val="00545539"/>
    <w:rsid w:val="00C758FA"/>
    <w:rsid w:val="00D3427B"/>
    <w:rsid w:val="00DD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DBECFC"/>
  <w15:chartTrackingRefBased/>
  <w15:docId w15:val="{9DF8BD63-3ABA-464C-8109-CA344082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4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4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54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54C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4CB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2D54C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54CB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customStyle="1" w:styleId="Nosaukumi">
    <w:name w:val="Nosaukumi"/>
    <w:basedOn w:val="Normal"/>
    <w:qFormat/>
    <w:rsid w:val="002D54CB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D54CB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home/jhc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s://pubs.acs.org/journal/bicha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landpress.com/biochemj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ortlandpress.com/biochemj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E64AAE468AF4A608002F5842344B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DD60D-5CAA-401C-A973-D476EF40157D}"/>
      </w:docPartPr>
      <w:docPartBody>
        <w:p w:rsidR="00472EA4" w:rsidRDefault="00ED3216" w:rsidP="00ED3216">
          <w:pPr>
            <w:pStyle w:val="0E64AAE468AF4A608002F5842344BDB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16"/>
    <w:rsid w:val="003A1F79"/>
    <w:rsid w:val="00472EA4"/>
    <w:rsid w:val="00761482"/>
    <w:rsid w:val="00D252A9"/>
    <w:rsid w:val="00E62B6F"/>
    <w:rsid w:val="00ED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3216"/>
    <w:rPr>
      <w:color w:val="808080"/>
    </w:rPr>
  </w:style>
  <w:style w:type="paragraph" w:customStyle="1" w:styleId="0E64AAE468AF4A608002F5842344BDB2">
    <w:name w:val="0E64AAE468AF4A608002F5842344BDB2"/>
    <w:rsid w:val="00ED32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6517</Words>
  <Characters>3715</Characters>
  <Application>Microsoft Office Word</Application>
  <DocSecurity>0</DocSecurity>
  <Lines>30</Lines>
  <Paragraphs>20</Paragraphs>
  <ScaleCrop>false</ScaleCrop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7</cp:revision>
  <dcterms:created xsi:type="dcterms:W3CDTF">2023-12-13T13:15:00Z</dcterms:created>
  <dcterms:modified xsi:type="dcterms:W3CDTF">2023-12-14T14:44:00Z</dcterms:modified>
</cp:coreProperties>
</file>