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9C873" w14:textId="77777777" w:rsidR="00E947E3" w:rsidRPr="0049086B" w:rsidRDefault="00E947E3" w:rsidP="00E947E3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6B1BBA18" w14:textId="77777777" w:rsidR="00E947E3" w:rsidRPr="0049086B" w:rsidRDefault="00E947E3" w:rsidP="00E947E3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21BF0E27" w14:textId="77777777" w:rsidR="00E947E3" w:rsidRPr="00E13AEA" w:rsidRDefault="00E947E3" w:rsidP="00E947E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947E3" w:rsidRPr="0093308E" w14:paraId="44C38E3D" w14:textId="77777777" w:rsidTr="00592DD3">
        <w:tc>
          <w:tcPr>
            <w:tcW w:w="4219" w:type="dxa"/>
          </w:tcPr>
          <w:p w14:paraId="398EA325" w14:textId="77777777" w:rsidR="00E947E3" w:rsidRPr="0093308E" w:rsidRDefault="00E947E3" w:rsidP="00592DD3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30158607" w14:textId="77777777" w:rsidR="00E947E3" w:rsidRPr="0093308E" w:rsidRDefault="00E947E3" w:rsidP="00592DD3">
            <w:pPr>
              <w:rPr>
                <w:lang w:eastAsia="lv-LV"/>
              </w:rPr>
            </w:pPr>
            <w:r>
              <w:t xml:space="preserve"> </w:t>
            </w:r>
            <w:r w:rsidRPr="005B4BCD">
              <w:rPr>
                <w:rFonts w:hint="eastAsia"/>
              </w:rPr>
              <w:t>Ķī</w:t>
            </w:r>
            <w:r w:rsidRPr="005B4BCD">
              <w:t>misk</w:t>
            </w:r>
            <w:r w:rsidRPr="005B4BCD">
              <w:rPr>
                <w:rFonts w:hint="eastAsia"/>
              </w:rPr>
              <w:t>ā</w:t>
            </w:r>
            <w:r w:rsidRPr="005B4BCD">
              <w:t xml:space="preserve"> toksikolo</w:t>
            </w:r>
            <w:r w:rsidRPr="005B4BCD">
              <w:rPr>
                <w:rFonts w:hint="eastAsia"/>
              </w:rPr>
              <w:t>ģ</w:t>
            </w:r>
            <w:r w:rsidRPr="005B4BCD">
              <w:t>ija</w:t>
            </w:r>
            <w:r>
              <w:t xml:space="preserve">  </w:t>
            </w:r>
          </w:p>
        </w:tc>
      </w:tr>
      <w:tr w:rsidR="00E947E3" w:rsidRPr="0093308E" w14:paraId="504000E3" w14:textId="77777777" w:rsidTr="00592DD3">
        <w:tc>
          <w:tcPr>
            <w:tcW w:w="4219" w:type="dxa"/>
          </w:tcPr>
          <w:p w14:paraId="1D348FE1" w14:textId="77777777" w:rsidR="00E947E3" w:rsidRPr="0093308E" w:rsidRDefault="00E947E3" w:rsidP="00592DD3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04807CCA" w14:textId="77777777" w:rsidR="00E947E3" w:rsidRPr="0093308E" w:rsidRDefault="00E947E3" w:rsidP="00592DD3">
            <w:pPr>
              <w:rPr>
                <w:lang w:eastAsia="lv-LV"/>
              </w:rPr>
            </w:pPr>
            <w:r>
              <w:t xml:space="preserve"> </w:t>
            </w:r>
            <w:r w:rsidRPr="00F93A02">
              <w:rPr>
                <w:rFonts w:hint="eastAsia"/>
              </w:rPr>
              <w:t>Ķī</w:t>
            </w:r>
            <w:r w:rsidRPr="00F93A02">
              <w:t>mi5033</w:t>
            </w:r>
            <w:r>
              <w:t xml:space="preserve"> </w:t>
            </w:r>
          </w:p>
        </w:tc>
      </w:tr>
      <w:tr w:rsidR="00E947E3" w:rsidRPr="0093308E" w14:paraId="0DC09927" w14:textId="77777777" w:rsidTr="00592DD3">
        <w:tc>
          <w:tcPr>
            <w:tcW w:w="4219" w:type="dxa"/>
          </w:tcPr>
          <w:p w14:paraId="426EE473" w14:textId="77777777" w:rsidR="00E947E3" w:rsidRPr="0093308E" w:rsidRDefault="00E947E3" w:rsidP="00592DD3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C869D10041B84D5AA82802B388CFD6E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333EDD67" w14:textId="77777777" w:rsidR="00E947E3" w:rsidRPr="0093308E" w:rsidRDefault="00E947E3" w:rsidP="00592DD3">
                <w:pPr>
                  <w:rPr>
                    <w:b/>
                  </w:rPr>
                </w:pPr>
                <w:r>
                  <w:rPr>
                    <w:b/>
                  </w:rPr>
                  <w:t>Ķīmija</w:t>
                </w:r>
              </w:p>
            </w:tc>
          </w:sdtContent>
        </w:sdt>
      </w:tr>
      <w:tr w:rsidR="00E947E3" w:rsidRPr="0093308E" w14:paraId="6106798B" w14:textId="77777777" w:rsidTr="00592DD3">
        <w:tc>
          <w:tcPr>
            <w:tcW w:w="4219" w:type="dxa"/>
          </w:tcPr>
          <w:p w14:paraId="30C033C0" w14:textId="77777777" w:rsidR="00E947E3" w:rsidRPr="0093308E" w:rsidRDefault="00E947E3" w:rsidP="00592DD3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588E2AA2" w14:textId="77777777" w:rsidR="00E947E3" w:rsidRPr="0093308E" w:rsidRDefault="00E947E3" w:rsidP="00592DD3">
            <w:pPr>
              <w:rPr>
                <w:lang w:eastAsia="lv-LV"/>
              </w:rPr>
            </w:pPr>
            <w:r>
              <w:t xml:space="preserve">   </w:t>
            </w:r>
          </w:p>
        </w:tc>
      </w:tr>
      <w:tr w:rsidR="00E947E3" w:rsidRPr="0093308E" w14:paraId="4A35FEE7" w14:textId="77777777" w:rsidTr="00592DD3">
        <w:tc>
          <w:tcPr>
            <w:tcW w:w="4219" w:type="dxa"/>
          </w:tcPr>
          <w:p w14:paraId="5071AA87" w14:textId="77777777" w:rsidR="00E947E3" w:rsidRPr="0093308E" w:rsidRDefault="00E947E3" w:rsidP="00592DD3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33A7DF80" w14:textId="77777777" w:rsidR="00E947E3" w:rsidRPr="0093308E" w:rsidRDefault="00E947E3" w:rsidP="00592DD3">
            <w:pPr>
              <w:rPr>
                <w:lang w:eastAsia="lv-LV"/>
              </w:rPr>
            </w:pPr>
            <w:r>
              <w:t xml:space="preserve"> 2  </w:t>
            </w:r>
          </w:p>
        </w:tc>
      </w:tr>
      <w:tr w:rsidR="00E947E3" w:rsidRPr="0093308E" w14:paraId="4B506AA4" w14:textId="77777777" w:rsidTr="00592DD3">
        <w:tc>
          <w:tcPr>
            <w:tcW w:w="4219" w:type="dxa"/>
          </w:tcPr>
          <w:p w14:paraId="1480AFC0" w14:textId="77777777" w:rsidR="00E947E3" w:rsidRPr="0093308E" w:rsidRDefault="00E947E3" w:rsidP="00592DD3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27E30556" w14:textId="77777777" w:rsidR="00E947E3" w:rsidRPr="0093308E" w:rsidRDefault="00E947E3" w:rsidP="00592DD3">
            <w:r>
              <w:t xml:space="preserve"> 3 </w:t>
            </w:r>
          </w:p>
        </w:tc>
      </w:tr>
      <w:tr w:rsidR="00E947E3" w:rsidRPr="0093308E" w14:paraId="3D0F3A1A" w14:textId="77777777" w:rsidTr="00592DD3">
        <w:tc>
          <w:tcPr>
            <w:tcW w:w="4219" w:type="dxa"/>
          </w:tcPr>
          <w:p w14:paraId="6717EA78" w14:textId="77777777" w:rsidR="00E947E3" w:rsidRPr="0093308E" w:rsidRDefault="00E947E3" w:rsidP="00592DD3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1B8AF615" w14:textId="77777777" w:rsidR="00E947E3" w:rsidRPr="0093308E" w:rsidRDefault="00E947E3" w:rsidP="00592DD3">
            <w:pPr>
              <w:rPr>
                <w:lang w:eastAsia="lv-LV"/>
              </w:rPr>
            </w:pPr>
            <w:r>
              <w:t xml:space="preserve"> 32  </w:t>
            </w:r>
          </w:p>
        </w:tc>
      </w:tr>
      <w:tr w:rsidR="00E947E3" w:rsidRPr="0093308E" w14:paraId="1DB3EF3E" w14:textId="77777777" w:rsidTr="00592DD3">
        <w:tc>
          <w:tcPr>
            <w:tcW w:w="4219" w:type="dxa"/>
          </w:tcPr>
          <w:p w14:paraId="0C34D350" w14:textId="77777777" w:rsidR="00E947E3" w:rsidRPr="0093308E" w:rsidRDefault="00E947E3" w:rsidP="00592DD3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619B4BB3" w14:textId="77777777" w:rsidR="00E947E3" w:rsidRPr="0093308E" w:rsidRDefault="00E947E3" w:rsidP="00592DD3">
            <w:r>
              <w:t xml:space="preserve"> 16  </w:t>
            </w:r>
          </w:p>
        </w:tc>
      </w:tr>
      <w:tr w:rsidR="00E947E3" w:rsidRPr="0093308E" w14:paraId="5F5A600F" w14:textId="77777777" w:rsidTr="00592DD3">
        <w:tc>
          <w:tcPr>
            <w:tcW w:w="4219" w:type="dxa"/>
          </w:tcPr>
          <w:p w14:paraId="1AEDCF81" w14:textId="77777777" w:rsidR="00E947E3" w:rsidRPr="0093308E" w:rsidRDefault="00E947E3" w:rsidP="00592DD3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303E4142" w14:textId="77777777" w:rsidR="00E947E3" w:rsidRPr="0093308E" w:rsidRDefault="00E947E3" w:rsidP="00592DD3">
            <w:r>
              <w:t xml:space="preserve"> 0  </w:t>
            </w:r>
          </w:p>
        </w:tc>
      </w:tr>
      <w:tr w:rsidR="00E947E3" w:rsidRPr="0093308E" w14:paraId="570537E0" w14:textId="77777777" w:rsidTr="00592DD3">
        <w:tc>
          <w:tcPr>
            <w:tcW w:w="4219" w:type="dxa"/>
          </w:tcPr>
          <w:p w14:paraId="29240C8C" w14:textId="77777777" w:rsidR="00E947E3" w:rsidRPr="0093308E" w:rsidRDefault="00E947E3" w:rsidP="00592DD3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67021C51" w14:textId="77777777" w:rsidR="00E947E3" w:rsidRPr="0093308E" w:rsidRDefault="00E947E3" w:rsidP="00592DD3">
            <w:r>
              <w:t xml:space="preserve"> 0  </w:t>
            </w:r>
          </w:p>
        </w:tc>
      </w:tr>
      <w:tr w:rsidR="00E947E3" w:rsidRPr="0093308E" w14:paraId="47B14178" w14:textId="77777777" w:rsidTr="00592DD3">
        <w:tc>
          <w:tcPr>
            <w:tcW w:w="4219" w:type="dxa"/>
          </w:tcPr>
          <w:p w14:paraId="7E3D6E27" w14:textId="77777777" w:rsidR="00E947E3" w:rsidRPr="0093308E" w:rsidRDefault="00E947E3" w:rsidP="00592DD3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15B7CFF2" w14:textId="77777777" w:rsidR="00E947E3" w:rsidRPr="0093308E" w:rsidRDefault="00E947E3" w:rsidP="00592DD3">
            <w:r>
              <w:t xml:space="preserve">16  </w:t>
            </w:r>
          </w:p>
        </w:tc>
      </w:tr>
      <w:tr w:rsidR="00E947E3" w:rsidRPr="0093308E" w14:paraId="3DFDAE15" w14:textId="77777777" w:rsidTr="00592DD3">
        <w:tc>
          <w:tcPr>
            <w:tcW w:w="4219" w:type="dxa"/>
          </w:tcPr>
          <w:p w14:paraId="7629682A" w14:textId="77777777" w:rsidR="00E947E3" w:rsidRPr="0093308E" w:rsidRDefault="00E947E3" w:rsidP="00592DD3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2D8E0FB7" w14:textId="77777777" w:rsidR="00E947E3" w:rsidRPr="0093308E" w:rsidRDefault="00E947E3" w:rsidP="00592DD3">
            <w:pPr>
              <w:rPr>
                <w:lang w:eastAsia="lv-LV"/>
              </w:rPr>
            </w:pPr>
            <w:r>
              <w:t xml:space="preserve"> 32 </w:t>
            </w:r>
          </w:p>
        </w:tc>
      </w:tr>
      <w:tr w:rsidR="00E947E3" w:rsidRPr="0093308E" w14:paraId="14C88CA9" w14:textId="77777777" w:rsidTr="00592DD3">
        <w:tc>
          <w:tcPr>
            <w:tcW w:w="9039" w:type="dxa"/>
            <w:gridSpan w:val="2"/>
          </w:tcPr>
          <w:p w14:paraId="480C23DC" w14:textId="77777777" w:rsidR="00E947E3" w:rsidRPr="0093308E" w:rsidRDefault="00E947E3" w:rsidP="00592DD3">
            <w:pPr>
              <w:rPr>
                <w:lang w:eastAsia="lv-LV"/>
              </w:rPr>
            </w:pPr>
          </w:p>
        </w:tc>
      </w:tr>
      <w:tr w:rsidR="00E947E3" w:rsidRPr="0093308E" w14:paraId="730A674A" w14:textId="77777777" w:rsidTr="00592DD3">
        <w:tc>
          <w:tcPr>
            <w:tcW w:w="9039" w:type="dxa"/>
            <w:gridSpan w:val="2"/>
          </w:tcPr>
          <w:p w14:paraId="6CC8EBC9" w14:textId="77777777" w:rsidR="00E947E3" w:rsidRPr="0093308E" w:rsidRDefault="00E947E3" w:rsidP="00592DD3">
            <w:pPr>
              <w:pStyle w:val="Nosaukumi"/>
            </w:pPr>
            <w:r w:rsidRPr="0093308E">
              <w:t>Kursa autors(-i)</w:t>
            </w:r>
          </w:p>
        </w:tc>
      </w:tr>
      <w:tr w:rsidR="00E947E3" w:rsidRPr="0093308E" w14:paraId="61A10A07" w14:textId="77777777" w:rsidTr="00592DD3">
        <w:tc>
          <w:tcPr>
            <w:tcW w:w="9039" w:type="dxa"/>
            <w:gridSpan w:val="2"/>
          </w:tcPr>
          <w:p w14:paraId="71298A06" w14:textId="77777777" w:rsidR="00E947E3" w:rsidRPr="0093308E" w:rsidRDefault="00E947E3" w:rsidP="00592DD3">
            <w:r>
              <w:t xml:space="preserve"> </w:t>
            </w:r>
            <w:r w:rsidRPr="00F60936">
              <w:t xml:space="preserve">Dr. </w:t>
            </w:r>
            <w:r w:rsidRPr="00D649C9">
              <w:t>ķīm</w:t>
            </w:r>
            <w:r w:rsidRPr="00F60936">
              <w:t>., vad.</w:t>
            </w:r>
            <w:r>
              <w:t xml:space="preserve"> </w:t>
            </w:r>
            <w:proofErr w:type="spellStart"/>
            <w:r w:rsidRPr="00F60936">
              <w:t>pētn</w:t>
            </w:r>
            <w:proofErr w:type="spellEnd"/>
            <w:r w:rsidRPr="00F60936">
              <w:t xml:space="preserve">., doc. Jeļena Kirilova </w:t>
            </w:r>
            <w:r>
              <w:t xml:space="preserve">  </w:t>
            </w:r>
          </w:p>
        </w:tc>
      </w:tr>
      <w:tr w:rsidR="00E947E3" w:rsidRPr="0093308E" w14:paraId="05A2754A" w14:textId="77777777" w:rsidTr="00592DD3">
        <w:tc>
          <w:tcPr>
            <w:tcW w:w="9039" w:type="dxa"/>
            <w:gridSpan w:val="2"/>
          </w:tcPr>
          <w:p w14:paraId="7A0AA680" w14:textId="77777777" w:rsidR="00E947E3" w:rsidRPr="0093308E" w:rsidRDefault="00E947E3" w:rsidP="00592DD3">
            <w:pPr>
              <w:pStyle w:val="Nosaukumi"/>
            </w:pPr>
            <w:r w:rsidRPr="0093308E">
              <w:t>Kursa docētājs(-i)</w:t>
            </w:r>
          </w:p>
        </w:tc>
      </w:tr>
      <w:tr w:rsidR="00E947E3" w:rsidRPr="0093308E" w14:paraId="559F470A" w14:textId="77777777" w:rsidTr="00592DD3">
        <w:tc>
          <w:tcPr>
            <w:tcW w:w="9039" w:type="dxa"/>
            <w:gridSpan w:val="2"/>
          </w:tcPr>
          <w:p w14:paraId="218A6707" w14:textId="549CF05D" w:rsidR="00E947E3" w:rsidRPr="00A5294B" w:rsidRDefault="00E947E3" w:rsidP="00592DD3">
            <w:r>
              <w:t xml:space="preserve"> </w:t>
            </w:r>
            <w:r w:rsidRPr="00D649C9">
              <w:t>Dr.</w:t>
            </w:r>
            <w:r w:rsidRPr="00F60936">
              <w:t xml:space="preserve"> </w:t>
            </w:r>
            <w:r w:rsidRPr="00D649C9">
              <w:t>ķīm., vad.</w:t>
            </w:r>
            <w:r>
              <w:t xml:space="preserve"> </w:t>
            </w:r>
            <w:proofErr w:type="spellStart"/>
            <w:r w:rsidRPr="00D649C9">
              <w:t>pētn</w:t>
            </w:r>
            <w:proofErr w:type="spellEnd"/>
            <w:r w:rsidRPr="00D649C9">
              <w:t xml:space="preserve">., doc. Jeļena Kirilova </w:t>
            </w:r>
          </w:p>
        </w:tc>
      </w:tr>
      <w:tr w:rsidR="00E947E3" w:rsidRPr="0093308E" w14:paraId="5F29B7E8" w14:textId="77777777" w:rsidTr="00592DD3">
        <w:tc>
          <w:tcPr>
            <w:tcW w:w="9039" w:type="dxa"/>
            <w:gridSpan w:val="2"/>
          </w:tcPr>
          <w:p w14:paraId="5A75401E" w14:textId="77777777" w:rsidR="00E947E3" w:rsidRPr="0093308E" w:rsidRDefault="00E947E3" w:rsidP="00592DD3">
            <w:pPr>
              <w:pStyle w:val="Nosaukumi"/>
            </w:pPr>
            <w:r w:rsidRPr="0093308E">
              <w:t>Priekšzināšanas</w:t>
            </w:r>
          </w:p>
        </w:tc>
      </w:tr>
      <w:tr w:rsidR="00E947E3" w:rsidRPr="0093308E" w14:paraId="1BB014C9" w14:textId="77777777" w:rsidTr="00592DD3">
        <w:tc>
          <w:tcPr>
            <w:tcW w:w="9039" w:type="dxa"/>
            <w:gridSpan w:val="2"/>
          </w:tcPr>
          <w:p w14:paraId="5E812688" w14:textId="77777777" w:rsidR="00E947E3" w:rsidRPr="0093308E" w:rsidRDefault="00E947E3" w:rsidP="00592DD3">
            <w:r w:rsidRPr="000830E2">
              <w:t>Ķīmi</w:t>
            </w:r>
            <w:r>
              <w:t>5</w:t>
            </w:r>
            <w:r w:rsidRPr="000830E2">
              <w:t>00</w:t>
            </w:r>
            <w:r>
              <w:t>2</w:t>
            </w:r>
            <w:r w:rsidRPr="000830E2">
              <w:t xml:space="preserve"> Organiskā ķīmija</w:t>
            </w:r>
            <w:r>
              <w:t>;</w:t>
            </w:r>
            <w:r w:rsidRPr="000830E2">
              <w:t xml:space="preserve"> </w:t>
            </w:r>
          </w:p>
        </w:tc>
      </w:tr>
      <w:tr w:rsidR="00E947E3" w:rsidRPr="0093308E" w14:paraId="013C0581" w14:textId="77777777" w:rsidTr="00592DD3">
        <w:tc>
          <w:tcPr>
            <w:tcW w:w="9039" w:type="dxa"/>
            <w:gridSpan w:val="2"/>
          </w:tcPr>
          <w:p w14:paraId="4D1A33A4" w14:textId="77777777" w:rsidR="00E947E3" w:rsidRPr="0093308E" w:rsidRDefault="00E947E3" w:rsidP="00592DD3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947E3" w:rsidRPr="0093308E" w14:paraId="336339CC" w14:textId="77777777" w:rsidTr="00592DD3">
        <w:tc>
          <w:tcPr>
            <w:tcW w:w="9039" w:type="dxa"/>
            <w:gridSpan w:val="2"/>
          </w:tcPr>
          <w:p w14:paraId="76ABE10E" w14:textId="77777777" w:rsidR="00E947E3" w:rsidRDefault="00E947E3" w:rsidP="00592DD3">
            <w:r>
              <w:t xml:space="preserve">KURSA MĒRĶIS: </w:t>
            </w:r>
          </w:p>
          <w:p w14:paraId="3AE5C2F5" w14:textId="77777777" w:rsidR="00E947E3" w:rsidRDefault="00E947E3" w:rsidP="00592DD3">
            <w:pPr>
              <w:pStyle w:val="Footer"/>
            </w:pPr>
            <w:r w:rsidRPr="00F60936">
              <w:t xml:space="preserve">Attīstīt studentos aktīvo un radošo attieksmi pret mācību procesu, sniegt mūsdienu priekšstatu par </w:t>
            </w:r>
            <w:r w:rsidRPr="005B4BCD">
              <w:t>toksisko vielu klasēm, to iedarbības veidiem un vērtēšanas kritērijiem</w:t>
            </w:r>
            <w:r w:rsidRPr="00F60936">
              <w:t xml:space="preserve">. Dot zināšanas par </w:t>
            </w:r>
            <w:r w:rsidRPr="005B4BCD">
              <w:t>ķīmisko vielu struktūras un toksiskās iedarbības savstarpējām sakarībām</w:t>
            </w:r>
            <w:r w:rsidRPr="00FD37AD">
              <w:t>, kā arī paplašināt iepriekš bakalaura programmā apgūtās zināšanas ķīmijā. </w:t>
            </w:r>
            <w:r w:rsidRPr="00F60936">
              <w:t xml:space="preserve">Iepazīt studentus ar </w:t>
            </w:r>
            <w:r w:rsidRPr="005B4BCD">
              <w:t xml:space="preserve">ķīmisku </w:t>
            </w:r>
            <w:r w:rsidRPr="00FD37AD">
              <w:t xml:space="preserve">savienojumu </w:t>
            </w:r>
            <w:r>
              <w:t>toksiskuma iz</w:t>
            </w:r>
            <w:r w:rsidRPr="00F60936">
              <w:t>pēt</w:t>
            </w:r>
            <w:r>
              <w:t>es</w:t>
            </w:r>
            <w:r w:rsidRPr="00F60936">
              <w:t xml:space="preserve"> metodēm. </w:t>
            </w:r>
            <w:r>
              <w:t>Praktisku</w:t>
            </w:r>
            <w:r w:rsidRPr="00F60936">
              <w:t xml:space="preserve"> darbu laikā attīstīt un nostiprināt zinātniskā darba prasmes un iemaņas </w:t>
            </w:r>
            <w:r>
              <w:t>ķīmisku savienojumu</w:t>
            </w:r>
            <w:r w:rsidRPr="00F60936">
              <w:t xml:space="preserve"> </w:t>
            </w:r>
            <w:r w:rsidRPr="005B4BCD">
              <w:t>toksiskās iedarbības iemeslu un riska faktoru novērtēšanā</w:t>
            </w:r>
            <w:r w:rsidRPr="00F60936">
              <w:t>.</w:t>
            </w:r>
          </w:p>
          <w:p w14:paraId="1B75138A" w14:textId="77777777" w:rsidR="00E947E3" w:rsidRDefault="00E947E3" w:rsidP="00592DD3">
            <w:pPr>
              <w:pStyle w:val="Footer"/>
            </w:pPr>
          </w:p>
          <w:p w14:paraId="757B4323" w14:textId="77777777" w:rsidR="00E947E3" w:rsidRDefault="00E947E3" w:rsidP="00592DD3">
            <w:r>
              <w:t>KURSA UZDEVUMI:</w:t>
            </w:r>
          </w:p>
          <w:p w14:paraId="14CB83CA" w14:textId="77777777" w:rsidR="00E947E3" w:rsidRDefault="00E947E3" w:rsidP="00592DD3">
            <w:r w:rsidRPr="00F60936">
              <w:t>1</w:t>
            </w:r>
            <w:r>
              <w:t>. I</w:t>
            </w:r>
            <w:r w:rsidRPr="00F60936">
              <w:t xml:space="preserve">epazīstināt </w:t>
            </w:r>
            <w:r w:rsidRPr="00BD7D15">
              <w:t xml:space="preserve">studējošos </w:t>
            </w:r>
            <w:r w:rsidRPr="005B4BCD">
              <w:t>ar ķīmisko vielu struktūras un toksiskās iedarbības savstarpējām sakarībām</w:t>
            </w:r>
            <w:r>
              <w:t>;</w:t>
            </w:r>
          </w:p>
          <w:p w14:paraId="5E8B896A" w14:textId="77777777" w:rsidR="00E947E3" w:rsidRDefault="00E947E3" w:rsidP="00592DD3">
            <w:r w:rsidRPr="00F60936">
              <w:t>2</w:t>
            </w:r>
            <w:r>
              <w:t>. D</w:t>
            </w:r>
            <w:r w:rsidRPr="00F60936">
              <w:t xml:space="preserve">ot </w:t>
            </w:r>
            <w:r>
              <w:t xml:space="preserve">studējošiem </w:t>
            </w:r>
            <w:r w:rsidRPr="00AF4819">
              <w:t xml:space="preserve">ieskatu par </w:t>
            </w:r>
            <w:r w:rsidRPr="005B4BCD">
              <w:t xml:space="preserve">toksisko vielu uzņemšanas ceļiem un </w:t>
            </w:r>
            <w:proofErr w:type="spellStart"/>
            <w:r w:rsidRPr="005B4BCD">
              <w:t>biotransformācijas</w:t>
            </w:r>
            <w:proofErr w:type="spellEnd"/>
            <w:r w:rsidRPr="005B4BCD">
              <w:t xml:space="preserve"> procesiem</w:t>
            </w:r>
            <w:r>
              <w:t>;</w:t>
            </w:r>
          </w:p>
          <w:p w14:paraId="2A2387B8" w14:textId="77777777" w:rsidR="00E947E3" w:rsidRDefault="00E947E3" w:rsidP="00592DD3">
            <w:r w:rsidRPr="00F60936">
              <w:t>3</w:t>
            </w:r>
            <w:r>
              <w:t xml:space="preserve">. Nodrošināt studējošiem iemaņas </w:t>
            </w:r>
            <w:r w:rsidRPr="005B4BCD">
              <w:t xml:space="preserve">novērtēt vielu toksiskumu, izmantojot dažādas </w:t>
            </w:r>
            <w:proofErr w:type="spellStart"/>
            <w:r w:rsidRPr="005B4BCD">
              <w:t>modeļvielas</w:t>
            </w:r>
            <w:proofErr w:type="spellEnd"/>
            <w:r>
              <w:t>;</w:t>
            </w:r>
            <w:r w:rsidRPr="00AF4819">
              <w:t xml:space="preserve"> </w:t>
            </w:r>
          </w:p>
          <w:p w14:paraId="301A5A03" w14:textId="77777777" w:rsidR="00E947E3" w:rsidRPr="0056330A" w:rsidRDefault="00E947E3" w:rsidP="00592DD3">
            <w:r>
              <w:t>4. Veicināt studējošo patstāvīgā darba iemaņu stiprinā</w:t>
            </w:r>
            <w:r w:rsidRPr="0056330A">
              <w:t>šanu darbam ar zinātniskās literatūras izpēti</w:t>
            </w:r>
            <w:r>
              <w:t>;</w:t>
            </w:r>
          </w:p>
          <w:p w14:paraId="7DFBF975" w14:textId="77777777" w:rsidR="00E947E3" w:rsidRDefault="00E947E3" w:rsidP="00592DD3">
            <w:r>
              <w:t xml:space="preserve">5. </w:t>
            </w:r>
            <w:r w:rsidRPr="0056330A">
              <w:t>Veicināt studējošo iemaņu stiprināšanu darba organizācijā, plānošanā, atbilstošo metožu izvēlē, to pielietošanu profesionālajā darbībā</w:t>
            </w:r>
            <w:r>
              <w:t>.</w:t>
            </w:r>
          </w:p>
          <w:p w14:paraId="469DEB93" w14:textId="77777777" w:rsidR="00E947E3" w:rsidRPr="0093308E" w:rsidRDefault="00E947E3" w:rsidP="00592DD3"/>
        </w:tc>
      </w:tr>
      <w:tr w:rsidR="00E947E3" w:rsidRPr="0093308E" w14:paraId="0DCA30F6" w14:textId="77777777" w:rsidTr="00592DD3">
        <w:tc>
          <w:tcPr>
            <w:tcW w:w="9039" w:type="dxa"/>
            <w:gridSpan w:val="2"/>
          </w:tcPr>
          <w:p w14:paraId="00AD2752" w14:textId="77777777" w:rsidR="00E947E3" w:rsidRPr="0093308E" w:rsidRDefault="00E947E3" w:rsidP="00592DD3">
            <w:pPr>
              <w:pStyle w:val="Nosaukumi"/>
            </w:pPr>
            <w:r w:rsidRPr="0093308E">
              <w:t>Studiju kursa kalendārais plāns</w:t>
            </w:r>
          </w:p>
        </w:tc>
      </w:tr>
      <w:tr w:rsidR="00E947E3" w:rsidRPr="0093308E" w14:paraId="59C820D6" w14:textId="77777777" w:rsidTr="00592DD3">
        <w:tc>
          <w:tcPr>
            <w:tcW w:w="9039" w:type="dxa"/>
            <w:gridSpan w:val="2"/>
          </w:tcPr>
          <w:p w14:paraId="20C4FB60" w14:textId="77777777" w:rsidR="00E947E3" w:rsidRDefault="00E947E3" w:rsidP="00592DD3">
            <w:r w:rsidRPr="00F3091F">
              <w:t xml:space="preserve">  </w:t>
            </w:r>
            <w:bookmarkStart w:id="0" w:name="_Hlk125126615"/>
            <w:r>
              <w:t>L16, Ld16, Pd48</w:t>
            </w:r>
          </w:p>
          <w:p w14:paraId="3FEC6515" w14:textId="77777777" w:rsidR="00E947E3" w:rsidRPr="00F60936" w:rsidRDefault="00E947E3" w:rsidP="00592DD3"/>
          <w:p w14:paraId="6AEEB898" w14:textId="77777777" w:rsidR="00E947E3" w:rsidRPr="00BC0E64" w:rsidRDefault="00E947E3" w:rsidP="00592DD3">
            <w:pPr>
              <w:rPr>
                <w:lang w:val="de-DE"/>
              </w:rPr>
            </w:pPr>
            <w:r>
              <w:t>1.</w:t>
            </w:r>
            <w:r w:rsidRPr="00F66E9A">
              <w:t xml:space="preserve"> </w:t>
            </w:r>
            <w:r w:rsidRPr="00BC0E64">
              <w:t>Toksikoloģijas priekšmets, tās pamatprincipi. Ķīmisko vielu klasifikācija. L</w:t>
            </w:r>
            <w:r>
              <w:t>2</w:t>
            </w:r>
            <w:r w:rsidRPr="00BC0E64">
              <w:t>, Pd</w:t>
            </w:r>
            <w:r>
              <w:t>3</w:t>
            </w:r>
          </w:p>
          <w:p w14:paraId="632C9F32" w14:textId="77777777" w:rsidR="00E947E3" w:rsidRPr="00BC0E64" w:rsidRDefault="00E947E3" w:rsidP="00592DD3">
            <w:r>
              <w:lastRenderedPageBreak/>
              <w:t xml:space="preserve">2. </w:t>
            </w:r>
            <w:r w:rsidRPr="00BC0E64">
              <w:t>Vielu toksiskās iedarbības novērtēšanas pamatprincipi. Vielu akūtā un hroniskā toksiskuma novērtēšanas metodes.</w:t>
            </w:r>
            <w:r>
              <w:t xml:space="preserve"> </w:t>
            </w:r>
            <w:r w:rsidRPr="00BC0E64">
              <w:t xml:space="preserve">L2, </w:t>
            </w:r>
            <w:r>
              <w:t xml:space="preserve">Ld4, </w:t>
            </w:r>
            <w:r w:rsidRPr="00BC0E64">
              <w:t>Pd</w:t>
            </w:r>
            <w:r>
              <w:t>9</w:t>
            </w:r>
          </w:p>
          <w:p w14:paraId="41E4244B" w14:textId="77777777" w:rsidR="00E947E3" w:rsidRPr="00BC0E64" w:rsidRDefault="00E947E3" w:rsidP="00592DD3">
            <w:pPr>
              <w:rPr>
                <w:lang w:val="de-DE"/>
              </w:rPr>
            </w:pPr>
            <w:r>
              <w:t xml:space="preserve">3. </w:t>
            </w:r>
            <w:proofErr w:type="spellStart"/>
            <w:r w:rsidRPr="00BC0E64">
              <w:rPr>
                <w:lang w:val="de-DE"/>
              </w:rPr>
              <w:t>Toksisko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faktoru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pētīšanas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metodoloģija</w:t>
            </w:r>
            <w:proofErr w:type="spellEnd"/>
            <w:r w:rsidRPr="00BC0E64">
              <w:rPr>
                <w:lang w:val="de-DE"/>
              </w:rPr>
              <w:t>.</w:t>
            </w:r>
            <w:r w:rsidRPr="00BC0E64">
              <w:t xml:space="preserve"> </w:t>
            </w:r>
            <w:proofErr w:type="spellStart"/>
            <w:r w:rsidRPr="00BC0E64">
              <w:t>Toksikokinētika</w:t>
            </w:r>
            <w:proofErr w:type="spellEnd"/>
            <w:r w:rsidRPr="00BC0E64">
              <w:t>.</w:t>
            </w:r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t>Toksikodinamika</w:t>
            </w:r>
            <w:proofErr w:type="spellEnd"/>
            <w:r w:rsidRPr="00BC0E64">
              <w:t>.</w:t>
            </w:r>
            <w:r w:rsidRPr="00BC0E64">
              <w:rPr>
                <w:lang w:val="de-DE"/>
              </w:rPr>
              <w:t xml:space="preserve"> </w:t>
            </w:r>
            <w:r w:rsidRPr="00BC0E64">
              <w:t xml:space="preserve">L2, </w:t>
            </w:r>
            <w:r>
              <w:t xml:space="preserve">Ld4, </w:t>
            </w:r>
            <w:r w:rsidRPr="00BC0E64">
              <w:t>Pd</w:t>
            </w:r>
            <w:r>
              <w:t>9</w:t>
            </w:r>
          </w:p>
          <w:p w14:paraId="685136FF" w14:textId="77777777" w:rsidR="00E947E3" w:rsidRPr="00BC0E64" w:rsidRDefault="00E947E3" w:rsidP="00592DD3">
            <w:pPr>
              <w:rPr>
                <w:lang w:val="de-DE"/>
              </w:rPr>
            </w:pPr>
            <w:r>
              <w:t xml:space="preserve">4. </w:t>
            </w:r>
            <w:r w:rsidRPr="00BC0E64">
              <w:t>Toksisko vielu iedalījums pēc to iedarbības uz orgānu sistēmu. Vielu struktūras-aktivitātes sakarības. L2, Pd</w:t>
            </w:r>
            <w:r>
              <w:t>3</w:t>
            </w:r>
          </w:p>
          <w:p w14:paraId="0EB7C81B" w14:textId="77777777" w:rsidR="00E947E3" w:rsidRPr="00BC0E64" w:rsidRDefault="00E947E3" w:rsidP="00592DD3">
            <w:r>
              <w:t xml:space="preserve">5. </w:t>
            </w:r>
            <w:proofErr w:type="spellStart"/>
            <w:r w:rsidRPr="00BC0E64">
              <w:t>Genotoksīnu</w:t>
            </w:r>
            <w:proofErr w:type="spellEnd"/>
            <w:r w:rsidRPr="00BC0E64">
              <w:t xml:space="preserve"> </w:t>
            </w:r>
            <w:proofErr w:type="spellStart"/>
            <w:r w:rsidRPr="00BC0E64">
              <w:t>petīšanas</w:t>
            </w:r>
            <w:proofErr w:type="spellEnd"/>
            <w:r w:rsidRPr="00BC0E64">
              <w:t xml:space="preserve"> vēsture. </w:t>
            </w:r>
            <w:proofErr w:type="spellStart"/>
            <w:r w:rsidRPr="00BC0E64">
              <w:t>Genotoksisku</w:t>
            </w:r>
            <w:proofErr w:type="spellEnd"/>
            <w:r w:rsidRPr="00BC0E64">
              <w:t xml:space="preserve"> faktoru raksturīgās un specifiskās īpašības. Dažas organismu reakcijas uz </w:t>
            </w:r>
            <w:proofErr w:type="spellStart"/>
            <w:r w:rsidRPr="00BC0E64">
              <w:t>genotoksīnu</w:t>
            </w:r>
            <w:proofErr w:type="spellEnd"/>
            <w:r w:rsidRPr="00BC0E64">
              <w:t xml:space="preserve"> iedarbību. L2, Pd</w:t>
            </w:r>
            <w:r>
              <w:t>3</w:t>
            </w:r>
          </w:p>
          <w:p w14:paraId="3B8463C3" w14:textId="77777777" w:rsidR="00E947E3" w:rsidRPr="00BC0E64" w:rsidRDefault="00E947E3" w:rsidP="00592DD3">
            <w:r>
              <w:t xml:space="preserve">6. </w:t>
            </w:r>
            <w:proofErr w:type="spellStart"/>
            <w:r w:rsidRPr="00BC0E64">
              <w:rPr>
                <w:lang w:val="de-DE"/>
              </w:rPr>
              <w:t>Kancerogēnās</w:t>
            </w:r>
            <w:proofErr w:type="spellEnd"/>
            <w:r w:rsidRPr="00BC0E64">
              <w:rPr>
                <w:lang w:val="de-DE"/>
              </w:rPr>
              <w:t xml:space="preserve">, </w:t>
            </w:r>
            <w:proofErr w:type="spellStart"/>
            <w:r w:rsidRPr="00BC0E64">
              <w:rPr>
                <w:lang w:val="de-DE"/>
              </w:rPr>
              <w:t>mutagēnās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un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teratogēnās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vielas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vidē</w:t>
            </w:r>
            <w:proofErr w:type="spellEnd"/>
            <w:r w:rsidRPr="00BC0E64">
              <w:rPr>
                <w:lang w:val="de-DE"/>
              </w:rPr>
              <w:t xml:space="preserve">. </w:t>
            </w:r>
            <w:proofErr w:type="spellStart"/>
            <w:r w:rsidRPr="00BC0E64">
              <w:rPr>
                <w:lang w:val="de-DE"/>
              </w:rPr>
              <w:t>Vielu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kancerogēnās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iedarbības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novērtēšanas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metodes</w:t>
            </w:r>
            <w:proofErr w:type="spellEnd"/>
            <w:r w:rsidRPr="00BC0E64">
              <w:rPr>
                <w:lang w:val="de-DE"/>
              </w:rPr>
              <w:t>.</w:t>
            </w:r>
            <w:r>
              <w:t xml:space="preserve"> </w:t>
            </w:r>
            <w:r w:rsidRPr="00BC0E64">
              <w:t>L2, Ld4, Pd</w:t>
            </w:r>
            <w:r>
              <w:t>9</w:t>
            </w:r>
          </w:p>
          <w:p w14:paraId="60F41345" w14:textId="77777777" w:rsidR="00E947E3" w:rsidRPr="00BC0E64" w:rsidRDefault="00E947E3" w:rsidP="00592DD3">
            <w:r>
              <w:t xml:space="preserve">7. </w:t>
            </w:r>
            <w:r w:rsidRPr="00BC0E64">
              <w:t xml:space="preserve">Endokrīno sistēmu degradējošās </w:t>
            </w:r>
            <w:proofErr w:type="spellStart"/>
            <w:r w:rsidRPr="00BC0E64">
              <w:t>vielas.Toksiskie</w:t>
            </w:r>
            <w:proofErr w:type="spellEnd"/>
            <w:r w:rsidRPr="00BC0E64">
              <w:t xml:space="preserve"> savienojumi rūpniecībā un lauksaimniecībā. Vides piesārņojuma bīstamības </w:t>
            </w:r>
            <w:proofErr w:type="spellStart"/>
            <w:r w:rsidRPr="00BC0E64">
              <w:t>vērtēsana</w:t>
            </w:r>
            <w:proofErr w:type="spellEnd"/>
            <w:r w:rsidRPr="00BC0E64">
              <w:t xml:space="preserve"> un dažādu vielu piesārņojuma sastāvdaļu ietekme uz veselību.</w:t>
            </w:r>
            <w:r>
              <w:t xml:space="preserve"> </w:t>
            </w:r>
            <w:r w:rsidRPr="00BC0E64">
              <w:t>L2, Ld4, Pd</w:t>
            </w:r>
            <w:r>
              <w:t>9</w:t>
            </w:r>
          </w:p>
          <w:p w14:paraId="0E941955" w14:textId="77777777" w:rsidR="00E947E3" w:rsidRPr="00BC0E64" w:rsidRDefault="00E947E3" w:rsidP="00592DD3">
            <w:r>
              <w:t xml:space="preserve">8. </w:t>
            </w:r>
            <w:r w:rsidRPr="00BC0E64">
              <w:t xml:space="preserve">Riska faktoru novērtēšanas pamatprincipi. Toksisko vielu </w:t>
            </w:r>
            <w:proofErr w:type="spellStart"/>
            <w:r w:rsidRPr="00BC0E64">
              <w:t>biotransformācijas</w:t>
            </w:r>
            <w:proofErr w:type="spellEnd"/>
            <w:r w:rsidRPr="00BC0E64">
              <w:t xml:space="preserve"> procesi.</w:t>
            </w:r>
          </w:p>
          <w:p w14:paraId="629C8E7E" w14:textId="77777777" w:rsidR="00E947E3" w:rsidRPr="00452AF3" w:rsidRDefault="00E947E3" w:rsidP="00592DD3">
            <w:r>
              <w:t>L</w:t>
            </w:r>
            <w:r w:rsidRPr="00452AF3">
              <w:t>2, Pd</w:t>
            </w:r>
            <w:r>
              <w:t>3</w:t>
            </w:r>
          </w:p>
          <w:p w14:paraId="2B1375F4" w14:textId="77777777" w:rsidR="00E947E3" w:rsidRDefault="00E947E3" w:rsidP="00592DD3"/>
          <w:bookmarkEnd w:id="0"/>
          <w:p w14:paraId="24A0E6FC" w14:textId="77777777" w:rsidR="00E947E3" w:rsidRPr="00D951AD" w:rsidRDefault="00E947E3" w:rsidP="00592DD3">
            <w:r w:rsidRPr="00C816D9">
              <w:t>L -  lekcija</w:t>
            </w:r>
          </w:p>
          <w:p w14:paraId="4BCA271D" w14:textId="77777777" w:rsidR="00E947E3" w:rsidRPr="00D951AD" w:rsidRDefault="00E947E3" w:rsidP="00592DD3">
            <w:proofErr w:type="spellStart"/>
            <w:r w:rsidRPr="00C816D9">
              <w:t>Ld</w:t>
            </w:r>
            <w:proofErr w:type="spellEnd"/>
            <w:r w:rsidRPr="00C816D9">
              <w:t xml:space="preserve"> – laboratorijas darbi</w:t>
            </w:r>
          </w:p>
          <w:p w14:paraId="254B6E03" w14:textId="77777777" w:rsidR="00E947E3" w:rsidRPr="0093308E" w:rsidRDefault="00E947E3" w:rsidP="00592DD3">
            <w:proofErr w:type="spellStart"/>
            <w:r w:rsidRPr="00C816D9">
              <w:t>Pd</w:t>
            </w:r>
            <w:proofErr w:type="spellEnd"/>
            <w:r w:rsidRPr="00C816D9">
              <w:t xml:space="preserve"> – patstāvīgais darbs</w:t>
            </w:r>
            <w:r w:rsidRPr="00D951AD">
              <w:t xml:space="preserve"> </w:t>
            </w:r>
          </w:p>
        </w:tc>
      </w:tr>
      <w:tr w:rsidR="00E947E3" w:rsidRPr="0093308E" w14:paraId="43E69B7D" w14:textId="77777777" w:rsidTr="00592DD3">
        <w:tc>
          <w:tcPr>
            <w:tcW w:w="9039" w:type="dxa"/>
            <w:gridSpan w:val="2"/>
          </w:tcPr>
          <w:p w14:paraId="6DA090F9" w14:textId="77777777" w:rsidR="00E947E3" w:rsidRPr="0093308E" w:rsidRDefault="00E947E3" w:rsidP="00592DD3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947E3" w:rsidRPr="0093308E" w14:paraId="59AAEF56" w14:textId="77777777" w:rsidTr="00592DD3">
        <w:tc>
          <w:tcPr>
            <w:tcW w:w="9039" w:type="dxa"/>
            <w:gridSpan w:val="2"/>
          </w:tcPr>
          <w:p w14:paraId="00E7EE25" w14:textId="77777777" w:rsidR="00E947E3" w:rsidRPr="00142F74" w:rsidRDefault="00E947E3" w:rsidP="00592DD3">
            <w:bookmarkStart w:id="1" w:name="_Hlk125121535"/>
            <w:r w:rsidRPr="00114762">
              <w:t xml:space="preserve">ZINĀŠANAS: </w:t>
            </w:r>
          </w:p>
          <w:p w14:paraId="5CA7ABD9" w14:textId="77777777" w:rsidR="00E947E3" w:rsidRPr="00142F74" w:rsidRDefault="00E947E3" w:rsidP="00592DD3">
            <w:r w:rsidRPr="00114762">
              <w:t xml:space="preserve">1. </w:t>
            </w:r>
            <w:r w:rsidRPr="00142F74">
              <w:t xml:space="preserve">izprot </w:t>
            </w:r>
            <w:r>
              <w:t>toksikoloģijas</w:t>
            </w:r>
            <w:r w:rsidRPr="00142F74">
              <w:t xml:space="preserve"> </w:t>
            </w:r>
            <w:r>
              <w:t>pamat</w:t>
            </w:r>
            <w:r w:rsidRPr="00142F74">
              <w:t xml:space="preserve">jēdzienus, metožu iespējas un lietošanas sfēras; </w:t>
            </w:r>
          </w:p>
          <w:p w14:paraId="27789CB2" w14:textId="77777777" w:rsidR="00E947E3" w:rsidRPr="00142F74" w:rsidRDefault="00E947E3" w:rsidP="00592DD3">
            <w:r w:rsidRPr="00114762">
              <w:t xml:space="preserve">2. </w:t>
            </w:r>
            <w:r w:rsidRPr="00142F74">
              <w:t xml:space="preserve">izprot </w:t>
            </w:r>
            <w:r w:rsidRPr="005D3E56">
              <w:t>vielu struktūras-aktivitātes sakarības</w:t>
            </w:r>
            <w:r w:rsidRPr="00142F74">
              <w:t>;</w:t>
            </w:r>
          </w:p>
          <w:p w14:paraId="59201714" w14:textId="77777777" w:rsidR="00E947E3" w:rsidRPr="00142F74" w:rsidRDefault="00E947E3" w:rsidP="00592DD3">
            <w:r w:rsidRPr="00114762">
              <w:t xml:space="preserve">3. </w:t>
            </w:r>
            <w:r w:rsidRPr="00142F74">
              <w:t xml:space="preserve">demonstrē zināšanas par </w:t>
            </w:r>
            <w:r w:rsidRPr="005D3E56">
              <w:t>toksisko vielu izplatību dabā un dzīvajos organismos</w:t>
            </w:r>
            <w:r w:rsidRPr="00142F74">
              <w:t>;</w:t>
            </w:r>
          </w:p>
          <w:p w14:paraId="3F223FDE" w14:textId="77777777" w:rsidR="00E947E3" w:rsidRPr="00142F74" w:rsidRDefault="00E947E3" w:rsidP="00592DD3">
            <w:r w:rsidRPr="00114762">
              <w:t>4</w:t>
            </w:r>
            <w:r w:rsidRPr="00142F74">
              <w:t>. prot izv</w:t>
            </w:r>
            <w:r w:rsidRPr="00142F74">
              <w:rPr>
                <w:rFonts w:hint="eastAsia"/>
              </w:rPr>
              <w:t>ē</w:t>
            </w:r>
            <w:r w:rsidRPr="00142F74">
              <w:t>l</w:t>
            </w:r>
            <w:r w:rsidRPr="00142F74">
              <w:rPr>
                <w:rFonts w:hint="eastAsia"/>
              </w:rPr>
              <w:t>ē</w:t>
            </w:r>
            <w:r w:rsidRPr="00142F74">
              <w:t xml:space="preserve">ties </w:t>
            </w:r>
            <w:r>
              <w:t>toksiskuma novērtēšanas</w:t>
            </w:r>
            <w:r w:rsidRPr="00142F74">
              <w:t xml:space="preserve"> metodi konkr</w:t>
            </w:r>
            <w:r w:rsidRPr="00142F74">
              <w:rPr>
                <w:rFonts w:hint="eastAsia"/>
              </w:rPr>
              <w:t>ē</w:t>
            </w:r>
            <w:r w:rsidRPr="00142F74">
              <w:t>tu m</w:t>
            </w:r>
            <w:r w:rsidRPr="00142F74">
              <w:rPr>
                <w:rFonts w:hint="eastAsia"/>
              </w:rPr>
              <w:t>ē</w:t>
            </w:r>
            <w:r w:rsidRPr="00142F74">
              <w:t>r</w:t>
            </w:r>
            <w:r w:rsidRPr="00142F74">
              <w:rPr>
                <w:rFonts w:hint="eastAsia"/>
              </w:rPr>
              <w:t>ķ</w:t>
            </w:r>
            <w:r w:rsidRPr="00142F74">
              <w:t>u sasnieg</w:t>
            </w:r>
            <w:r w:rsidRPr="00142F74">
              <w:rPr>
                <w:rFonts w:hint="eastAsia"/>
              </w:rPr>
              <w:t>š</w:t>
            </w:r>
            <w:r w:rsidRPr="00142F74">
              <w:t>an</w:t>
            </w:r>
            <w:r w:rsidRPr="00142F74">
              <w:rPr>
                <w:rFonts w:hint="eastAsia"/>
              </w:rPr>
              <w:t>ā</w:t>
            </w:r>
            <w:r w:rsidRPr="00142F74">
              <w:t>;</w:t>
            </w:r>
          </w:p>
          <w:p w14:paraId="1FF90D2E" w14:textId="77777777" w:rsidR="00E947E3" w:rsidRPr="00142F74" w:rsidRDefault="00E947E3" w:rsidP="00592DD3">
            <w:r w:rsidRPr="00114762">
              <w:t>5</w:t>
            </w:r>
            <w:r w:rsidRPr="00142F74">
              <w:t>. pārzina instrument</w:t>
            </w:r>
            <w:r w:rsidRPr="00142F74">
              <w:rPr>
                <w:rFonts w:hint="eastAsia"/>
              </w:rPr>
              <w:t>ā</w:t>
            </w:r>
            <w:r w:rsidRPr="00142F74">
              <w:t>lo meto</w:t>
            </w:r>
            <w:r w:rsidRPr="00142F74">
              <w:rPr>
                <w:rFonts w:hint="eastAsia"/>
              </w:rPr>
              <w:t>ž</w:t>
            </w:r>
            <w:r w:rsidRPr="00142F74">
              <w:t>u pielieto</w:t>
            </w:r>
            <w:r w:rsidRPr="00142F74">
              <w:rPr>
                <w:rFonts w:hint="eastAsia"/>
              </w:rPr>
              <w:t>š</w:t>
            </w:r>
            <w:r w:rsidRPr="00142F74">
              <w:t xml:space="preserve">anu </w:t>
            </w:r>
            <w:r>
              <w:t>toksikoloģisk</w:t>
            </w:r>
            <w:r w:rsidRPr="00142F74">
              <w:t>aj</w:t>
            </w:r>
            <w:r w:rsidRPr="00142F74">
              <w:rPr>
                <w:rFonts w:hint="eastAsia"/>
              </w:rPr>
              <w:t>ā</w:t>
            </w:r>
            <w:r w:rsidRPr="00142F74">
              <w:t xml:space="preserve"> anal</w:t>
            </w:r>
            <w:r w:rsidRPr="00142F74">
              <w:rPr>
                <w:rFonts w:hint="eastAsia"/>
              </w:rPr>
              <w:t>ī</w:t>
            </w:r>
            <w:r w:rsidRPr="00142F74">
              <w:t>z</w:t>
            </w:r>
            <w:r w:rsidRPr="00142F74">
              <w:rPr>
                <w:rFonts w:hint="eastAsia"/>
              </w:rPr>
              <w:t>ē</w:t>
            </w:r>
            <w:r w:rsidRPr="00142F74">
              <w:t>;</w:t>
            </w:r>
          </w:p>
          <w:p w14:paraId="307B55E9" w14:textId="77777777" w:rsidR="00E947E3" w:rsidRDefault="00E947E3" w:rsidP="00592DD3">
            <w:r w:rsidRPr="00114762">
              <w:t>6</w:t>
            </w:r>
            <w:r w:rsidRPr="00142F74">
              <w:t xml:space="preserve">. demonstrē vispusīgas faktu, teoriju un likumsakarību zināšanas par </w:t>
            </w:r>
            <w:r w:rsidRPr="005D3E56">
              <w:t>vielas iedarbības riska faktor</w:t>
            </w:r>
            <w:r>
              <w:t>iem;</w:t>
            </w:r>
          </w:p>
          <w:p w14:paraId="069B87F7" w14:textId="77777777" w:rsidR="00E947E3" w:rsidRDefault="00E947E3" w:rsidP="00592DD3"/>
          <w:p w14:paraId="17BBCAAD" w14:textId="77777777" w:rsidR="00E947E3" w:rsidRPr="00142F74" w:rsidRDefault="00E947E3" w:rsidP="00592DD3">
            <w:r w:rsidRPr="00114762">
              <w:t>PRASMES:</w:t>
            </w:r>
          </w:p>
          <w:p w14:paraId="1A5B0E51" w14:textId="77777777" w:rsidR="00E947E3" w:rsidRPr="00142F74" w:rsidRDefault="00E947E3" w:rsidP="00592DD3">
            <w:r w:rsidRPr="00114762">
              <w:t>7</w:t>
            </w:r>
            <w:r w:rsidRPr="00142F74">
              <w:t xml:space="preserve">. prot </w:t>
            </w:r>
            <w:r w:rsidRPr="005D3E56">
              <w:t>novērtēt vielu toksiskās iedarbības cēloņus</w:t>
            </w:r>
            <w:r w:rsidRPr="00142F74">
              <w:t>;</w:t>
            </w:r>
          </w:p>
          <w:p w14:paraId="3240E722" w14:textId="77777777" w:rsidR="00E947E3" w:rsidRPr="00142F74" w:rsidRDefault="00E947E3" w:rsidP="00592DD3">
            <w:r w:rsidRPr="00114762">
              <w:t xml:space="preserve">8. skaidro </w:t>
            </w:r>
            <w:r w:rsidRPr="005D3E56">
              <w:t xml:space="preserve">toksiskās vielu iedarbības iemeslus un riska faktorus, izmantojot dažādas </w:t>
            </w:r>
            <w:proofErr w:type="spellStart"/>
            <w:r w:rsidRPr="005D3E56">
              <w:t>modeļvielas</w:t>
            </w:r>
            <w:proofErr w:type="spellEnd"/>
            <w:r w:rsidRPr="00142F74">
              <w:t>;</w:t>
            </w:r>
          </w:p>
          <w:p w14:paraId="7EEFD58B" w14:textId="77777777" w:rsidR="00E947E3" w:rsidRPr="00142F74" w:rsidRDefault="00E947E3" w:rsidP="00592DD3">
            <w:r w:rsidRPr="00114762">
              <w:t>9</w:t>
            </w:r>
            <w:r w:rsidRPr="00142F74">
              <w:t xml:space="preserve">. prot </w:t>
            </w:r>
            <w:r w:rsidRPr="005D3E56">
              <w:t>novērtēt vielas iedarbības riska faktorus un rast risinājumus to iedarbības risku mazināšanai</w:t>
            </w:r>
            <w:r w:rsidRPr="00142F74">
              <w:t>;</w:t>
            </w:r>
          </w:p>
          <w:p w14:paraId="51E03FAA" w14:textId="77777777" w:rsidR="00E947E3" w:rsidRPr="00142F74" w:rsidRDefault="00E947E3" w:rsidP="00592DD3">
            <w:r w:rsidRPr="00114762">
              <w:t>10. prot</w:t>
            </w:r>
            <w:r w:rsidRPr="00142F74">
              <w:t xml:space="preserve"> pamatot attiecīgo metožu un aparatūras pielietojumu;</w:t>
            </w:r>
          </w:p>
          <w:p w14:paraId="22F73480" w14:textId="77777777" w:rsidR="00E947E3" w:rsidRPr="00142F74" w:rsidRDefault="00E947E3" w:rsidP="00592DD3">
            <w:r w:rsidRPr="00114762">
              <w:t>11</w:t>
            </w:r>
            <w:r w:rsidRPr="00142F74">
              <w:t>. prot iegūtās zināšanas pielietot praksē</w:t>
            </w:r>
            <w:r>
              <w:t>, sagatavojot ķ</w:t>
            </w:r>
            <w:r w:rsidRPr="005D3E56">
              <w:t xml:space="preserve">īmiskās vielas riska </w:t>
            </w:r>
            <w:proofErr w:type="spellStart"/>
            <w:r w:rsidRPr="005D3E56">
              <w:t>izvērtējuma</w:t>
            </w:r>
            <w:proofErr w:type="spellEnd"/>
            <w:r w:rsidRPr="005D3E56">
              <w:t xml:space="preserve"> pārskat</w:t>
            </w:r>
            <w:r>
              <w:t>u</w:t>
            </w:r>
            <w:r w:rsidRPr="00142F74">
              <w:t>;</w:t>
            </w:r>
          </w:p>
          <w:p w14:paraId="00A5E0E1" w14:textId="77777777" w:rsidR="00E947E3" w:rsidRDefault="00E947E3" w:rsidP="00592DD3">
            <w:r w:rsidRPr="00114762">
              <w:t xml:space="preserve">12. prot lietot zinātniskās literatūras datu bāzes (t.sk. SCOPUS, </w:t>
            </w:r>
            <w:proofErr w:type="spellStart"/>
            <w:r w:rsidRPr="00114762">
              <w:t>WoS</w:t>
            </w:r>
            <w:proofErr w:type="spellEnd"/>
            <w:r w:rsidRPr="00114762">
              <w:t xml:space="preserve">, </w:t>
            </w:r>
            <w:proofErr w:type="spellStart"/>
            <w:r w:rsidRPr="00114762">
              <w:t>ScienceDirect</w:t>
            </w:r>
            <w:proofErr w:type="spellEnd"/>
            <w:r w:rsidRPr="00114762">
              <w:t xml:space="preserve"> </w:t>
            </w:r>
            <w:proofErr w:type="spellStart"/>
            <w:r w:rsidRPr="00114762">
              <w:t>u.c</w:t>
            </w:r>
            <w:proofErr w:type="spellEnd"/>
            <w:r w:rsidRPr="00114762">
              <w:t>)</w:t>
            </w:r>
            <w:r>
              <w:t>;</w:t>
            </w:r>
          </w:p>
          <w:p w14:paraId="76B0CB10" w14:textId="77777777" w:rsidR="00E947E3" w:rsidRPr="00142F74" w:rsidRDefault="00E947E3" w:rsidP="00592DD3">
            <w:r w:rsidRPr="00142F74">
              <w:t xml:space="preserve"> </w:t>
            </w:r>
          </w:p>
          <w:p w14:paraId="776B0EE9" w14:textId="77777777" w:rsidR="00E947E3" w:rsidRPr="00142F74" w:rsidRDefault="00E947E3" w:rsidP="00592DD3">
            <w:r w:rsidRPr="00114762">
              <w:t>KOMPETENCES:</w:t>
            </w:r>
          </w:p>
          <w:p w14:paraId="6127EDD0" w14:textId="77777777" w:rsidR="00E947E3" w:rsidRPr="00142F74" w:rsidRDefault="00E947E3" w:rsidP="00592DD3">
            <w:r w:rsidRPr="00114762">
              <w:t xml:space="preserve">13. </w:t>
            </w:r>
            <w:r w:rsidRPr="00142F74">
              <w:t xml:space="preserve">izmantot laboratorijas darbos iegūto prasmi – sagatavot un veikt eksperimentu, lietot attiecīgo aparatūru, novērtēt rezultātus – tālākā praktiskā vai zinātniskā darbā; </w:t>
            </w:r>
          </w:p>
          <w:p w14:paraId="53DB376D" w14:textId="77777777" w:rsidR="00E947E3" w:rsidRPr="00142F74" w:rsidRDefault="00E947E3" w:rsidP="00592DD3">
            <w:r w:rsidRPr="00114762">
              <w:t>1</w:t>
            </w:r>
            <w:r w:rsidRPr="00142F74">
              <w:t>4. spēj prasmīgi analizēt iegūtos rezultātus, patstāvīgi pielietojot teorijas, koncepcijas un analītiskās spējas pētniecībā; novērtēt izvēlētās metodes priekšrocības un trūkumus salīdzinājumā ar citām aprakstītām vai iespējamām metodēm;</w:t>
            </w:r>
          </w:p>
          <w:p w14:paraId="1BEA3BE6" w14:textId="77777777" w:rsidR="00E947E3" w:rsidRPr="00142F74" w:rsidRDefault="00E947E3" w:rsidP="00592DD3">
            <w:r w:rsidRPr="00114762">
              <w:t>15</w:t>
            </w:r>
            <w:r w:rsidRPr="00142F74">
              <w:t xml:space="preserve">. spēj patstāvīgi strādāt ar zinātnisko literatūru </w:t>
            </w:r>
            <w:r>
              <w:t xml:space="preserve">toksikoloģijas </w:t>
            </w:r>
            <w:proofErr w:type="spellStart"/>
            <w:r w:rsidRPr="00142F74">
              <w:t>ijas</w:t>
            </w:r>
            <w:proofErr w:type="spellEnd"/>
            <w:r w:rsidRPr="00142F74">
              <w:t xml:space="preserve"> jomā, analizēt un interpretēt literatūru par vielu </w:t>
            </w:r>
            <w:r>
              <w:t>toksiskām īpašībām</w:t>
            </w:r>
            <w:r w:rsidRPr="00142F74">
              <w:t>.</w:t>
            </w:r>
            <w:bookmarkStart w:id="2" w:name="_Hlk34246248"/>
          </w:p>
          <w:bookmarkEnd w:id="2"/>
          <w:p w14:paraId="04089E3B" w14:textId="77777777" w:rsidR="00E947E3" w:rsidRPr="0093308E" w:rsidRDefault="00E947E3" w:rsidP="00592DD3"/>
        </w:tc>
      </w:tr>
      <w:bookmarkEnd w:id="1"/>
      <w:tr w:rsidR="00E947E3" w:rsidRPr="0093308E" w14:paraId="2FF8091D" w14:textId="77777777" w:rsidTr="00592DD3">
        <w:tc>
          <w:tcPr>
            <w:tcW w:w="9039" w:type="dxa"/>
            <w:gridSpan w:val="2"/>
          </w:tcPr>
          <w:p w14:paraId="0DAC8F09" w14:textId="77777777" w:rsidR="00E947E3" w:rsidRPr="0093308E" w:rsidRDefault="00E947E3" w:rsidP="00592DD3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947E3" w:rsidRPr="0093308E" w14:paraId="4F2FCFCB" w14:textId="77777777" w:rsidTr="00592DD3">
        <w:tc>
          <w:tcPr>
            <w:tcW w:w="9039" w:type="dxa"/>
            <w:gridSpan w:val="2"/>
          </w:tcPr>
          <w:p w14:paraId="598263E4" w14:textId="77777777" w:rsidR="00E947E3" w:rsidRDefault="00E947E3" w:rsidP="00592DD3">
            <w:r w:rsidRPr="00B846E9">
              <w:lastRenderedPageBreak/>
              <w:t xml:space="preserve">Studējošo darbs tiek organizēts individuāli un grupās, patstāvīgi sagatavojoties </w:t>
            </w:r>
            <w:r w:rsidRPr="00CE15D9">
              <w:t>laboratorijas darbiem, sagatavojot laboratorijas darbu protokolus. Katrs studējošais sagatavo laboratorijas darbu atskaites.</w:t>
            </w:r>
          </w:p>
          <w:p w14:paraId="7A3F112B" w14:textId="77777777" w:rsidR="00E947E3" w:rsidRPr="002356D0" w:rsidRDefault="00E947E3" w:rsidP="00592DD3">
            <w:r w:rsidRPr="00C07DEE">
              <w:t>Pirms katras nodarbības studējošie ie</w:t>
            </w:r>
            <w:r w:rsidRPr="002356D0">
              <w:t>pazīstas ar nodarbības tematu un atbilstošo zinātnisko un mācību literatūru.</w:t>
            </w:r>
          </w:p>
          <w:p w14:paraId="60829BAD" w14:textId="77777777" w:rsidR="00E947E3" w:rsidRPr="002356D0" w:rsidRDefault="00E947E3" w:rsidP="00592DD3">
            <w:r w:rsidRPr="00C07DEE">
              <w:t>Patstāvīgais darbs paredzēts pēc katra</w:t>
            </w:r>
            <w:r w:rsidRPr="002356D0">
              <w:t xml:space="preserve">s lekcijas un ir saistīts ar lekcijas tēmu padziļinātu analīzi. Patstāvīgā darba ietvaros tiek veikta literatūras avotu analīze. Studējošie patstāvīgā darba ietvaros gatavojas kursa </w:t>
            </w:r>
            <w:proofErr w:type="spellStart"/>
            <w:r w:rsidRPr="002356D0">
              <w:t>starppārbaudījumiem</w:t>
            </w:r>
            <w:proofErr w:type="spellEnd"/>
            <w:r w:rsidRPr="002356D0">
              <w:t xml:space="preserve"> (</w:t>
            </w:r>
            <w:r>
              <w:t>2</w:t>
            </w:r>
            <w:r w:rsidRPr="002356D0">
              <w:t xml:space="preserve"> kontroldarbi) un noslēguma pārbaudījumam. </w:t>
            </w:r>
          </w:p>
          <w:p w14:paraId="0D9B1BD6" w14:textId="77777777" w:rsidR="00E947E3" w:rsidRPr="00CE15D9" w:rsidRDefault="00E947E3" w:rsidP="00592DD3"/>
          <w:p w14:paraId="12878802" w14:textId="77777777" w:rsidR="00E947E3" w:rsidRPr="002356D0" w:rsidRDefault="00E947E3" w:rsidP="00592DD3">
            <w:r w:rsidRPr="00C07DEE">
              <w:t xml:space="preserve">1. kontroldarbs. </w:t>
            </w:r>
            <w:r>
              <w:t>T</w:t>
            </w:r>
            <w:r w:rsidRPr="007571F4">
              <w:t>oksisko vielu izplatīb</w:t>
            </w:r>
            <w:r>
              <w:t xml:space="preserve">a </w:t>
            </w:r>
            <w:r w:rsidRPr="007571F4">
              <w:t>dabā</w:t>
            </w:r>
            <w:r w:rsidRPr="000A26AB">
              <w:t>.</w:t>
            </w:r>
            <w:r w:rsidRPr="00CE15D9">
              <w:t xml:space="preserve"> </w:t>
            </w:r>
          </w:p>
          <w:p w14:paraId="74796F18" w14:textId="77777777" w:rsidR="00E947E3" w:rsidRDefault="00E947E3" w:rsidP="00592DD3">
            <w:r w:rsidRPr="00C07DEE">
              <w:t>2. kontroldarbs.</w:t>
            </w:r>
            <w:r w:rsidRPr="002356D0">
              <w:t xml:space="preserve"> </w:t>
            </w:r>
            <w:r>
              <w:t>Ķīmiskās</w:t>
            </w:r>
            <w:r w:rsidRPr="007571F4">
              <w:t xml:space="preserve"> vielas īss riska </w:t>
            </w:r>
            <w:proofErr w:type="spellStart"/>
            <w:r w:rsidRPr="007571F4">
              <w:t>izvērtējuma</w:t>
            </w:r>
            <w:proofErr w:type="spellEnd"/>
            <w:r w:rsidRPr="007571F4">
              <w:t xml:space="preserve"> pārskats</w:t>
            </w:r>
            <w:r>
              <w:t>.</w:t>
            </w:r>
          </w:p>
          <w:p w14:paraId="71A7D8A9" w14:textId="77777777" w:rsidR="00E947E3" w:rsidRPr="0093308E" w:rsidRDefault="00E947E3" w:rsidP="00592DD3"/>
        </w:tc>
      </w:tr>
      <w:tr w:rsidR="00E947E3" w:rsidRPr="0093308E" w14:paraId="4F3C66C0" w14:textId="77777777" w:rsidTr="00592DD3">
        <w:tc>
          <w:tcPr>
            <w:tcW w:w="9039" w:type="dxa"/>
            <w:gridSpan w:val="2"/>
          </w:tcPr>
          <w:p w14:paraId="78437715" w14:textId="77777777" w:rsidR="00E947E3" w:rsidRPr="0093308E" w:rsidRDefault="00E947E3" w:rsidP="00592DD3">
            <w:pPr>
              <w:pStyle w:val="Nosaukumi"/>
            </w:pPr>
            <w:r w:rsidRPr="0093308E">
              <w:t>Prasības kredītpunktu iegūšanai</w:t>
            </w:r>
          </w:p>
        </w:tc>
      </w:tr>
      <w:tr w:rsidR="00E947E3" w:rsidRPr="0093308E" w14:paraId="3056D33F" w14:textId="77777777" w:rsidTr="00592DD3">
        <w:tc>
          <w:tcPr>
            <w:tcW w:w="9039" w:type="dxa"/>
            <w:gridSpan w:val="2"/>
          </w:tcPr>
          <w:p w14:paraId="5B3EB2FC" w14:textId="77777777" w:rsidR="00E947E3" w:rsidRPr="002356D0" w:rsidRDefault="00E947E3" w:rsidP="00592DD3">
            <w:r w:rsidRPr="00C816D9">
              <w:t>STUDIJU REZULTĀTU VĒRTĒŠANAS KRITĒRIJI</w:t>
            </w:r>
          </w:p>
          <w:p w14:paraId="0F654238" w14:textId="77777777" w:rsidR="00E947E3" w:rsidRDefault="00E947E3" w:rsidP="00592DD3"/>
          <w:p w14:paraId="3AAA1B90" w14:textId="77777777" w:rsidR="00E947E3" w:rsidRPr="002356D0" w:rsidRDefault="00E947E3" w:rsidP="00592DD3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2356D0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2AF02626" w14:textId="77777777" w:rsidR="00E947E3" w:rsidRDefault="00E947E3" w:rsidP="00592DD3"/>
          <w:p w14:paraId="59F45A8B" w14:textId="77777777" w:rsidR="00E947E3" w:rsidRPr="009B5EB2" w:rsidRDefault="00E947E3" w:rsidP="00592DD3">
            <w:r w:rsidRPr="00FC78B9">
              <w:t>S</w:t>
            </w:r>
            <w:r w:rsidRPr="009B5EB2">
              <w:t>tudējošo prasmes un kompetences tiek novērtētas 8 laboratorijas darbos.</w:t>
            </w:r>
          </w:p>
          <w:p w14:paraId="0E425F11" w14:textId="77777777" w:rsidR="00E947E3" w:rsidRPr="009B5EB2" w:rsidRDefault="00E947E3" w:rsidP="00592DD3">
            <w:r w:rsidRPr="00FC78B9">
              <w:t>Studējošie apgūst prasmes: sagatavot laboratorijas darba teorētisko pamatojumu, individuāli un kolektīvi</w:t>
            </w:r>
            <w:r w:rsidRPr="009B5EB2">
              <w:t xml:space="preserve"> veikt bioķīmiskās reakcijas, izvēlēties atbilstošus reaktīvus un laboratorijas traukus, interpretēt iegūtos rezultātus, salīdzināt ar literatūras datiem. </w:t>
            </w:r>
          </w:p>
          <w:p w14:paraId="2345B71D" w14:textId="77777777" w:rsidR="00E947E3" w:rsidRPr="009B5EB2" w:rsidRDefault="00E947E3" w:rsidP="00592DD3">
            <w:r w:rsidRPr="00FC78B9">
              <w:t xml:space="preserve"> </w:t>
            </w:r>
          </w:p>
          <w:p w14:paraId="448EA642" w14:textId="77777777" w:rsidR="00E947E3" w:rsidRPr="009B5EB2" w:rsidRDefault="00E947E3" w:rsidP="00592DD3">
            <w:proofErr w:type="spellStart"/>
            <w:r w:rsidRPr="008C614E">
              <w:t>Summatīvā</w:t>
            </w:r>
            <w:proofErr w:type="spellEnd"/>
            <w:r w:rsidRPr="008C614E">
              <w:t xml:space="preserve"> zināšanu un kompetenču vērtēšana kontroldarbos. Obligāti ir sekmīgi jāuzraksta visi kontroldarbi. </w:t>
            </w:r>
          </w:p>
          <w:p w14:paraId="2F8CF9D6" w14:textId="77777777" w:rsidR="00E947E3" w:rsidRPr="009B5EB2" w:rsidRDefault="00E947E3" w:rsidP="00592DD3">
            <w:r w:rsidRPr="008C614E">
              <w:t>Ja studējošais neierodas uz pārbaudes darbu vai to sekmīgi nenokārto, atkārtoti pārbaudes darbu ir obligāti sekmīgi jānokārto.  Lai studējoš</w:t>
            </w:r>
            <w:r w:rsidRPr="009B5EB2">
              <w:t>o pielaistu pie rakstiska eksāmena un izliktu sekmīgu gala vērtējumu,  viņam ir jābūt sekmīgi uzrakstītiem visiem paredzētajiem pārbaudes darbiem.</w:t>
            </w:r>
          </w:p>
          <w:p w14:paraId="4E5941A3" w14:textId="77777777" w:rsidR="00E947E3" w:rsidRPr="008C614E" w:rsidRDefault="00E947E3" w:rsidP="00592DD3"/>
          <w:p w14:paraId="5137DB36" w14:textId="77777777" w:rsidR="00E947E3" w:rsidRPr="009B5EB2" w:rsidRDefault="00E947E3" w:rsidP="00592DD3">
            <w:r w:rsidRPr="008C614E">
              <w:t xml:space="preserve">Laboratorijas darbos studējošajiem ir individuāli jāaizpilda mērījumu protokols. Jāizdara secinājumi par iegūto rezultātu atbilstību paredzētajam, jāveic to interpretēšana. </w:t>
            </w:r>
          </w:p>
          <w:p w14:paraId="66E18E04" w14:textId="77777777" w:rsidR="00E947E3" w:rsidRPr="002356D0" w:rsidRDefault="00E947E3" w:rsidP="00592DD3">
            <w:r w:rsidRPr="00D801AD">
              <w:t>Gala vērtējumu par studiju kursu nosaka vidējais vērtējums par kontroldarbiem semestra laikā (</w:t>
            </w:r>
            <w:r>
              <w:t>6</w:t>
            </w:r>
            <w:r w:rsidRPr="00D801AD">
              <w:t xml:space="preserve">0%), </w:t>
            </w:r>
            <w:r w:rsidRPr="009B5EB2">
              <w:t>laboratorijas darbu protokoliem (10%) un atbildes eksāmenā (</w:t>
            </w:r>
            <w:r>
              <w:t>3</w:t>
            </w:r>
            <w:r w:rsidRPr="009B5EB2">
              <w:t>0%).</w:t>
            </w:r>
            <w:r>
              <w:t xml:space="preserve"> </w:t>
            </w:r>
            <w:r w:rsidRPr="0048087E">
              <w:t>Studiju kursa noslēguma pārbaudījums</w:t>
            </w:r>
            <w:r w:rsidRPr="002356D0">
              <w:t xml:space="preserve"> - rakstisks eksāmens. </w:t>
            </w:r>
          </w:p>
          <w:p w14:paraId="761222C4" w14:textId="77777777" w:rsidR="00E947E3" w:rsidRPr="002356D0" w:rsidRDefault="00E947E3" w:rsidP="00592DD3">
            <w:r>
              <w:t>Pie</w:t>
            </w:r>
            <w:r w:rsidRPr="002356D0">
              <w:t xml:space="preserve"> eksāmena kārtošanas tiek pielaisti tikai tie studējošie, kas ir nokārtojuši </w:t>
            </w:r>
            <w:r>
              <w:t>divus</w:t>
            </w:r>
            <w:r w:rsidRPr="002356D0">
              <w:t xml:space="preserve"> kontroldarbus</w:t>
            </w:r>
            <w:r>
              <w:t>.</w:t>
            </w:r>
          </w:p>
          <w:p w14:paraId="30CCA7F3" w14:textId="77777777" w:rsidR="00E947E3" w:rsidRDefault="00E947E3" w:rsidP="00592DD3"/>
          <w:p w14:paraId="3653DABD" w14:textId="77777777" w:rsidR="00E947E3" w:rsidRPr="002356D0" w:rsidRDefault="00E947E3" w:rsidP="00592DD3">
            <w:r w:rsidRPr="00C816D9">
              <w:t>STUDIJU REZULTĀTU VĒRTĒŠANA</w:t>
            </w:r>
          </w:p>
          <w:p w14:paraId="49FB46BF" w14:textId="77777777" w:rsidR="00E947E3" w:rsidRDefault="00E947E3" w:rsidP="00592DD3"/>
          <w:tbl>
            <w:tblPr>
              <w:tblW w:w="8337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22"/>
              <w:gridCol w:w="396"/>
              <w:gridCol w:w="396"/>
              <w:gridCol w:w="396"/>
              <w:gridCol w:w="396"/>
              <w:gridCol w:w="396"/>
              <w:gridCol w:w="396"/>
              <w:gridCol w:w="386"/>
              <w:gridCol w:w="416"/>
              <w:gridCol w:w="283"/>
              <w:gridCol w:w="327"/>
              <w:gridCol w:w="489"/>
              <w:gridCol w:w="502"/>
              <w:gridCol w:w="320"/>
              <w:gridCol w:w="391"/>
              <w:gridCol w:w="425"/>
            </w:tblGrid>
            <w:tr w:rsidR="00E947E3" w:rsidRPr="00026C21" w14:paraId="77EAC3D2" w14:textId="77777777" w:rsidTr="00592DD3">
              <w:trPr>
                <w:jc w:val="center"/>
              </w:trPr>
              <w:tc>
                <w:tcPr>
                  <w:tcW w:w="24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D5EF2B" w14:textId="77777777" w:rsidR="00E947E3" w:rsidRPr="002356D0" w:rsidRDefault="00E947E3" w:rsidP="00592DD3">
                  <w:r w:rsidRPr="00C816D9">
                    <w:t>Pārbaudījumu veidi</w:t>
                  </w:r>
                </w:p>
              </w:tc>
              <w:tc>
                <w:tcPr>
                  <w:tcW w:w="5915" w:type="dxa"/>
                  <w:gridSpan w:val="1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452008" w14:textId="77777777" w:rsidR="00E947E3" w:rsidRPr="002356D0" w:rsidRDefault="00E947E3" w:rsidP="00592DD3">
                  <w:r w:rsidRPr="00A849CC">
                    <w:t>Studiju rezultāti</w:t>
                  </w:r>
                </w:p>
              </w:tc>
            </w:tr>
            <w:tr w:rsidR="00E947E3" w:rsidRPr="00026C21" w14:paraId="20C9FCB9" w14:textId="77777777" w:rsidTr="00592DD3">
              <w:trPr>
                <w:jc w:val="center"/>
              </w:trPr>
              <w:tc>
                <w:tcPr>
                  <w:tcW w:w="24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67454E" w14:textId="77777777" w:rsidR="00E947E3" w:rsidRPr="00C816D9" w:rsidRDefault="00E947E3" w:rsidP="00592DD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DA781D" w14:textId="77777777" w:rsidR="00E947E3" w:rsidRPr="002356D0" w:rsidRDefault="00E947E3" w:rsidP="00592DD3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03E9B8B" w14:textId="77777777" w:rsidR="00E947E3" w:rsidRPr="002356D0" w:rsidRDefault="00E947E3" w:rsidP="00592DD3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CE20760" w14:textId="77777777" w:rsidR="00E947E3" w:rsidRPr="002356D0" w:rsidRDefault="00E947E3" w:rsidP="00592DD3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41CC96" w14:textId="77777777" w:rsidR="00E947E3" w:rsidRPr="002356D0" w:rsidRDefault="00E947E3" w:rsidP="00592DD3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5260BF" w14:textId="77777777" w:rsidR="00E947E3" w:rsidRPr="002356D0" w:rsidRDefault="00E947E3" w:rsidP="00592DD3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4565974" w14:textId="77777777" w:rsidR="00E947E3" w:rsidRPr="002356D0" w:rsidRDefault="00E947E3" w:rsidP="00592DD3">
                  <w:r w:rsidRPr="00C816D9">
                    <w:t>6.</w:t>
                  </w:r>
                </w:p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B2775B" w14:textId="77777777" w:rsidR="00E947E3" w:rsidRPr="002356D0" w:rsidRDefault="00E947E3" w:rsidP="00592DD3">
                  <w:r>
                    <w:t>7.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99AB16" w14:textId="77777777" w:rsidR="00E947E3" w:rsidRPr="002356D0" w:rsidRDefault="00E947E3" w:rsidP="00592DD3">
                  <w:r>
                    <w:t>8.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453A57" w14:textId="77777777" w:rsidR="00E947E3" w:rsidRPr="002356D0" w:rsidRDefault="00E947E3" w:rsidP="00592DD3">
                  <w:r>
                    <w:t>9.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DC0328" w14:textId="77777777" w:rsidR="00E947E3" w:rsidRPr="002356D0" w:rsidRDefault="00E947E3" w:rsidP="00592DD3">
                  <w:r>
                    <w:t>10.</w:t>
                  </w:r>
                </w:p>
              </w:tc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71F06C" w14:textId="77777777" w:rsidR="00E947E3" w:rsidRPr="002356D0" w:rsidRDefault="00E947E3" w:rsidP="00592DD3">
                  <w:r>
                    <w:t>11.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211F5F" w14:textId="77777777" w:rsidR="00E947E3" w:rsidRPr="002356D0" w:rsidRDefault="00E947E3" w:rsidP="00592DD3">
                  <w:r>
                    <w:t>12.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BD6BEF" w14:textId="77777777" w:rsidR="00E947E3" w:rsidRPr="002356D0" w:rsidRDefault="00E947E3" w:rsidP="00592DD3">
                  <w:r>
                    <w:t>13.</w:t>
                  </w:r>
                </w:p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E2834B" w14:textId="77777777" w:rsidR="00E947E3" w:rsidRPr="002356D0" w:rsidRDefault="00E947E3" w:rsidP="00592DD3">
                  <w:r>
                    <w:t>14.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D3BB6C" w14:textId="77777777" w:rsidR="00E947E3" w:rsidRPr="002356D0" w:rsidRDefault="00E947E3" w:rsidP="00592DD3">
                  <w:r>
                    <w:t>15.</w:t>
                  </w:r>
                </w:p>
              </w:tc>
            </w:tr>
            <w:tr w:rsidR="00E947E3" w:rsidRPr="00026C21" w14:paraId="50409852" w14:textId="77777777" w:rsidTr="00592DD3">
              <w:trPr>
                <w:jc w:val="center"/>
              </w:trPr>
              <w:tc>
                <w:tcPr>
                  <w:tcW w:w="2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F0FA8D" w14:textId="77777777" w:rsidR="00E947E3" w:rsidRPr="002356D0" w:rsidRDefault="00E947E3" w:rsidP="00592DD3">
                  <w:r w:rsidRPr="00C816D9">
                    <w:t>1.</w:t>
                  </w:r>
                  <w:r w:rsidRPr="002356D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C90003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2589E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DE83F6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17930D5" w14:textId="77777777" w:rsidR="00E947E3" w:rsidRPr="00C816D9" w:rsidRDefault="00E947E3" w:rsidP="00592DD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1534B9F" w14:textId="77777777" w:rsidR="00E947E3" w:rsidRPr="00C816D9" w:rsidRDefault="00E947E3" w:rsidP="00592DD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88F080" w14:textId="77777777" w:rsidR="00E947E3" w:rsidRPr="00C816D9" w:rsidRDefault="00E947E3" w:rsidP="00592DD3"/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7F1AE5" w14:textId="77777777" w:rsidR="00E947E3" w:rsidRPr="00C816D9" w:rsidRDefault="00E947E3" w:rsidP="00592DD3"/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37861B" w14:textId="77777777" w:rsidR="00E947E3" w:rsidRPr="00C816D9" w:rsidRDefault="00E947E3" w:rsidP="00592DD3"/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207527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3B2D9D" w14:textId="77777777" w:rsidR="00E947E3" w:rsidRPr="002356D0" w:rsidRDefault="00E947E3" w:rsidP="00592DD3"/>
              </w:tc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51AEB6" w14:textId="77777777" w:rsidR="00E947E3" w:rsidRPr="00C816D9" w:rsidRDefault="00E947E3" w:rsidP="00592DD3"/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A84B50" w14:textId="77777777" w:rsidR="00E947E3" w:rsidRPr="00C816D9" w:rsidRDefault="00E947E3" w:rsidP="00592DD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5E3C0B" w14:textId="77777777" w:rsidR="00E947E3" w:rsidRPr="00C816D9" w:rsidRDefault="00E947E3" w:rsidP="00592DD3"/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322EC4" w14:textId="77777777" w:rsidR="00E947E3" w:rsidRPr="00C816D9" w:rsidRDefault="00E947E3" w:rsidP="00592DD3"/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38D497" w14:textId="77777777" w:rsidR="00E947E3" w:rsidRPr="00C816D9" w:rsidRDefault="00E947E3" w:rsidP="00592DD3"/>
              </w:tc>
            </w:tr>
            <w:tr w:rsidR="00E947E3" w:rsidRPr="00026C21" w14:paraId="61667422" w14:textId="77777777" w:rsidTr="00592DD3">
              <w:trPr>
                <w:jc w:val="center"/>
              </w:trPr>
              <w:tc>
                <w:tcPr>
                  <w:tcW w:w="2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20581B" w14:textId="77777777" w:rsidR="00E947E3" w:rsidRPr="002356D0" w:rsidRDefault="00E947E3" w:rsidP="00592DD3">
                  <w:r w:rsidRPr="00C816D9">
                    <w:t>2.</w:t>
                  </w:r>
                  <w:r w:rsidRPr="002356D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E0E73D" w14:textId="77777777" w:rsidR="00E947E3" w:rsidRPr="00C816D9" w:rsidRDefault="00E947E3" w:rsidP="00592DD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13EA6B" w14:textId="77777777" w:rsidR="00E947E3" w:rsidRPr="00C816D9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51437" w14:textId="77777777" w:rsidR="00E947E3" w:rsidRPr="00C816D9" w:rsidRDefault="00E947E3" w:rsidP="00592DD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B559E0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59C54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8AED99" w14:textId="77777777" w:rsidR="00E947E3" w:rsidRPr="00C816D9" w:rsidRDefault="00E947E3" w:rsidP="00592DD3"/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C9F16D" w14:textId="77777777" w:rsidR="00E947E3" w:rsidRPr="00C816D9" w:rsidRDefault="00E947E3" w:rsidP="00592DD3"/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3FEF04" w14:textId="77777777" w:rsidR="00E947E3" w:rsidRPr="00C816D9" w:rsidRDefault="00E947E3" w:rsidP="00592DD3">
                  <w:r>
                    <w:t>X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C12F37" w14:textId="77777777" w:rsidR="00E947E3" w:rsidRPr="00C816D9" w:rsidRDefault="00E947E3" w:rsidP="00592DD3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3D24C0" w14:textId="77777777" w:rsidR="00E947E3" w:rsidRPr="00C816D9" w:rsidRDefault="00E947E3" w:rsidP="00592DD3"/>
              </w:tc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B7B670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DEB49C" w14:textId="77777777" w:rsidR="00E947E3" w:rsidRPr="00C816D9" w:rsidRDefault="00E947E3" w:rsidP="00592DD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C3C147" w14:textId="77777777" w:rsidR="00E947E3" w:rsidRPr="00C816D9" w:rsidRDefault="00E947E3" w:rsidP="00592DD3"/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DA9D54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D285DF" w14:textId="77777777" w:rsidR="00E947E3" w:rsidRPr="002356D0" w:rsidRDefault="00E947E3" w:rsidP="00592DD3">
                  <w:r>
                    <w:t>X</w:t>
                  </w:r>
                </w:p>
              </w:tc>
            </w:tr>
            <w:tr w:rsidR="00E947E3" w:rsidRPr="00026C21" w14:paraId="4E982BD2" w14:textId="77777777" w:rsidTr="00592DD3">
              <w:trPr>
                <w:jc w:val="center"/>
              </w:trPr>
              <w:tc>
                <w:tcPr>
                  <w:tcW w:w="2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821811" w14:textId="77777777" w:rsidR="00E947E3" w:rsidRPr="002356D0" w:rsidRDefault="00E947E3" w:rsidP="00592DD3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E21B3E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3BF5E9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55C410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4F5A2D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434B50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AD032C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5F70ED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7BE193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89CE6B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C0CF31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D948FD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D208F8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AF03FD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38B7FB" w14:textId="77777777" w:rsidR="00E947E3" w:rsidRPr="002356D0" w:rsidRDefault="00E947E3" w:rsidP="00592DD3">
                  <w:r>
                    <w:t>X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F7056D" w14:textId="77777777" w:rsidR="00E947E3" w:rsidRPr="002356D0" w:rsidRDefault="00E947E3" w:rsidP="00592DD3">
                  <w:r>
                    <w:t>X</w:t>
                  </w:r>
                </w:p>
              </w:tc>
            </w:tr>
          </w:tbl>
          <w:p w14:paraId="3ED5EFA1" w14:textId="77777777" w:rsidR="00E947E3" w:rsidRPr="0093308E" w:rsidRDefault="00E947E3" w:rsidP="00592DD3">
            <w:r w:rsidRPr="00CE15D9">
              <w:lastRenderedPageBreak/>
              <w:t xml:space="preserve"> </w:t>
            </w:r>
            <w:r>
              <w:t xml:space="preserve"> </w:t>
            </w:r>
          </w:p>
        </w:tc>
      </w:tr>
      <w:tr w:rsidR="00E947E3" w:rsidRPr="0093308E" w14:paraId="3CF97531" w14:textId="77777777" w:rsidTr="00592DD3">
        <w:tc>
          <w:tcPr>
            <w:tcW w:w="9039" w:type="dxa"/>
            <w:gridSpan w:val="2"/>
          </w:tcPr>
          <w:p w14:paraId="0DF2F6F9" w14:textId="77777777" w:rsidR="00E947E3" w:rsidRPr="0093308E" w:rsidRDefault="00E947E3" w:rsidP="00592DD3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947E3" w:rsidRPr="0093308E" w14:paraId="6DC0E9A1" w14:textId="77777777" w:rsidTr="00592DD3">
        <w:tc>
          <w:tcPr>
            <w:tcW w:w="9039" w:type="dxa"/>
            <w:gridSpan w:val="2"/>
          </w:tcPr>
          <w:p w14:paraId="49119E42" w14:textId="77777777" w:rsidR="00E947E3" w:rsidRDefault="00E947E3" w:rsidP="00592DD3">
            <w:r>
              <w:t xml:space="preserve">L16, Ld16, </w:t>
            </w:r>
            <w:r w:rsidRPr="009B5EB2">
              <w:t>Pd</w:t>
            </w:r>
            <w:r>
              <w:t>48</w:t>
            </w:r>
          </w:p>
          <w:p w14:paraId="43F1326D" w14:textId="77777777" w:rsidR="00E947E3" w:rsidRPr="009B5EB2" w:rsidRDefault="00E947E3" w:rsidP="00592DD3"/>
          <w:p w14:paraId="17286162" w14:textId="77777777" w:rsidR="00E947E3" w:rsidRPr="009B5EB2" w:rsidRDefault="00E947E3" w:rsidP="00592DD3">
            <w:r w:rsidRPr="00F60936">
              <w:t>Lekcijas:</w:t>
            </w:r>
          </w:p>
          <w:p w14:paraId="032CA1A8" w14:textId="77777777" w:rsidR="00E947E3" w:rsidRPr="00BC0E64" w:rsidRDefault="00E947E3" w:rsidP="00592DD3">
            <w:pPr>
              <w:rPr>
                <w:lang w:val="de-DE"/>
              </w:rPr>
            </w:pPr>
            <w:r w:rsidRPr="00BC0E64">
              <w:t>1. Toksikoloģijas priekšmets, tās pamatprincipi. Ķīmisko vielu klasifikācija. L2, Pd</w:t>
            </w:r>
            <w:r>
              <w:t>3</w:t>
            </w:r>
          </w:p>
          <w:p w14:paraId="62424E38" w14:textId="77777777" w:rsidR="00E947E3" w:rsidRPr="00BC0E64" w:rsidRDefault="00E947E3" w:rsidP="00592DD3">
            <w:r w:rsidRPr="00BC0E64">
              <w:t>2. Vielu toksiskās iedarbības novērtēšanas pamatprincipi. Vielu akūtā un hroniskā toksiskuma novērtēšanas metodes. L2, Pd</w:t>
            </w:r>
            <w:r>
              <w:t>3</w:t>
            </w:r>
          </w:p>
          <w:p w14:paraId="24BFB049" w14:textId="77777777" w:rsidR="00E947E3" w:rsidRPr="00BC0E64" w:rsidRDefault="00E947E3" w:rsidP="00592DD3">
            <w:pPr>
              <w:rPr>
                <w:lang w:val="de-DE"/>
              </w:rPr>
            </w:pPr>
            <w:r w:rsidRPr="00BC0E64">
              <w:t xml:space="preserve">3. </w:t>
            </w:r>
            <w:proofErr w:type="spellStart"/>
            <w:r w:rsidRPr="00BC0E64">
              <w:rPr>
                <w:lang w:val="de-DE"/>
              </w:rPr>
              <w:t>Toksisko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faktoru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pētīšanas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metodoloģija</w:t>
            </w:r>
            <w:proofErr w:type="spellEnd"/>
            <w:r w:rsidRPr="00BC0E64">
              <w:rPr>
                <w:lang w:val="de-DE"/>
              </w:rPr>
              <w:t>.</w:t>
            </w:r>
            <w:r w:rsidRPr="00BC0E64">
              <w:t xml:space="preserve"> </w:t>
            </w:r>
            <w:proofErr w:type="spellStart"/>
            <w:r w:rsidRPr="00BC0E64">
              <w:t>Toksikokinētika</w:t>
            </w:r>
            <w:proofErr w:type="spellEnd"/>
            <w:r w:rsidRPr="00BC0E64">
              <w:t>.</w:t>
            </w:r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t>Toksikodinamika</w:t>
            </w:r>
            <w:proofErr w:type="spellEnd"/>
            <w:r w:rsidRPr="00BC0E64">
              <w:t>.</w:t>
            </w:r>
            <w:r w:rsidRPr="00BC0E64">
              <w:rPr>
                <w:lang w:val="de-DE"/>
              </w:rPr>
              <w:t xml:space="preserve"> </w:t>
            </w:r>
            <w:r w:rsidRPr="00BC0E64">
              <w:t>L2, Pd</w:t>
            </w:r>
            <w:r>
              <w:t>3</w:t>
            </w:r>
          </w:p>
          <w:p w14:paraId="68DAA740" w14:textId="77777777" w:rsidR="00E947E3" w:rsidRPr="00BC0E64" w:rsidRDefault="00E947E3" w:rsidP="00592DD3">
            <w:pPr>
              <w:rPr>
                <w:lang w:val="de-DE"/>
              </w:rPr>
            </w:pPr>
            <w:r w:rsidRPr="00BC0E64">
              <w:t>4. Toksisko vielu iedalījums pēc to iedarbības uz orgānu sistēmu. Vielu struktūras-aktivitātes sakarības. L2, Pd</w:t>
            </w:r>
            <w:r>
              <w:t>3</w:t>
            </w:r>
          </w:p>
          <w:p w14:paraId="274F2E13" w14:textId="77777777" w:rsidR="00E947E3" w:rsidRPr="00BC0E64" w:rsidRDefault="00E947E3" w:rsidP="00592DD3">
            <w:r w:rsidRPr="00BC0E64">
              <w:t xml:space="preserve">5. </w:t>
            </w:r>
            <w:proofErr w:type="spellStart"/>
            <w:r w:rsidRPr="00BC0E64">
              <w:t>Genotoksīnu</w:t>
            </w:r>
            <w:proofErr w:type="spellEnd"/>
            <w:r w:rsidRPr="00BC0E64">
              <w:t xml:space="preserve"> </w:t>
            </w:r>
            <w:proofErr w:type="spellStart"/>
            <w:r w:rsidRPr="00BC0E64">
              <w:t>petīšanas</w:t>
            </w:r>
            <w:proofErr w:type="spellEnd"/>
            <w:r w:rsidRPr="00BC0E64">
              <w:t xml:space="preserve"> vēsture. </w:t>
            </w:r>
            <w:proofErr w:type="spellStart"/>
            <w:r w:rsidRPr="00BC0E64">
              <w:t>Genotoksisku</w:t>
            </w:r>
            <w:proofErr w:type="spellEnd"/>
            <w:r w:rsidRPr="00BC0E64">
              <w:t xml:space="preserve"> faktoru raksturīgās un specifiskās īpašības. Dažas organismu reakcijas uz </w:t>
            </w:r>
            <w:proofErr w:type="spellStart"/>
            <w:r w:rsidRPr="00BC0E64">
              <w:t>genotoksīnu</w:t>
            </w:r>
            <w:proofErr w:type="spellEnd"/>
            <w:r w:rsidRPr="00BC0E64">
              <w:t xml:space="preserve"> iedarbību. L2, Pd</w:t>
            </w:r>
            <w:r>
              <w:t>3</w:t>
            </w:r>
          </w:p>
          <w:p w14:paraId="23A750FE" w14:textId="77777777" w:rsidR="00E947E3" w:rsidRPr="00BC0E64" w:rsidRDefault="00E947E3" w:rsidP="00592DD3">
            <w:r w:rsidRPr="00BC0E64">
              <w:t xml:space="preserve">6. </w:t>
            </w:r>
            <w:proofErr w:type="spellStart"/>
            <w:r w:rsidRPr="00BC0E64">
              <w:rPr>
                <w:lang w:val="de-DE"/>
              </w:rPr>
              <w:t>Kancerogēnās</w:t>
            </w:r>
            <w:proofErr w:type="spellEnd"/>
            <w:r w:rsidRPr="00BC0E64">
              <w:rPr>
                <w:lang w:val="de-DE"/>
              </w:rPr>
              <w:t xml:space="preserve">, </w:t>
            </w:r>
            <w:proofErr w:type="spellStart"/>
            <w:r w:rsidRPr="00BC0E64">
              <w:rPr>
                <w:lang w:val="de-DE"/>
              </w:rPr>
              <w:t>mutagēnās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un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teratogēnās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vielas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vidē</w:t>
            </w:r>
            <w:proofErr w:type="spellEnd"/>
            <w:r w:rsidRPr="00BC0E64">
              <w:rPr>
                <w:lang w:val="de-DE"/>
              </w:rPr>
              <w:t xml:space="preserve">. </w:t>
            </w:r>
            <w:proofErr w:type="spellStart"/>
            <w:r w:rsidRPr="00BC0E64">
              <w:rPr>
                <w:lang w:val="de-DE"/>
              </w:rPr>
              <w:t>Vielu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kancerogēnās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iedarbības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novērtēšanas</w:t>
            </w:r>
            <w:proofErr w:type="spellEnd"/>
            <w:r w:rsidRPr="00BC0E64">
              <w:rPr>
                <w:lang w:val="de-DE"/>
              </w:rPr>
              <w:t xml:space="preserve"> </w:t>
            </w:r>
            <w:proofErr w:type="spellStart"/>
            <w:r w:rsidRPr="00BC0E64">
              <w:rPr>
                <w:lang w:val="de-DE"/>
              </w:rPr>
              <w:t>metodes</w:t>
            </w:r>
            <w:proofErr w:type="spellEnd"/>
            <w:r w:rsidRPr="00BC0E64">
              <w:rPr>
                <w:lang w:val="de-DE"/>
              </w:rPr>
              <w:t>.</w:t>
            </w:r>
            <w:r w:rsidRPr="00BC0E64">
              <w:t xml:space="preserve"> L2, Pd</w:t>
            </w:r>
            <w:r>
              <w:t>3</w:t>
            </w:r>
          </w:p>
          <w:p w14:paraId="64DADBB1" w14:textId="77777777" w:rsidR="00E947E3" w:rsidRPr="00BC0E64" w:rsidRDefault="00E947E3" w:rsidP="00592DD3">
            <w:r w:rsidRPr="00BC0E64">
              <w:t xml:space="preserve">7. Endokrīno sistēmu degradējošās </w:t>
            </w:r>
            <w:proofErr w:type="spellStart"/>
            <w:r w:rsidRPr="00BC0E64">
              <w:t>vielas.Toksiskie</w:t>
            </w:r>
            <w:proofErr w:type="spellEnd"/>
            <w:r w:rsidRPr="00BC0E64">
              <w:t xml:space="preserve"> savienojumi rūpniecībā un lauksaimniecībā. Vides piesārņojuma bīstamības </w:t>
            </w:r>
            <w:proofErr w:type="spellStart"/>
            <w:r w:rsidRPr="00BC0E64">
              <w:t>vērtēsana</w:t>
            </w:r>
            <w:proofErr w:type="spellEnd"/>
            <w:r w:rsidRPr="00BC0E64">
              <w:t xml:space="preserve"> un dažādu vielu piesārņojuma sastāvdaļu ietekme uz veselību. L2, Pd</w:t>
            </w:r>
            <w:r>
              <w:t>3</w:t>
            </w:r>
          </w:p>
          <w:p w14:paraId="3B2AF0B7" w14:textId="77777777" w:rsidR="00E947E3" w:rsidRPr="00BC0E64" w:rsidRDefault="00E947E3" w:rsidP="00592DD3">
            <w:r w:rsidRPr="00BC0E64">
              <w:t xml:space="preserve">8. Riska faktoru novērtēšanas pamatprincipi. Toksisko vielu </w:t>
            </w:r>
            <w:proofErr w:type="spellStart"/>
            <w:r w:rsidRPr="00BC0E64">
              <w:t>biotransformācijas</w:t>
            </w:r>
            <w:proofErr w:type="spellEnd"/>
            <w:r w:rsidRPr="00BC0E64">
              <w:t xml:space="preserve"> procesi.</w:t>
            </w:r>
          </w:p>
          <w:p w14:paraId="79616708" w14:textId="77777777" w:rsidR="00E947E3" w:rsidRPr="00BC0E64" w:rsidRDefault="00E947E3" w:rsidP="00592DD3">
            <w:r w:rsidRPr="00BC0E64">
              <w:t>L2, Pd</w:t>
            </w:r>
            <w:r>
              <w:t>3</w:t>
            </w:r>
          </w:p>
          <w:p w14:paraId="28BA93D8" w14:textId="77777777" w:rsidR="00E947E3" w:rsidRDefault="00E947E3" w:rsidP="00592DD3"/>
          <w:p w14:paraId="18C69BB7" w14:textId="77777777" w:rsidR="00E947E3" w:rsidRPr="00BC0E64" w:rsidRDefault="00E947E3" w:rsidP="00592DD3">
            <w:r w:rsidRPr="00BC0E64">
              <w:t>Laboratorijas darbi:</w:t>
            </w:r>
          </w:p>
          <w:p w14:paraId="16507195" w14:textId="77777777" w:rsidR="00E947E3" w:rsidRPr="00670A33" w:rsidRDefault="00E947E3" w:rsidP="00592DD3">
            <w:r w:rsidRPr="00C75786">
              <w:t xml:space="preserve">1. </w:t>
            </w:r>
            <w:r w:rsidRPr="00670A33">
              <w:t>Toksisku vielu ie</w:t>
            </w:r>
            <w:r>
              <w:t>darbība</w:t>
            </w:r>
            <w:r w:rsidRPr="00670A33">
              <w:t xml:space="preserve"> uz fermentu aktivitāti</w:t>
            </w:r>
            <w:r w:rsidRPr="00670A33">
              <w:rPr>
                <w:lang w:val="de-DE"/>
              </w:rPr>
              <w:t>.</w:t>
            </w:r>
            <w:r w:rsidRPr="00670A33">
              <w:t xml:space="preserve"> L</w:t>
            </w:r>
            <w:r>
              <w:t>d4</w:t>
            </w:r>
            <w:r w:rsidRPr="00670A33">
              <w:t>, Pd</w:t>
            </w:r>
            <w:r>
              <w:t>6</w:t>
            </w:r>
          </w:p>
          <w:p w14:paraId="27221A27" w14:textId="77777777" w:rsidR="00E947E3" w:rsidRPr="00670A33" w:rsidRDefault="00E947E3" w:rsidP="00592DD3">
            <w:r w:rsidRPr="00670A33">
              <w:t xml:space="preserve">2. Smago metālu jonu un farmaceitisku preparātu ietekme uz </w:t>
            </w:r>
            <w:bookmarkStart w:id="3" w:name="OLE_LINK2"/>
            <w:bookmarkStart w:id="4" w:name="OLE_LINK1"/>
            <w:r w:rsidRPr="00670A33">
              <w:t>olbaltumviel</w:t>
            </w:r>
            <w:bookmarkEnd w:id="3"/>
            <w:bookmarkEnd w:id="4"/>
            <w:r w:rsidRPr="00670A33">
              <w:t>u īpašībām</w:t>
            </w:r>
            <w:r>
              <w:t xml:space="preserve">. </w:t>
            </w:r>
            <w:r w:rsidRPr="00670A33">
              <w:t>Ld4, Pd</w:t>
            </w:r>
            <w:r>
              <w:t>6</w:t>
            </w:r>
            <w:r w:rsidRPr="00670A33">
              <w:t xml:space="preserve"> </w:t>
            </w:r>
          </w:p>
          <w:p w14:paraId="62520669" w14:textId="77777777" w:rsidR="00E947E3" w:rsidRPr="00C75786" w:rsidRDefault="00E947E3" w:rsidP="00592DD3">
            <w:r>
              <w:t>3</w:t>
            </w:r>
            <w:r w:rsidRPr="00670A33">
              <w:t xml:space="preserve">. Vielu </w:t>
            </w:r>
            <w:proofErr w:type="spellStart"/>
            <w:r w:rsidRPr="00670A33">
              <w:t>citotoksiskuma</w:t>
            </w:r>
            <w:proofErr w:type="spellEnd"/>
            <w:r w:rsidRPr="00670A33">
              <w:t xml:space="preserve"> </w:t>
            </w:r>
            <w:proofErr w:type="spellStart"/>
            <w:r w:rsidRPr="00670A33">
              <w:t>novērtēsana</w:t>
            </w:r>
            <w:proofErr w:type="spellEnd"/>
            <w:r>
              <w:t>.</w:t>
            </w:r>
            <w:r w:rsidRPr="00670A33">
              <w:t xml:space="preserve"> Ld</w:t>
            </w:r>
            <w:r>
              <w:t>8</w:t>
            </w:r>
            <w:r w:rsidRPr="00670A33">
              <w:t>, Pd</w:t>
            </w:r>
            <w:r>
              <w:t>12</w:t>
            </w:r>
          </w:p>
          <w:p w14:paraId="7FCCC57B" w14:textId="77777777" w:rsidR="00E947E3" w:rsidRPr="0093308E" w:rsidRDefault="00E947E3" w:rsidP="00592DD3"/>
        </w:tc>
      </w:tr>
      <w:tr w:rsidR="00E947E3" w:rsidRPr="0093308E" w14:paraId="68F9F364" w14:textId="77777777" w:rsidTr="00592DD3">
        <w:tc>
          <w:tcPr>
            <w:tcW w:w="9039" w:type="dxa"/>
            <w:gridSpan w:val="2"/>
          </w:tcPr>
          <w:p w14:paraId="1CCFBFB3" w14:textId="77777777" w:rsidR="00E947E3" w:rsidRPr="0093308E" w:rsidRDefault="00E947E3" w:rsidP="00592DD3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947E3" w:rsidRPr="0093308E" w14:paraId="5F9C5D14" w14:textId="77777777" w:rsidTr="00592DD3">
        <w:tc>
          <w:tcPr>
            <w:tcW w:w="9039" w:type="dxa"/>
            <w:gridSpan w:val="2"/>
          </w:tcPr>
          <w:p w14:paraId="57FB3A77" w14:textId="77777777" w:rsidR="00E947E3" w:rsidRPr="008E4F51" w:rsidRDefault="00E947E3" w:rsidP="00592DD3">
            <w:r>
              <w:t xml:space="preserve"> 1</w:t>
            </w:r>
            <w:r w:rsidRPr="008E4F51">
              <w:t xml:space="preserve">. Kļaviņš M.  Toksiskās vielas vidē / Māris Kļaviņš, Andris </w:t>
            </w:r>
            <w:proofErr w:type="spellStart"/>
            <w:r w:rsidRPr="008E4F51">
              <w:t>Roska</w:t>
            </w:r>
            <w:proofErr w:type="spellEnd"/>
            <w:r w:rsidRPr="008E4F51">
              <w:t xml:space="preserve">. - Rīga: LU, 1998. - 161 lpp. </w:t>
            </w:r>
          </w:p>
          <w:p w14:paraId="5BFEB9BA" w14:textId="77777777" w:rsidR="00E947E3" w:rsidRPr="008E4F51" w:rsidRDefault="00E947E3" w:rsidP="00592DD3">
            <w:r>
              <w:t xml:space="preserve">2. </w:t>
            </w:r>
            <w:proofErr w:type="spellStart"/>
            <w:r w:rsidRPr="008E4F51">
              <w:t>Liguts</w:t>
            </w:r>
            <w:proofErr w:type="spellEnd"/>
            <w:r w:rsidRPr="008E4F51">
              <w:t xml:space="preserve"> V.  Toksikoloģijas rokasgrāmata / Viesturs </w:t>
            </w:r>
            <w:proofErr w:type="spellStart"/>
            <w:r w:rsidRPr="008E4F51">
              <w:t>Liguts</w:t>
            </w:r>
            <w:proofErr w:type="spellEnd"/>
            <w:r w:rsidRPr="008E4F51">
              <w:t xml:space="preserve">. - Rīga: Nacionālais medicīnas apgāds, </w:t>
            </w:r>
            <w:proofErr w:type="spellStart"/>
            <w:r w:rsidRPr="008E4F51">
              <w:t>B.g</w:t>
            </w:r>
            <w:proofErr w:type="spellEnd"/>
            <w:r w:rsidRPr="008E4F51">
              <w:t>. - 1070 lpp.</w:t>
            </w:r>
          </w:p>
          <w:p w14:paraId="5627EDE2" w14:textId="77777777" w:rsidR="00E947E3" w:rsidRPr="00EE588C" w:rsidRDefault="00E947E3" w:rsidP="00592DD3">
            <w:r>
              <w:t xml:space="preserve">3. </w:t>
            </w:r>
            <w:r w:rsidRPr="00EE588C">
              <w:t xml:space="preserve">An </w:t>
            </w:r>
            <w:proofErr w:type="spellStart"/>
            <w:r w:rsidRPr="00EE588C">
              <w:t>introduction</w:t>
            </w:r>
            <w:proofErr w:type="spellEnd"/>
            <w:r w:rsidRPr="00EE588C">
              <w:t xml:space="preserve"> to </w:t>
            </w:r>
            <w:proofErr w:type="spellStart"/>
            <w:r w:rsidRPr="00EE588C">
              <w:t>interdisciplinary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toxicology</w:t>
            </w:r>
            <w:proofErr w:type="spellEnd"/>
            <w:r w:rsidRPr="00EE588C">
              <w:t xml:space="preserve">: </w:t>
            </w:r>
            <w:proofErr w:type="spellStart"/>
            <w:r w:rsidRPr="00EE588C">
              <w:t>from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molecules</w:t>
            </w:r>
            <w:proofErr w:type="spellEnd"/>
            <w:r w:rsidRPr="00EE588C">
              <w:t xml:space="preserve"> to man/ </w:t>
            </w:r>
            <w:proofErr w:type="spellStart"/>
            <w:r w:rsidRPr="00EE588C">
              <w:t>edited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by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Carey</w:t>
            </w:r>
            <w:proofErr w:type="spellEnd"/>
            <w:r w:rsidRPr="00EE588C">
              <w:t xml:space="preserve"> N. Pope, </w:t>
            </w:r>
            <w:proofErr w:type="spellStart"/>
            <w:r w:rsidRPr="00EE588C">
              <w:t>Jing</w:t>
            </w:r>
            <w:proofErr w:type="spellEnd"/>
            <w:r w:rsidRPr="00EE588C">
              <w:t xml:space="preserve"> Liu. - </w:t>
            </w:r>
            <w:proofErr w:type="spellStart"/>
            <w:r w:rsidRPr="00EE588C">
              <w:t>Cambridge</w:t>
            </w:r>
            <w:proofErr w:type="spellEnd"/>
            <w:r w:rsidRPr="00EE588C">
              <w:t xml:space="preserve">: </w:t>
            </w:r>
            <w:proofErr w:type="spellStart"/>
            <w:r w:rsidRPr="00EE588C">
              <w:t>Academic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Press</w:t>
            </w:r>
            <w:proofErr w:type="spellEnd"/>
            <w:r w:rsidRPr="00EE588C">
              <w:t xml:space="preserve">; </w:t>
            </w:r>
            <w:proofErr w:type="spellStart"/>
            <w:r w:rsidRPr="00EE588C">
              <w:t>Elsevier</w:t>
            </w:r>
            <w:proofErr w:type="spellEnd"/>
            <w:r w:rsidRPr="00EE588C">
              <w:t xml:space="preserve">, 2020. -  624 p. </w:t>
            </w:r>
          </w:p>
          <w:p w14:paraId="54DDE4B9" w14:textId="77777777" w:rsidR="00E947E3" w:rsidRPr="0093308E" w:rsidRDefault="00E947E3" w:rsidP="00592DD3"/>
        </w:tc>
      </w:tr>
      <w:tr w:rsidR="00E947E3" w:rsidRPr="0093308E" w14:paraId="33144DD7" w14:textId="77777777" w:rsidTr="00592DD3">
        <w:tc>
          <w:tcPr>
            <w:tcW w:w="9039" w:type="dxa"/>
            <w:gridSpan w:val="2"/>
          </w:tcPr>
          <w:p w14:paraId="0CABBA3C" w14:textId="77777777" w:rsidR="00E947E3" w:rsidRPr="0093308E" w:rsidRDefault="00E947E3" w:rsidP="00592DD3">
            <w:pPr>
              <w:pStyle w:val="Nosaukumi"/>
            </w:pPr>
            <w:r w:rsidRPr="0093308E">
              <w:t>Papildus informācijas avoti</w:t>
            </w:r>
          </w:p>
        </w:tc>
      </w:tr>
      <w:tr w:rsidR="00E947E3" w:rsidRPr="0093308E" w14:paraId="686C7E9E" w14:textId="77777777" w:rsidTr="00592DD3">
        <w:tc>
          <w:tcPr>
            <w:tcW w:w="9039" w:type="dxa"/>
            <w:gridSpan w:val="2"/>
          </w:tcPr>
          <w:p w14:paraId="2CFAF3DE" w14:textId="77777777" w:rsidR="00E947E3" w:rsidRPr="00EE588C" w:rsidRDefault="00E947E3" w:rsidP="00592DD3">
            <w:r>
              <w:t xml:space="preserve">1. </w:t>
            </w:r>
            <w:proofErr w:type="spellStart"/>
            <w:r w:rsidRPr="00EE588C">
              <w:t>Papsujevičs</w:t>
            </w:r>
            <w:proofErr w:type="spellEnd"/>
            <w:r w:rsidRPr="00EE588C">
              <w:t xml:space="preserve"> O.  Zāļu vielas un indes / Oļegs </w:t>
            </w:r>
            <w:proofErr w:type="spellStart"/>
            <w:r w:rsidRPr="00EE588C">
              <w:t>Papsujevičs</w:t>
            </w:r>
            <w:proofErr w:type="spellEnd"/>
            <w:r w:rsidRPr="00EE588C">
              <w:t xml:space="preserve">. - Daugavpils : DU Latgales Pētniecības institūta izdevniecība, 2008. - 624 lpp. </w:t>
            </w:r>
          </w:p>
          <w:p w14:paraId="326A5F6B" w14:textId="77777777" w:rsidR="00E947E3" w:rsidRPr="00EE588C" w:rsidRDefault="00E947E3" w:rsidP="00592DD3">
            <w:r>
              <w:t xml:space="preserve">2. </w:t>
            </w:r>
            <w:proofErr w:type="spellStart"/>
            <w:r w:rsidRPr="00EE588C">
              <w:t>Manahan</w:t>
            </w:r>
            <w:proofErr w:type="spellEnd"/>
            <w:r w:rsidRPr="00EE588C">
              <w:t xml:space="preserve"> S. E.  </w:t>
            </w:r>
            <w:proofErr w:type="spellStart"/>
            <w:r w:rsidRPr="00EE588C">
              <w:t>Fundamentals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of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environmental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and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toxicological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chemistry</w:t>
            </w:r>
            <w:proofErr w:type="spellEnd"/>
            <w:r w:rsidRPr="00EE588C">
              <w:t xml:space="preserve">: </w:t>
            </w:r>
            <w:proofErr w:type="spellStart"/>
            <w:r w:rsidRPr="00EE588C">
              <w:t>sustainable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science</w:t>
            </w:r>
            <w:proofErr w:type="spellEnd"/>
            <w:r w:rsidRPr="00EE588C">
              <w:t xml:space="preserve"> / </w:t>
            </w:r>
            <w:proofErr w:type="spellStart"/>
            <w:r w:rsidRPr="00EE588C">
              <w:t>Stanley</w:t>
            </w:r>
            <w:proofErr w:type="spellEnd"/>
            <w:r w:rsidRPr="00EE588C">
              <w:t xml:space="preserve"> E. </w:t>
            </w:r>
            <w:proofErr w:type="spellStart"/>
            <w:r w:rsidRPr="00EE588C">
              <w:t>Manahan</w:t>
            </w:r>
            <w:proofErr w:type="spellEnd"/>
            <w:r w:rsidRPr="00EE588C">
              <w:t xml:space="preserve">. - 4th </w:t>
            </w:r>
            <w:proofErr w:type="spellStart"/>
            <w:r w:rsidRPr="00EE588C">
              <w:t>edition</w:t>
            </w:r>
            <w:proofErr w:type="spellEnd"/>
            <w:r w:rsidRPr="00EE588C">
              <w:t xml:space="preserve">. - </w:t>
            </w:r>
            <w:proofErr w:type="spellStart"/>
            <w:r w:rsidRPr="00EE588C">
              <w:t>Boca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Raton</w:t>
            </w:r>
            <w:proofErr w:type="spellEnd"/>
            <w:r w:rsidRPr="00EE588C">
              <w:t xml:space="preserve">: CRC </w:t>
            </w:r>
            <w:proofErr w:type="spellStart"/>
            <w:r w:rsidRPr="00EE588C">
              <w:t>Press</w:t>
            </w:r>
            <w:proofErr w:type="spellEnd"/>
            <w:r w:rsidRPr="00EE588C">
              <w:t>/</w:t>
            </w:r>
            <w:proofErr w:type="spellStart"/>
            <w:r w:rsidRPr="00EE588C">
              <w:t>Taylor</w:t>
            </w:r>
            <w:proofErr w:type="spellEnd"/>
            <w:r w:rsidRPr="00EE588C">
              <w:t xml:space="preserve"> &amp; Francis </w:t>
            </w:r>
            <w:proofErr w:type="spellStart"/>
            <w:r w:rsidRPr="00EE588C">
              <w:t>Group</w:t>
            </w:r>
            <w:proofErr w:type="spellEnd"/>
            <w:r w:rsidRPr="00EE588C">
              <w:t xml:space="preserve">, 2013. - 590 </w:t>
            </w:r>
            <w:proofErr w:type="spellStart"/>
            <w:r w:rsidRPr="00EE588C">
              <w:t>lpp</w:t>
            </w:r>
            <w:proofErr w:type="spellEnd"/>
            <w:r w:rsidRPr="00EE588C">
              <w:t xml:space="preserve"> .</w:t>
            </w:r>
          </w:p>
          <w:p w14:paraId="35DB688F" w14:textId="77777777" w:rsidR="00E947E3" w:rsidRPr="005402D4" w:rsidRDefault="00E947E3" w:rsidP="00592DD3">
            <w:r>
              <w:t xml:space="preserve">3. </w:t>
            </w:r>
            <w:proofErr w:type="spellStart"/>
            <w:r w:rsidRPr="00EE588C">
              <w:t>Principles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of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Toxicology</w:t>
            </w:r>
            <w:proofErr w:type="spellEnd"/>
            <w:r>
              <w:t xml:space="preserve"> </w:t>
            </w:r>
            <w:r w:rsidRPr="00EE588C">
              <w:t xml:space="preserve">: </w:t>
            </w:r>
            <w:proofErr w:type="spellStart"/>
            <w:r w:rsidRPr="00EE588C">
              <w:t>Environmental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and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Industrial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Applications</w:t>
            </w:r>
            <w:proofErr w:type="spellEnd"/>
            <w:r w:rsidRPr="00EE588C">
              <w:t xml:space="preserve"> / Ed.by </w:t>
            </w:r>
            <w:proofErr w:type="spellStart"/>
            <w:r w:rsidRPr="00EE588C">
              <w:t>Phillip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L.Williams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et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al</w:t>
            </w:r>
            <w:proofErr w:type="spellEnd"/>
            <w:r w:rsidRPr="00EE588C">
              <w:t xml:space="preserve">. - 2nd </w:t>
            </w:r>
            <w:proofErr w:type="spellStart"/>
            <w:r w:rsidRPr="00EE588C">
              <w:t>ed</w:t>
            </w:r>
            <w:proofErr w:type="spellEnd"/>
            <w:r w:rsidRPr="00EE588C">
              <w:t xml:space="preserve">. - </w:t>
            </w:r>
            <w:proofErr w:type="spellStart"/>
            <w:r w:rsidRPr="00EE588C">
              <w:t>New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York</w:t>
            </w:r>
            <w:proofErr w:type="spellEnd"/>
            <w:r w:rsidRPr="00EE588C">
              <w:t xml:space="preserve"> : </w:t>
            </w:r>
            <w:proofErr w:type="spellStart"/>
            <w:r w:rsidRPr="00EE588C">
              <w:t>John</w:t>
            </w:r>
            <w:proofErr w:type="spellEnd"/>
            <w:r w:rsidRPr="00EE588C">
              <w:t xml:space="preserve"> </w:t>
            </w:r>
            <w:proofErr w:type="spellStart"/>
            <w:r w:rsidRPr="00EE588C">
              <w:t>Wiley</w:t>
            </w:r>
            <w:proofErr w:type="spellEnd"/>
            <w:r w:rsidRPr="00EE588C">
              <w:t xml:space="preserve"> &amp; </w:t>
            </w:r>
            <w:proofErr w:type="spellStart"/>
            <w:r w:rsidRPr="00EE588C">
              <w:t>Sons,INC</w:t>
            </w:r>
            <w:proofErr w:type="spellEnd"/>
            <w:r w:rsidRPr="00EE588C">
              <w:t xml:space="preserve">, 2000. - 603 p. </w:t>
            </w:r>
          </w:p>
          <w:p w14:paraId="3D4703E0" w14:textId="77777777" w:rsidR="00E947E3" w:rsidRPr="0093308E" w:rsidRDefault="00E947E3" w:rsidP="00592DD3"/>
        </w:tc>
      </w:tr>
      <w:tr w:rsidR="00E947E3" w:rsidRPr="0093308E" w14:paraId="7BFE8A4D" w14:textId="77777777" w:rsidTr="00592DD3">
        <w:tc>
          <w:tcPr>
            <w:tcW w:w="9039" w:type="dxa"/>
            <w:gridSpan w:val="2"/>
          </w:tcPr>
          <w:p w14:paraId="25424FDD" w14:textId="77777777" w:rsidR="00E947E3" w:rsidRPr="0093308E" w:rsidRDefault="00E947E3" w:rsidP="00592DD3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947E3" w:rsidRPr="0093308E" w14:paraId="2CDBD280" w14:textId="77777777" w:rsidTr="00592DD3">
        <w:tc>
          <w:tcPr>
            <w:tcW w:w="9039" w:type="dxa"/>
            <w:gridSpan w:val="2"/>
          </w:tcPr>
          <w:p w14:paraId="6F0CB4F0" w14:textId="1F31B5F5" w:rsidR="00E947E3" w:rsidRPr="00A5294B" w:rsidRDefault="00E947E3" w:rsidP="00592DD3">
            <w:bookmarkStart w:id="5" w:name="_GoBack"/>
            <w:r w:rsidRPr="00A5294B">
              <w:t>1.</w:t>
            </w:r>
            <w:r w:rsidRPr="00A5294B">
              <w:rPr>
                <w:sz w:val="22"/>
                <w:szCs w:val="22"/>
              </w:rPr>
              <w:t xml:space="preserve"> </w:t>
            </w:r>
            <w:r w:rsidRPr="00A5294B">
              <w:t>LR likumi un MK noteikumi </w:t>
            </w:r>
            <w:r w:rsidRPr="00A5294B">
              <w:br/>
              <w:t xml:space="preserve">2. </w:t>
            </w:r>
            <w:r w:rsidR="00F93A02" w:rsidRPr="00A5294B">
              <w:t xml:space="preserve">Specifiskās </w:t>
            </w:r>
            <w:r w:rsidRPr="00A5294B">
              <w:t>datu bāzes (TOXNET u.c.).</w:t>
            </w:r>
          </w:p>
          <w:p w14:paraId="55865CE3" w14:textId="01B8A04D" w:rsidR="00E947E3" w:rsidRPr="00A5294B" w:rsidRDefault="00E947E3" w:rsidP="00592DD3">
            <w:r w:rsidRPr="00A5294B">
              <w:t xml:space="preserve">3. </w:t>
            </w:r>
            <w:r w:rsidR="00F93A02" w:rsidRPr="00A5294B">
              <w:t xml:space="preserve">Žurnāls </w:t>
            </w:r>
            <w:proofErr w:type="spellStart"/>
            <w:r w:rsidRPr="00A5294B">
              <w:t>Archives</w:t>
            </w:r>
            <w:proofErr w:type="spellEnd"/>
            <w:r w:rsidRPr="00A5294B">
              <w:t xml:space="preserve"> </w:t>
            </w:r>
            <w:proofErr w:type="spellStart"/>
            <w:r w:rsidRPr="00A5294B">
              <w:t>of</w:t>
            </w:r>
            <w:proofErr w:type="spellEnd"/>
            <w:r w:rsidRPr="00A5294B">
              <w:t xml:space="preserve"> </w:t>
            </w:r>
            <w:proofErr w:type="spellStart"/>
            <w:r w:rsidRPr="00A5294B">
              <w:t>Toxicology</w:t>
            </w:r>
            <w:proofErr w:type="spellEnd"/>
            <w:r w:rsidRPr="00A5294B">
              <w:t xml:space="preserve"> </w:t>
            </w:r>
            <w:hyperlink r:id="rId6" w:history="1">
              <w:r w:rsidRPr="00A5294B">
                <w:rPr>
                  <w:rStyle w:val="Hyperlink"/>
                </w:rPr>
                <w:t>https://www.springer.com/journal/204/</w:t>
              </w:r>
            </w:hyperlink>
            <w:r w:rsidR="00F93A02" w:rsidRPr="00A5294B">
              <w:rPr>
                <w:rStyle w:val="Hyperlink"/>
              </w:rPr>
              <w:t xml:space="preserve"> </w:t>
            </w:r>
            <w:r w:rsidR="00F93A02" w:rsidRPr="00A5294B">
              <w:rPr>
                <w:rStyle w:val="Hyperlink"/>
                <w:color w:val="auto"/>
              </w:rPr>
              <w:t>(</w:t>
            </w:r>
            <w:proofErr w:type="spellStart"/>
            <w:r w:rsidR="00F93A02" w:rsidRPr="00A5294B">
              <w:rPr>
                <w:rStyle w:val="Hyperlink"/>
                <w:color w:val="auto"/>
              </w:rPr>
              <w:t>Springer</w:t>
            </w:r>
            <w:proofErr w:type="spellEnd"/>
            <w:r w:rsidR="00F93A02" w:rsidRPr="00A5294B">
              <w:rPr>
                <w:rStyle w:val="Hyperlink"/>
                <w:color w:val="auto"/>
              </w:rPr>
              <w:t>)</w:t>
            </w:r>
          </w:p>
          <w:p w14:paraId="1EA65A7E" w14:textId="5E3AEC4B" w:rsidR="00E947E3" w:rsidRPr="00A5294B" w:rsidRDefault="00E947E3" w:rsidP="00592DD3">
            <w:r w:rsidRPr="00A5294B">
              <w:lastRenderedPageBreak/>
              <w:t xml:space="preserve">4. </w:t>
            </w:r>
            <w:r w:rsidR="00F93A02" w:rsidRPr="00A5294B">
              <w:t xml:space="preserve">Žurnāls </w:t>
            </w:r>
            <w:proofErr w:type="spellStart"/>
            <w:r w:rsidRPr="00A5294B">
              <w:t>Toxicological</w:t>
            </w:r>
            <w:proofErr w:type="spellEnd"/>
            <w:r w:rsidRPr="00A5294B">
              <w:t xml:space="preserve"> </w:t>
            </w:r>
            <w:proofErr w:type="spellStart"/>
            <w:r w:rsidRPr="00A5294B">
              <w:t>and</w:t>
            </w:r>
            <w:proofErr w:type="spellEnd"/>
            <w:r w:rsidRPr="00A5294B">
              <w:t xml:space="preserve"> </w:t>
            </w:r>
            <w:proofErr w:type="spellStart"/>
            <w:r w:rsidRPr="00A5294B">
              <w:t>Environmental</w:t>
            </w:r>
            <w:proofErr w:type="spellEnd"/>
            <w:r w:rsidRPr="00A5294B">
              <w:t xml:space="preserve"> </w:t>
            </w:r>
            <w:proofErr w:type="spellStart"/>
            <w:r w:rsidRPr="00A5294B">
              <w:t>Chemistry</w:t>
            </w:r>
            <w:proofErr w:type="spellEnd"/>
            <w:r w:rsidRPr="00A5294B">
              <w:t xml:space="preserve"> </w:t>
            </w:r>
            <w:hyperlink r:id="rId7" w:history="1">
              <w:r w:rsidRPr="00A5294B">
                <w:rPr>
                  <w:rStyle w:val="Hyperlink"/>
                </w:rPr>
                <w:t>https://www.tandfonline.com/journals/gtec20</w:t>
              </w:r>
            </w:hyperlink>
            <w:r w:rsidR="00F93A02" w:rsidRPr="00A5294B">
              <w:rPr>
                <w:rStyle w:val="Hyperlink"/>
                <w:color w:val="auto"/>
              </w:rPr>
              <w:t xml:space="preserve"> (</w:t>
            </w:r>
            <w:proofErr w:type="spellStart"/>
            <w:r w:rsidR="00F93A02" w:rsidRPr="00A5294B">
              <w:rPr>
                <w:rStyle w:val="Hyperlink"/>
                <w:color w:val="auto"/>
              </w:rPr>
              <w:t>Taylor</w:t>
            </w:r>
            <w:proofErr w:type="spellEnd"/>
            <w:r w:rsidR="00F93A02" w:rsidRPr="00A5294B">
              <w:rPr>
                <w:rStyle w:val="Hyperlink"/>
                <w:color w:val="auto"/>
              </w:rPr>
              <w:t xml:space="preserve"> &amp; Francis, </w:t>
            </w:r>
            <w:proofErr w:type="spellStart"/>
            <w:r w:rsidR="00F93A02" w:rsidRPr="00A5294B">
              <w:rPr>
                <w:rStyle w:val="Hyperlink"/>
                <w:color w:val="auto"/>
              </w:rPr>
              <w:t>Open</w:t>
            </w:r>
            <w:proofErr w:type="spellEnd"/>
            <w:r w:rsidR="00F93A02" w:rsidRPr="00A5294B">
              <w:rPr>
                <w:rStyle w:val="Hyperlink"/>
                <w:color w:val="auto"/>
              </w:rPr>
              <w:t xml:space="preserve"> Access)</w:t>
            </w:r>
          </w:p>
          <w:p w14:paraId="6EEA4812" w14:textId="77777777" w:rsidR="00E947E3" w:rsidRPr="0093308E" w:rsidRDefault="00E947E3" w:rsidP="00592DD3">
            <w:r w:rsidRPr="00A5294B">
              <w:t xml:space="preserve">5. DU abonētās datubāzes </w:t>
            </w:r>
            <w:proofErr w:type="spellStart"/>
            <w:r w:rsidRPr="00A5294B">
              <w:t>ScienceDirect</w:t>
            </w:r>
            <w:proofErr w:type="spellEnd"/>
            <w:r w:rsidRPr="00A5294B">
              <w:t xml:space="preserve">, </w:t>
            </w:r>
            <w:proofErr w:type="spellStart"/>
            <w:r w:rsidRPr="00A5294B">
              <w:t>Scopus</w:t>
            </w:r>
            <w:proofErr w:type="spellEnd"/>
            <w:r>
              <w:t xml:space="preserve"> </w:t>
            </w:r>
            <w:bookmarkEnd w:id="5"/>
          </w:p>
        </w:tc>
      </w:tr>
      <w:tr w:rsidR="00E947E3" w:rsidRPr="0093308E" w14:paraId="6674F1F3" w14:textId="77777777" w:rsidTr="00592DD3">
        <w:tc>
          <w:tcPr>
            <w:tcW w:w="9039" w:type="dxa"/>
            <w:gridSpan w:val="2"/>
          </w:tcPr>
          <w:p w14:paraId="08274B00" w14:textId="77777777" w:rsidR="00E947E3" w:rsidRPr="0093308E" w:rsidRDefault="00E947E3" w:rsidP="00592DD3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947E3" w:rsidRPr="0093308E" w14:paraId="213776B8" w14:textId="77777777" w:rsidTr="00592DD3">
        <w:tc>
          <w:tcPr>
            <w:tcW w:w="9039" w:type="dxa"/>
            <w:gridSpan w:val="2"/>
          </w:tcPr>
          <w:p w14:paraId="2F72E4E6" w14:textId="77777777" w:rsidR="00E947E3" w:rsidRPr="003B5146" w:rsidRDefault="00E947E3" w:rsidP="00592DD3">
            <w:r w:rsidRPr="00CA4847">
              <w:t>Akadēmiskās maģistra</w:t>
            </w:r>
            <w:r w:rsidRPr="003B5146">
              <w:t xml:space="preserve"> studiju programmas “Ķīmija” studiju kurss. A daļa.</w:t>
            </w:r>
          </w:p>
          <w:p w14:paraId="65C41B6D" w14:textId="77777777" w:rsidR="00E947E3" w:rsidRPr="003B5146" w:rsidRDefault="00E947E3" w:rsidP="00592DD3"/>
          <w:p w14:paraId="2F5D1691" w14:textId="77777777" w:rsidR="00E947E3" w:rsidRPr="0093308E" w:rsidRDefault="00E947E3" w:rsidP="00592DD3">
            <w:r w:rsidRPr="00CA4847">
              <w:t>Kurss tiek docēts latviešu valodā.</w:t>
            </w:r>
          </w:p>
        </w:tc>
      </w:tr>
    </w:tbl>
    <w:p w14:paraId="67D2339A" w14:textId="77777777" w:rsidR="00E947E3" w:rsidRPr="00E13AEA" w:rsidRDefault="00E947E3" w:rsidP="00E947E3"/>
    <w:p w14:paraId="3EFFA476" w14:textId="77777777" w:rsidR="00175273" w:rsidRDefault="00175273"/>
    <w:sectPr w:rsidR="00175273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EDE29" w14:textId="77777777" w:rsidR="001A3936" w:rsidRDefault="001A3936">
      <w:r>
        <w:separator/>
      </w:r>
    </w:p>
  </w:endnote>
  <w:endnote w:type="continuationSeparator" w:id="0">
    <w:p w14:paraId="0C03B72A" w14:textId="77777777" w:rsidR="001A3936" w:rsidRDefault="001A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CD1DE9" w14:textId="77777777" w:rsidR="0020364B" w:rsidRDefault="001A393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0133A2" w14:textId="77777777" w:rsidR="0020364B" w:rsidRDefault="0020364B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7E24C" w14:textId="77777777" w:rsidR="001A3936" w:rsidRDefault="001A3936">
      <w:r>
        <w:separator/>
      </w:r>
    </w:p>
  </w:footnote>
  <w:footnote w:type="continuationSeparator" w:id="0">
    <w:p w14:paraId="4DD3BBFF" w14:textId="77777777" w:rsidR="001A3936" w:rsidRDefault="001A3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29515" w14:textId="77777777" w:rsidR="0020364B" w:rsidRDefault="0020364B" w:rsidP="007534EA">
    <w:pPr>
      <w:pStyle w:val="Header"/>
    </w:pPr>
  </w:p>
  <w:p w14:paraId="11EDFCF4" w14:textId="77777777" w:rsidR="0020364B" w:rsidRPr="007B1FB4" w:rsidRDefault="0020364B" w:rsidP="007534EA">
    <w:pPr>
      <w:pStyle w:val="Header"/>
    </w:pPr>
  </w:p>
  <w:p w14:paraId="720DEA90" w14:textId="77777777" w:rsidR="0020364B" w:rsidRPr="00D66CC2" w:rsidRDefault="0020364B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74"/>
    <w:rsid w:val="00175273"/>
    <w:rsid w:val="001A3936"/>
    <w:rsid w:val="0020364B"/>
    <w:rsid w:val="00540B74"/>
    <w:rsid w:val="006F784C"/>
    <w:rsid w:val="00A5294B"/>
    <w:rsid w:val="00E947E3"/>
    <w:rsid w:val="00F9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906CCD"/>
  <w15:chartTrackingRefBased/>
  <w15:docId w15:val="{ED0D1E6C-94FB-4046-B6A8-4B7EF4B7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47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7E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47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47E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7E3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E947E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947E3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customStyle="1" w:styleId="Nosaukumi">
    <w:name w:val="Nosaukumi"/>
    <w:basedOn w:val="Normal"/>
    <w:qFormat/>
    <w:rsid w:val="00E947E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947E3"/>
    <w:rPr>
      <w:i/>
      <w:i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F93A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tandfonline.com/journals/gtec2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pringer.com/journal/204/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869D10041B84D5AA82802B388CFD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9745D-31AF-438C-B44A-4B1C6DDE7E03}"/>
      </w:docPartPr>
      <w:docPartBody>
        <w:p w:rsidR="004F63A4" w:rsidRDefault="008E033E" w:rsidP="008E033E">
          <w:pPr>
            <w:pStyle w:val="C869D10041B84D5AA82802B388CFD6E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33E"/>
    <w:rsid w:val="001C781D"/>
    <w:rsid w:val="004F63A4"/>
    <w:rsid w:val="008E033E"/>
    <w:rsid w:val="0096791E"/>
    <w:rsid w:val="00E4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033E"/>
    <w:rPr>
      <w:color w:val="808080"/>
    </w:rPr>
  </w:style>
  <w:style w:type="paragraph" w:customStyle="1" w:styleId="C869D10041B84D5AA82802B388CFD6E3">
    <w:name w:val="C869D10041B84D5AA82802B388CFD6E3"/>
    <w:rsid w:val="008E03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6379</Words>
  <Characters>3637</Characters>
  <Application>Microsoft Office Word</Application>
  <DocSecurity>0</DocSecurity>
  <Lines>30</Lines>
  <Paragraphs>19</Paragraphs>
  <ScaleCrop>false</ScaleCrop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6</cp:revision>
  <dcterms:created xsi:type="dcterms:W3CDTF">2023-12-13T13:32:00Z</dcterms:created>
  <dcterms:modified xsi:type="dcterms:W3CDTF">2023-12-14T14:52:00Z</dcterms:modified>
</cp:coreProperties>
</file>