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9AEBF8" w14:textId="082DA087" w:rsidR="00B75270" w:rsidRPr="00006E87" w:rsidRDefault="00B75270" w:rsidP="00EA3120">
      <w:pPr>
        <w:pStyle w:val="Heading2"/>
        <w:rPr>
          <w:rFonts w:cs="Times New Roman"/>
          <w:lang w:val="lv-LV"/>
        </w:rPr>
      </w:pPr>
      <w:bookmarkStart w:id="0" w:name="_Toc21643630"/>
      <w:r w:rsidRPr="00006E87">
        <w:rPr>
          <w:rStyle w:val="Noklusjumarindkopasfonts1"/>
          <w:rFonts w:cs="Times New Roman"/>
          <w:color w:val="FFFFFF" w:themeColor="background1"/>
          <w:sz w:val="2"/>
          <w:szCs w:val="2"/>
          <w:lang w:val="lv-LV"/>
        </w:rPr>
        <w:t>pīgajai studiju programmai noteiktajām prasī</w:t>
      </w:r>
      <w:bookmarkEnd w:id="0"/>
    </w:p>
    <w:p w14:paraId="1D5B56DF" w14:textId="77777777" w:rsidR="00B75270" w:rsidRPr="00006E87" w:rsidRDefault="002D32BE" w:rsidP="00F3343D">
      <w:pPr>
        <w:pStyle w:val="NoSpacing"/>
        <w:ind w:left="-567"/>
        <w:contextualSpacing/>
        <w:jc w:val="center"/>
        <w:rPr>
          <w:rStyle w:val="Noklusjumarindkopasfonts1"/>
          <w:b/>
        </w:rPr>
      </w:pPr>
      <w:r w:rsidRPr="00006E87">
        <w:rPr>
          <w:rStyle w:val="Noklusjumarindkopasfonts1"/>
          <w:b/>
        </w:rPr>
        <w:t xml:space="preserve">KDSP “Izglītības zinātnes” </w:t>
      </w:r>
      <w:r w:rsidR="00B75270" w:rsidRPr="00006E87">
        <w:rPr>
          <w:rStyle w:val="Noklusjumarindkopasfonts1"/>
          <w:b/>
        </w:rPr>
        <w:t xml:space="preserve">atbilstība kopīgajai studiju programmai noteiktajām prasībām (Augstskolu likuma </w:t>
      </w:r>
      <w:hyperlink r:id="rId7" w:anchor="p55.1" w:history="1">
        <w:r w:rsidR="00B75270" w:rsidRPr="00006E87">
          <w:rPr>
            <w:rStyle w:val="Noklusjumarindkopasfonts1"/>
            <w:b/>
          </w:rPr>
          <w:t>55.</w:t>
        </w:r>
        <w:r w:rsidR="00B75270" w:rsidRPr="00006E87">
          <w:rPr>
            <w:rStyle w:val="Noklusjumarindkopasfonts1"/>
            <w:b/>
            <w:vertAlign w:val="superscript"/>
          </w:rPr>
          <w:t>1</w:t>
        </w:r>
        <w:r w:rsidR="00B75270" w:rsidRPr="00006E87">
          <w:rPr>
            <w:rStyle w:val="Noklusjumarindkopasfonts1"/>
            <w:b/>
          </w:rPr>
          <w:t xml:space="preserve"> pants</w:t>
        </w:r>
      </w:hyperlink>
      <w:r w:rsidR="00B75270" w:rsidRPr="00006E87">
        <w:rPr>
          <w:rStyle w:val="Noklusjumarindkopasfonts1"/>
          <w:b/>
        </w:rPr>
        <w:t>)</w:t>
      </w:r>
    </w:p>
    <w:p w14:paraId="54207151" w14:textId="77777777" w:rsidR="00B75270" w:rsidRPr="00006E87" w:rsidRDefault="00B75270" w:rsidP="00B75270">
      <w:pPr>
        <w:pStyle w:val="NoSpacing"/>
        <w:contextualSpacing/>
        <w:rPr>
          <w:b/>
        </w:rPr>
      </w:pPr>
    </w:p>
    <w:tbl>
      <w:tblPr>
        <w:tblW w:w="9923" w:type="dxa"/>
        <w:tblInd w:w="-572" w:type="dxa"/>
        <w:tblLayout w:type="fixed"/>
        <w:tblCellMar>
          <w:left w:w="10" w:type="dxa"/>
          <w:right w:w="10" w:type="dxa"/>
        </w:tblCellMar>
        <w:tblLook w:val="04A0" w:firstRow="1" w:lastRow="0" w:firstColumn="1" w:lastColumn="0" w:noHBand="0" w:noVBand="1"/>
      </w:tblPr>
      <w:tblGrid>
        <w:gridCol w:w="851"/>
        <w:gridCol w:w="3685"/>
        <w:gridCol w:w="5387"/>
      </w:tblGrid>
      <w:tr w:rsidR="00B75270" w:rsidRPr="00006E87" w14:paraId="0CC2DC47" w14:textId="77777777" w:rsidTr="00B33F73">
        <w:trPr>
          <w:trHeight w:val="404"/>
          <w:tblHeader/>
        </w:trPr>
        <w:tc>
          <w:tcPr>
            <w:tcW w:w="851" w:type="dxa"/>
            <w:tcBorders>
              <w:top w:val="single" w:sz="4" w:space="0" w:color="000000"/>
              <w:left w:val="single" w:sz="4" w:space="0" w:color="000000"/>
              <w:bottom w:val="single" w:sz="4" w:space="0" w:color="000000"/>
              <w:right w:val="single" w:sz="4" w:space="0" w:color="000000"/>
            </w:tcBorders>
            <w:shd w:val="clear" w:color="auto" w:fill="B4C6E7" w:themeFill="accent5" w:themeFillTint="66"/>
            <w:tcMar>
              <w:top w:w="0" w:type="dxa"/>
              <w:left w:w="108" w:type="dxa"/>
              <w:bottom w:w="0" w:type="dxa"/>
              <w:right w:w="108" w:type="dxa"/>
            </w:tcMar>
            <w:vAlign w:val="center"/>
          </w:tcPr>
          <w:p w14:paraId="7BA81520" w14:textId="77777777" w:rsidR="00B75270" w:rsidRPr="00006E87" w:rsidRDefault="00B75270" w:rsidP="00877A61">
            <w:pPr>
              <w:pStyle w:val="Parasts1"/>
              <w:spacing w:after="0"/>
              <w:contextualSpacing/>
              <w:jc w:val="center"/>
              <w:textAlignment w:val="auto"/>
              <w:rPr>
                <w:sz w:val="20"/>
                <w:szCs w:val="20"/>
                <w:lang w:val="lv-LV"/>
              </w:rPr>
            </w:pPr>
            <w:proofErr w:type="spellStart"/>
            <w:r w:rsidRPr="00006E87">
              <w:rPr>
                <w:rStyle w:val="Noklusjumarindkopasfonts1"/>
                <w:b/>
                <w:sz w:val="20"/>
                <w:szCs w:val="20"/>
                <w:lang w:val="lv-LV"/>
              </w:rPr>
              <w:t>Nr.p.k</w:t>
            </w:r>
            <w:proofErr w:type="spellEnd"/>
            <w:r w:rsidRPr="00006E87">
              <w:rPr>
                <w:rStyle w:val="Noklusjumarindkopasfonts1"/>
                <w:b/>
                <w:sz w:val="20"/>
                <w:szCs w:val="20"/>
                <w:lang w:val="lv-LV"/>
              </w:rPr>
              <w:t>.</w:t>
            </w:r>
          </w:p>
        </w:tc>
        <w:tc>
          <w:tcPr>
            <w:tcW w:w="3685" w:type="dxa"/>
            <w:tcBorders>
              <w:top w:val="single" w:sz="4" w:space="0" w:color="000000"/>
              <w:left w:val="single" w:sz="4" w:space="0" w:color="000000"/>
              <w:bottom w:val="single" w:sz="4" w:space="0" w:color="000000"/>
              <w:right w:val="single" w:sz="4" w:space="0" w:color="000000"/>
            </w:tcBorders>
            <w:shd w:val="clear" w:color="auto" w:fill="B4C6E7" w:themeFill="accent5" w:themeFillTint="66"/>
            <w:tcMar>
              <w:top w:w="0" w:type="dxa"/>
              <w:left w:w="108" w:type="dxa"/>
              <w:bottom w:w="0" w:type="dxa"/>
              <w:right w:w="108" w:type="dxa"/>
            </w:tcMar>
            <w:vAlign w:val="center"/>
          </w:tcPr>
          <w:p w14:paraId="7A3F719F"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b/>
                <w:sz w:val="20"/>
                <w:szCs w:val="20"/>
                <w:lang w:val="lv-LV"/>
              </w:rPr>
              <w:t>Kritēriji</w:t>
            </w:r>
          </w:p>
        </w:tc>
        <w:tc>
          <w:tcPr>
            <w:tcW w:w="5387" w:type="dxa"/>
            <w:tcBorders>
              <w:top w:val="single" w:sz="4" w:space="0" w:color="000000"/>
              <w:left w:val="single" w:sz="4" w:space="0" w:color="000000"/>
              <w:bottom w:val="single" w:sz="4" w:space="0" w:color="000000"/>
              <w:right w:val="single" w:sz="4" w:space="0" w:color="000000"/>
            </w:tcBorders>
            <w:shd w:val="clear" w:color="auto" w:fill="B4C6E7" w:themeFill="accent5" w:themeFillTint="66"/>
            <w:tcMar>
              <w:top w:w="0" w:type="dxa"/>
              <w:left w:w="108" w:type="dxa"/>
              <w:bottom w:w="0" w:type="dxa"/>
              <w:right w:w="108" w:type="dxa"/>
            </w:tcMar>
            <w:vAlign w:val="center"/>
          </w:tcPr>
          <w:p w14:paraId="6EF6CA7C"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b/>
                <w:sz w:val="20"/>
                <w:szCs w:val="20"/>
                <w:lang w:val="lv-LV"/>
              </w:rPr>
              <w:t>Atbilstība</w:t>
            </w:r>
          </w:p>
        </w:tc>
      </w:tr>
      <w:tr w:rsidR="00B75270" w:rsidRPr="00006E87" w14:paraId="36185D63"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89528E"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30E55A" w14:textId="77777777" w:rsidR="00B75270" w:rsidRPr="00006E87" w:rsidRDefault="002C421A" w:rsidP="00877A61">
            <w:pPr>
              <w:pStyle w:val="Parasts1"/>
              <w:spacing w:after="0"/>
              <w:contextualSpacing/>
              <w:jc w:val="left"/>
              <w:textAlignment w:val="auto"/>
              <w:rPr>
                <w:sz w:val="20"/>
                <w:szCs w:val="20"/>
                <w:lang w:val="lv-LV"/>
              </w:rPr>
            </w:pPr>
            <w:r w:rsidRPr="00006E87">
              <w:rPr>
                <w:rStyle w:val="Noklusjumarindkopasfonts1"/>
                <w:sz w:val="20"/>
                <w:szCs w:val="20"/>
                <w:lang w:val="lv-LV"/>
              </w:rPr>
              <w:t>Augstskola kopā ar partnerinstitūcij</w:t>
            </w:r>
            <w:r w:rsidR="00B75270" w:rsidRPr="00006E87">
              <w:rPr>
                <w:rStyle w:val="Noklusjumarindkopasfonts1"/>
                <w:sz w:val="20"/>
                <w:szCs w:val="20"/>
                <w:lang w:val="lv-LV"/>
              </w:rPr>
              <w:t>ām ir noslēgusi rakstisku vienošanos par kopīgas studiju programmas īstenošanu</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DBB0BE" w14:textId="3256621A" w:rsidR="00B75270" w:rsidRPr="00006E87" w:rsidRDefault="00B87C14" w:rsidP="00685FB5">
            <w:pPr>
              <w:pStyle w:val="Parasts1"/>
              <w:spacing w:after="0"/>
              <w:contextualSpacing/>
              <w:textAlignment w:val="auto"/>
              <w:rPr>
                <w:sz w:val="20"/>
                <w:szCs w:val="20"/>
                <w:lang w:val="lv-LV"/>
              </w:rPr>
            </w:pPr>
            <w:r w:rsidRPr="00006E87">
              <w:rPr>
                <w:rStyle w:val="Noklusjumarindkopasfonts1"/>
                <w:sz w:val="20"/>
                <w:szCs w:val="20"/>
                <w:lang w:val="lv-LV"/>
              </w:rPr>
              <w:t xml:space="preserve">DU, </w:t>
            </w:r>
            <w:r w:rsidR="000E77C3" w:rsidRPr="00006E87">
              <w:rPr>
                <w:rStyle w:val="Noklusjumarindkopasfonts1"/>
                <w:sz w:val="20"/>
                <w:szCs w:val="20"/>
                <w:lang w:val="lv-LV"/>
              </w:rPr>
              <w:t>LiepU (</w:t>
            </w:r>
            <w:r w:rsidR="000E77C3" w:rsidRPr="00006E87">
              <w:rPr>
                <w:sz w:val="20"/>
                <w:szCs w:val="20"/>
                <w:lang w:val="lv-LV"/>
              </w:rPr>
              <w:t>kopš 2024. gada 1. marta RTU LA, turpmāk tekstā</w:t>
            </w:r>
            <w:r w:rsidR="000E77C3" w:rsidRPr="00006E87">
              <w:rPr>
                <w:rStyle w:val="Noklusjumarindkopasfonts1"/>
                <w:sz w:val="20"/>
                <w:szCs w:val="20"/>
                <w:lang w:val="lv-LV"/>
              </w:rPr>
              <w:t xml:space="preserve"> </w:t>
            </w:r>
            <w:r w:rsidR="001D5200" w:rsidRPr="00006E87">
              <w:rPr>
                <w:rStyle w:val="Noklusjumarindkopasfonts1"/>
                <w:sz w:val="20"/>
                <w:szCs w:val="20"/>
                <w:lang w:val="lv-LV"/>
              </w:rPr>
              <w:t>RTU LA</w:t>
            </w:r>
            <w:r w:rsidR="000E77C3" w:rsidRPr="00006E87">
              <w:rPr>
                <w:rStyle w:val="Noklusjumarindkopasfonts1"/>
                <w:sz w:val="20"/>
                <w:szCs w:val="20"/>
                <w:lang w:val="lv-LV"/>
              </w:rPr>
              <w:t>)</w:t>
            </w:r>
            <w:r w:rsidRPr="00006E87">
              <w:rPr>
                <w:rStyle w:val="Noklusjumarindkopasfonts1"/>
                <w:sz w:val="20"/>
                <w:szCs w:val="20"/>
                <w:lang w:val="lv-LV"/>
              </w:rPr>
              <w:t xml:space="preserve">, </w:t>
            </w:r>
            <w:r w:rsidR="002C421A" w:rsidRPr="00006E87">
              <w:rPr>
                <w:rStyle w:val="Noklusjumarindkopasfonts1"/>
                <w:sz w:val="20"/>
                <w:szCs w:val="20"/>
                <w:lang w:val="lv-LV"/>
              </w:rPr>
              <w:t xml:space="preserve">RTA </w:t>
            </w:r>
            <w:r w:rsidRPr="00006E87">
              <w:rPr>
                <w:rStyle w:val="Noklusjumarindkopasfonts1"/>
                <w:sz w:val="20"/>
                <w:szCs w:val="20"/>
                <w:lang w:val="lv-LV"/>
              </w:rPr>
              <w:t>u</w:t>
            </w:r>
            <w:r w:rsidR="0048119E" w:rsidRPr="00006E87">
              <w:rPr>
                <w:rStyle w:val="Noklusjumarindkopasfonts1"/>
                <w:sz w:val="20"/>
                <w:szCs w:val="20"/>
                <w:lang w:val="lv-LV"/>
              </w:rPr>
              <w:t>n</w:t>
            </w:r>
            <w:r w:rsidRPr="00006E87">
              <w:rPr>
                <w:rStyle w:val="Noklusjumarindkopasfonts1"/>
                <w:sz w:val="20"/>
                <w:szCs w:val="20"/>
                <w:lang w:val="lv-LV"/>
              </w:rPr>
              <w:t xml:space="preserve"> LU </w:t>
            </w:r>
            <w:r w:rsidR="002C421A" w:rsidRPr="00006E87">
              <w:rPr>
                <w:rStyle w:val="Noklusjumarindkopasfonts1"/>
                <w:sz w:val="20"/>
                <w:szCs w:val="20"/>
                <w:lang w:val="lv-LV"/>
              </w:rPr>
              <w:t>rektori ir vienojušies</w:t>
            </w:r>
            <w:r w:rsidR="00B75270" w:rsidRPr="00006E87">
              <w:rPr>
                <w:rStyle w:val="Noklusjumarindkopasfonts1"/>
                <w:sz w:val="20"/>
                <w:szCs w:val="20"/>
                <w:lang w:val="lv-LV"/>
              </w:rPr>
              <w:t xml:space="preserve"> par kopīgas doktora studiju programmas “Izglītības zi</w:t>
            </w:r>
            <w:r w:rsidR="00317CF7" w:rsidRPr="00006E87">
              <w:rPr>
                <w:rStyle w:val="Noklusjumarindkopasfonts1"/>
                <w:sz w:val="20"/>
                <w:szCs w:val="20"/>
                <w:lang w:val="lv-LV"/>
              </w:rPr>
              <w:t>nātnes” izstrādi un īstenošanu</w:t>
            </w:r>
            <w:r w:rsidR="00B367BF" w:rsidRPr="00006E87">
              <w:rPr>
                <w:rStyle w:val="Noklusjumarindkopasfonts1"/>
                <w:sz w:val="20"/>
                <w:szCs w:val="20"/>
                <w:lang w:val="lv-LV"/>
              </w:rPr>
              <w:t xml:space="preserve"> (2019. gada 5. novembra “</w:t>
            </w:r>
            <w:r w:rsidR="00B75270" w:rsidRPr="00006E87">
              <w:rPr>
                <w:rStyle w:val="Noklusjumarindkopasfonts1"/>
                <w:sz w:val="20"/>
                <w:szCs w:val="20"/>
                <w:lang w:val="lv-LV"/>
              </w:rPr>
              <w:t xml:space="preserve">Vienošanās </w:t>
            </w:r>
            <w:r w:rsidR="00B367BF" w:rsidRPr="00006E87">
              <w:rPr>
                <w:rStyle w:val="Noklusjumarindkopasfonts1"/>
                <w:sz w:val="20"/>
                <w:szCs w:val="20"/>
                <w:lang w:val="lv-LV"/>
              </w:rPr>
              <w:t>par Latvijas Univesitātes, Daugavpils Universitātes, Liepājas Universitātes un Rēzeknes Tehnoloģiju akadēmijas kopīgas doktora studiju programmas “Izglītības zinātnes” īstenošanu”</w:t>
            </w:r>
            <w:r w:rsidR="00317CF7" w:rsidRPr="00006E87">
              <w:rPr>
                <w:rStyle w:val="Noklusjumarindkopasfonts1"/>
                <w:sz w:val="20"/>
                <w:szCs w:val="20"/>
                <w:lang w:val="lv-LV"/>
              </w:rPr>
              <w:t>).</w:t>
            </w:r>
          </w:p>
        </w:tc>
      </w:tr>
      <w:tr w:rsidR="00B75270" w:rsidRPr="00006E87" w14:paraId="60D1BB77"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C37C40"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2828E" w14:textId="77777777" w:rsidR="00B75270" w:rsidRPr="00006E87" w:rsidRDefault="00B75270" w:rsidP="00877A61">
            <w:pPr>
              <w:pStyle w:val="Parasts1"/>
              <w:spacing w:after="0"/>
              <w:contextualSpacing/>
              <w:jc w:val="left"/>
              <w:textAlignment w:val="auto"/>
              <w:rPr>
                <w:sz w:val="20"/>
                <w:szCs w:val="20"/>
                <w:lang w:val="lv-LV"/>
              </w:rPr>
            </w:pPr>
            <w:r w:rsidRPr="00006E87">
              <w:rPr>
                <w:rStyle w:val="Noklusjumarindkopasfonts1"/>
                <w:sz w:val="20"/>
                <w:szCs w:val="20"/>
                <w:lang w:val="lv-LV"/>
              </w:rPr>
              <w:t>Studiju programmu veido augstskolas un partnerinstitūciju vienāda augstākās izglītības līmeņa studiju programmu daļas</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D78396" w14:textId="7C39BB4F" w:rsidR="00B75270" w:rsidRPr="00006E87" w:rsidRDefault="00BE0C58" w:rsidP="00877A61">
            <w:pPr>
              <w:pStyle w:val="Parasts1"/>
              <w:spacing w:after="0"/>
              <w:contextualSpacing/>
              <w:textAlignment w:val="auto"/>
              <w:rPr>
                <w:bCs/>
                <w:iCs/>
                <w:color w:val="000000"/>
                <w:sz w:val="20"/>
                <w:szCs w:val="20"/>
                <w:lang w:val="lv-LV"/>
              </w:rPr>
            </w:pPr>
            <w:r w:rsidRPr="00006E87">
              <w:rPr>
                <w:rStyle w:val="Noklusjumarindkopasfonts1"/>
                <w:sz w:val="20"/>
                <w:szCs w:val="20"/>
                <w:lang w:val="lv-LV"/>
              </w:rPr>
              <w:t xml:space="preserve">LU, DU, </w:t>
            </w:r>
            <w:r w:rsidR="00102CDD" w:rsidRPr="00006E87">
              <w:rPr>
                <w:rStyle w:val="Noklusjumarindkopasfonts1"/>
                <w:sz w:val="20"/>
                <w:szCs w:val="20"/>
                <w:lang w:val="lv-LV"/>
              </w:rPr>
              <w:t>RTU LA</w:t>
            </w:r>
            <w:r w:rsidRPr="00006E87">
              <w:rPr>
                <w:rStyle w:val="Noklusjumarindkopasfonts1"/>
                <w:sz w:val="20"/>
                <w:szCs w:val="20"/>
                <w:lang w:val="lv-LV"/>
              </w:rPr>
              <w:t xml:space="preserve"> un RTA īsteno</w:t>
            </w:r>
            <w:r w:rsidR="00B75270" w:rsidRPr="00006E87">
              <w:rPr>
                <w:rStyle w:val="Noklusjumarindkopasfonts1"/>
                <w:sz w:val="20"/>
                <w:szCs w:val="20"/>
                <w:lang w:val="lv-LV"/>
              </w:rPr>
              <w:t xml:space="preserve"> kopīgas doktora studiju programmas “Izglītības zinātnes” daļas atbilstīgi LR Augstskolu likuma </w:t>
            </w:r>
            <w:r w:rsidR="00B75270" w:rsidRPr="00006E87">
              <w:rPr>
                <w:bCs/>
                <w:iCs/>
                <w:color w:val="000000"/>
                <w:sz w:val="20"/>
                <w:szCs w:val="20"/>
                <w:lang w:val="lv-LV"/>
              </w:rPr>
              <w:t>55.</w:t>
            </w:r>
            <w:r w:rsidR="00B75270" w:rsidRPr="00006E87">
              <w:rPr>
                <w:bCs/>
                <w:iCs/>
                <w:color w:val="000000"/>
                <w:sz w:val="20"/>
                <w:szCs w:val="20"/>
                <w:vertAlign w:val="superscript"/>
                <w:lang w:val="lv-LV"/>
              </w:rPr>
              <w:t>1</w:t>
            </w:r>
            <w:r w:rsidR="00B75270" w:rsidRPr="00006E87">
              <w:rPr>
                <w:bCs/>
                <w:iCs/>
                <w:color w:val="000000"/>
                <w:sz w:val="20"/>
                <w:szCs w:val="20"/>
                <w:lang w:val="lv-LV"/>
              </w:rPr>
              <w:t> pantam. LU kā vadošā partneruniversitāte īsteno visus programmas 14</w:t>
            </w:r>
            <w:r w:rsidR="00D16954" w:rsidRPr="00006E87">
              <w:rPr>
                <w:bCs/>
                <w:iCs/>
                <w:color w:val="000000"/>
                <w:sz w:val="20"/>
                <w:szCs w:val="20"/>
                <w:lang w:val="lv-LV"/>
              </w:rPr>
              <w:t>4</w:t>
            </w:r>
            <w:r w:rsidR="00102CDD" w:rsidRPr="00006E87">
              <w:rPr>
                <w:bCs/>
                <w:iCs/>
                <w:color w:val="000000"/>
                <w:sz w:val="20"/>
                <w:szCs w:val="20"/>
                <w:lang w:val="lv-LV"/>
              </w:rPr>
              <w:t xml:space="preserve"> </w:t>
            </w:r>
            <w:r w:rsidR="00B75270" w:rsidRPr="00006E87">
              <w:rPr>
                <w:bCs/>
                <w:iCs/>
                <w:color w:val="000000"/>
                <w:sz w:val="20"/>
                <w:szCs w:val="20"/>
                <w:lang w:val="lv-LV"/>
              </w:rPr>
              <w:t>KP</w:t>
            </w:r>
            <w:r w:rsidR="00D16954" w:rsidRPr="00006E87">
              <w:rPr>
                <w:bCs/>
                <w:iCs/>
                <w:color w:val="000000"/>
                <w:sz w:val="20"/>
                <w:szCs w:val="20"/>
                <w:lang w:val="lv-LV"/>
              </w:rPr>
              <w:t>/216 ECTS</w:t>
            </w:r>
            <w:r w:rsidR="00102CDD" w:rsidRPr="00006E87">
              <w:rPr>
                <w:bCs/>
                <w:iCs/>
                <w:color w:val="000000"/>
                <w:sz w:val="20"/>
                <w:szCs w:val="20"/>
                <w:lang w:val="lv-LV"/>
              </w:rPr>
              <w:t xml:space="preserve"> un</w:t>
            </w:r>
            <w:r w:rsidR="00B75270" w:rsidRPr="00006E87">
              <w:rPr>
                <w:bCs/>
                <w:iCs/>
                <w:color w:val="000000"/>
                <w:sz w:val="20"/>
                <w:szCs w:val="20"/>
                <w:lang w:val="lv-LV"/>
              </w:rPr>
              <w:t xml:space="preserve"> </w:t>
            </w:r>
            <w:bookmarkStart w:id="1" w:name="_GoBack"/>
            <w:bookmarkEnd w:id="1"/>
            <w:r w:rsidR="00B75270" w:rsidRPr="00006E87">
              <w:rPr>
                <w:bCs/>
                <w:iCs/>
                <w:color w:val="000000"/>
                <w:sz w:val="20"/>
                <w:szCs w:val="20"/>
                <w:lang w:val="lv-LV"/>
              </w:rPr>
              <w:t xml:space="preserve">ir atbildīga par programmas obligātās daļas kursiem un vispārīgajiem kursiem ierobežotās izvēles daļā. </w:t>
            </w:r>
          </w:p>
          <w:p w14:paraId="12D18E8A" w14:textId="55EADEF5" w:rsidR="00D96486" w:rsidRPr="00006E87" w:rsidRDefault="00D96486" w:rsidP="00D96486">
            <w:pPr>
              <w:pStyle w:val="Parasts1"/>
              <w:spacing w:after="0"/>
              <w:contextualSpacing/>
              <w:textAlignment w:val="auto"/>
              <w:rPr>
                <w:bCs/>
                <w:iCs/>
                <w:color w:val="000000"/>
                <w:sz w:val="20"/>
                <w:szCs w:val="20"/>
                <w:lang w:val="lv-LV"/>
              </w:rPr>
            </w:pPr>
            <w:r w:rsidRPr="00006E87">
              <w:rPr>
                <w:rStyle w:val="Noklusjumarindkopasfonts1"/>
                <w:sz w:val="20"/>
                <w:szCs w:val="20"/>
                <w:lang w:val="lv-LV"/>
              </w:rPr>
              <w:t xml:space="preserve">Pamatojoties uz 2021. gada 25. marta LU </w:t>
            </w:r>
            <w:r w:rsidRPr="00006E87">
              <w:rPr>
                <w:noProof/>
                <w:sz w:val="20"/>
                <w:szCs w:val="20"/>
                <w:lang w:val="lv-LV"/>
              </w:rPr>
              <w:t>Pedagoģijas, psiholoģijas un mākslas fakultātes lēmumu Nr. 30-2/56 un uz 2021. gada 17. maija DU Studiju padomes protokolu Nr.16, partneraugstskolās tiek īstenoti 112</w:t>
            </w:r>
            <w:r w:rsidR="00EE2502" w:rsidRPr="00006E87">
              <w:rPr>
                <w:noProof/>
                <w:sz w:val="20"/>
                <w:szCs w:val="20"/>
                <w:lang w:val="lv-LV"/>
              </w:rPr>
              <w:t xml:space="preserve"> </w:t>
            </w:r>
            <w:r w:rsidRPr="00006E87">
              <w:rPr>
                <w:noProof/>
                <w:sz w:val="20"/>
                <w:szCs w:val="20"/>
                <w:lang w:val="lv-LV"/>
              </w:rPr>
              <w:t>KP</w:t>
            </w:r>
            <w:r w:rsidR="00EE2502" w:rsidRPr="00006E87">
              <w:rPr>
                <w:noProof/>
                <w:sz w:val="20"/>
                <w:szCs w:val="20"/>
                <w:lang w:val="lv-LV"/>
              </w:rPr>
              <w:t>/168 ECTS</w:t>
            </w:r>
            <w:r w:rsidRPr="00006E87">
              <w:rPr>
                <w:noProof/>
                <w:sz w:val="20"/>
                <w:szCs w:val="20"/>
                <w:lang w:val="lv-LV"/>
              </w:rPr>
              <w:t xml:space="preserve">: </w:t>
            </w:r>
            <w:r w:rsidRPr="00006E87">
              <w:rPr>
                <w:bCs/>
                <w:iCs/>
                <w:color w:val="000000"/>
                <w:sz w:val="20"/>
                <w:szCs w:val="20"/>
                <w:lang w:val="lv-LV"/>
              </w:rPr>
              <w:t>promocijas darba izstrāde (65</w:t>
            </w:r>
            <w:r w:rsidR="00102CDD" w:rsidRPr="00006E87">
              <w:rPr>
                <w:bCs/>
                <w:iCs/>
                <w:color w:val="000000"/>
                <w:sz w:val="20"/>
                <w:szCs w:val="20"/>
                <w:lang w:val="lv-LV"/>
              </w:rPr>
              <w:t xml:space="preserve"> </w:t>
            </w:r>
            <w:r w:rsidRPr="00006E87">
              <w:rPr>
                <w:bCs/>
                <w:iCs/>
                <w:color w:val="000000"/>
                <w:sz w:val="20"/>
                <w:szCs w:val="20"/>
                <w:lang w:val="lv-LV"/>
              </w:rPr>
              <w:t>KP</w:t>
            </w:r>
            <w:r w:rsidR="00EE2502" w:rsidRPr="00006E87">
              <w:rPr>
                <w:bCs/>
                <w:iCs/>
                <w:color w:val="000000"/>
                <w:sz w:val="20"/>
                <w:szCs w:val="20"/>
                <w:lang w:val="lv-LV"/>
              </w:rPr>
              <w:t>/97,5 ECTS</w:t>
            </w:r>
            <w:r w:rsidRPr="00006E87">
              <w:rPr>
                <w:bCs/>
                <w:iCs/>
                <w:color w:val="000000"/>
                <w:sz w:val="20"/>
                <w:szCs w:val="20"/>
                <w:lang w:val="lv-LV"/>
              </w:rPr>
              <w:t>, kopš 2024. g. 64 KP</w:t>
            </w:r>
            <w:r w:rsidR="00EE2502" w:rsidRPr="00006E87">
              <w:rPr>
                <w:bCs/>
                <w:iCs/>
                <w:color w:val="000000"/>
                <w:sz w:val="20"/>
                <w:szCs w:val="20"/>
                <w:lang w:val="lv-LV"/>
              </w:rPr>
              <w:t>/96 ECTS</w:t>
            </w:r>
            <w:r w:rsidRPr="00006E87">
              <w:rPr>
                <w:bCs/>
                <w:iCs/>
                <w:color w:val="000000"/>
                <w:sz w:val="20"/>
                <w:szCs w:val="20"/>
                <w:lang w:val="lv-LV"/>
              </w:rPr>
              <w:t>), publikāciju izstrāde (21 KP</w:t>
            </w:r>
            <w:r w:rsidR="00EE2502" w:rsidRPr="00006E87">
              <w:rPr>
                <w:bCs/>
                <w:iCs/>
                <w:color w:val="000000"/>
                <w:sz w:val="20"/>
                <w:szCs w:val="20"/>
                <w:lang w:val="lv-LV"/>
              </w:rPr>
              <w:t>/31,5 ECTS</w:t>
            </w:r>
            <w:r w:rsidRPr="00006E87">
              <w:rPr>
                <w:bCs/>
                <w:iCs/>
                <w:color w:val="000000"/>
                <w:sz w:val="20"/>
                <w:szCs w:val="20"/>
                <w:lang w:val="lv-LV"/>
              </w:rPr>
              <w:t>, kopš 2024.g. 20 KP</w:t>
            </w:r>
            <w:r w:rsidR="00EE2502" w:rsidRPr="00006E87">
              <w:rPr>
                <w:bCs/>
                <w:iCs/>
                <w:color w:val="000000"/>
                <w:sz w:val="20"/>
                <w:szCs w:val="20"/>
                <w:lang w:val="lv-LV"/>
              </w:rPr>
              <w:t>/ 30 ECTS</w:t>
            </w:r>
            <w:r w:rsidRPr="00006E87">
              <w:rPr>
                <w:bCs/>
                <w:iCs/>
                <w:color w:val="000000"/>
                <w:sz w:val="20"/>
                <w:szCs w:val="20"/>
                <w:lang w:val="lv-LV"/>
              </w:rPr>
              <w:t>), profesoru asistenta prakse (8</w:t>
            </w:r>
            <w:r w:rsidR="00102CDD" w:rsidRPr="00006E87">
              <w:rPr>
                <w:bCs/>
                <w:iCs/>
                <w:color w:val="000000"/>
                <w:sz w:val="20"/>
                <w:szCs w:val="20"/>
                <w:lang w:val="lv-LV"/>
              </w:rPr>
              <w:t xml:space="preserve"> </w:t>
            </w:r>
            <w:r w:rsidRPr="00006E87">
              <w:rPr>
                <w:bCs/>
                <w:iCs/>
                <w:color w:val="000000"/>
                <w:sz w:val="20"/>
                <w:szCs w:val="20"/>
                <w:lang w:val="lv-LV"/>
              </w:rPr>
              <w:t>KP</w:t>
            </w:r>
            <w:r w:rsidR="00EE2502" w:rsidRPr="00006E87">
              <w:rPr>
                <w:bCs/>
                <w:iCs/>
                <w:color w:val="000000"/>
                <w:sz w:val="20"/>
                <w:szCs w:val="20"/>
                <w:lang w:val="lv-LV"/>
              </w:rPr>
              <w:t>/ 12 ECTS</w:t>
            </w:r>
            <w:r w:rsidRPr="00006E87">
              <w:rPr>
                <w:bCs/>
                <w:iCs/>
                <w:color w:val="000000"/>
                <w:sz w:val="20"/>
                <w:szCs w:val="20"/>
                <w:lang w:val="lv-LV"/>
              </w:rPr>
              <w:t>, kopš 2024.g. 10 KP</w:t>
            </w:r>
            <w:r w:rsidR="00EE2502" w:rsidRPr="00006E87">
              <w:rPr>
                <w:bCs/>
                <w:iCs/>
                <w:color w:val="000000"/>
                <w:sz w:val="20"/>
                <w:szCs w:val="20"/>
                <w:lang w:val="lv-LV"/>
              </w:rPr>
              <w:t>/15 ECTS</w:t>
            </w:r>
            <w:r w:rsidRPr="00006E87">
              <w:rPr>
                <w:bCs/>
                <w:iCs/>
                <w:color w:val="000000"/>
                <w:sz w:val="20"/>
                <w:szCs w:val="20"/>
                <w:lang w:val="lv-LV"/>
              </w:rPr>
              <w:t>), kā arī modulis (14</w:t>
            </w:r>
            <w:r w:rsidR="00EE2502" w:rsidRPr="00006E87">
              <w:rPr>
                <w:bCs/>
                <w:iCs/>
                <w:color w:val="000000"/>
                <w:sz w:val="20"/>
                <w:szCs w:val="20"/>
                <w:lang w:val="lv-LV"/>
              </w:rPr>
              <w:t xml:space="preserve"> </w:t>
            </w:r>
            <w:r w:rsidRPr="00006E87">
              <w:rPr>
                <w:bCs/>
                <w:iCs/>
                <w:color w:val="000000"/>
                <w:sz w:val="20"/>
                <w:szCs w:val="20"/>
                <w:lang w:val="lv-LV"/>
              </w:rPr>
              <w:t>KP</w:t>
            </w:r>
            <w:r w:rsidR="00EE2502" w:rsidRPr="00006E87">
              <w:rPr>
                <w:bCs/>
                <w:iCs/>
                <w:color w:val="000000"/>
                <w:sz w:val="20"/>
                <w:szCs w:val="20"/>
                <w:lang w:val="lv-LV"/>
              </w:rPr>
              <w:t>/21 ECTS</w:t>
            </w:r>
            <w:r w:rsidRPr="00006E87">
              <w:rPr>
                <w:bCs/>
                <w:iCs/>
                <w:color w:val="000000"/>
                <w:sz w:val="20"/>
                <w:szCs w:val="20"/>
                <w:lang w:val="lv-LV"/>
              </w:rPr>
              <w:t>) un doktorantūras skolas kursi (8 KP</w:t>
            </w:r>
            <w:r w:rsidR="00EE2502" w:rsidRPr="00006E87">
              <w:rPr>
                <w:bCs/>
                <w:iCs/>
                <w:color w:val="000000"/>
                <w:sz w:val="20"/>
                <w:szCs w:val="20"/>
                <w:lang w:val="lv-LV"/>
              </w:rPr>
              <w:t>/12 ECTS</w:t>
            </w:r>
            <w:r w:rsidRPr="00006E87">
              <w:rPr>
                <w:bCs/>
                <w:iCs/>
                <w:color w:val="000000"/>
                <w:sz w:val="20"/>
                <w:szCs w:val="20"/>
                <w:lang w:val="lv-LV"/>
              </w:rPr>
              <w:t>) atbilstīgi augstskolas specializācijai. Augstskolās tiek organizēts arī promocijas eksāmens angļu valodā (2 KP</w:t>
            </w:r>
            <w:r w:rsidR="00EE2502" w:rsidRPr="00006E87">
              <w:rPr>
                <w:bCs/>
                <w:iCs/>
                <w:color w:val="000000"/>
                <w:sz w:val="20"/>
                <w:szCs w:val="20"/>
                <w:lang w:val="lv-LV"/>
              </w:rPr>
              <w:t>/3 ECTS</w:t>
            </w:r>
            <w:r w:rsidRPr="00006E87">
              <w:rPr>
                <w:bCs/>
                <w:iCs/>
                <w:color w:val="000000"/>
                <w:sz w:val="20"/>
                <w:szCs w:val="20"/>
                <w:lang w:val="lv-LV"/>
              </w:rPr>
              <w:t xml:space="preserve">) un promocijas eksāmens izglītības zinātņu </w:t>
            </w:r>
            <w:proofErr w:type="spellStart"/>
            <w:r w:rsidRPr="00006E87">
              <w:rPr>
                <w:bCs/>
                <w:iCs/>
                <w:color w:val="000000"/>
                <w:sz w:val="20"/>
                <w:szCs w:val="20"/>
                <w:lang w:val="lv-LV"/>
              </w:rPr>
              <w:t>apakšnozarē</w:t>
            </w:r>
            <w:proofErr w:type="spellEnd"/>
            <w:r w:rsidRPr="00006E87">
              <w:rPr>
                <w:bCs/>
                <w:iCs/>
                <w:color w:val="000000"/>
                <w:sz w:val="20"/>
                <w:szCs w:val="20"/>
                <w:lang w:val="lv-LV"/>
              </w:rPr>
              <w:t xml:space="preserve"> (2 KP</w:t>
            </w:r>
            <w:r w:rsidR="00EE2502" w:rsidRPr="00006E87">
              <w:rPr>
                <w:bCs/>
                <w:iCs/>
                <w:color w:val="000000"/>
                <w:sz w:val="20"/>
                <w:szCs w:val="20"/>
                <w:lang w:val="lv-LV"/>
              </w:rPr>
              <w:t>/3 ECTS</w:t>
            </w:r>
            <w:r w:rsidRPr="00006E87">
              <w:rPr>
                <w:bCs/>
                <w:iCs/>
                <w:color w:val="000000"/>
                <w:sz w:val="20"/>
                <w:szCs w:val="20"/>
                <w:lang w:val="lv-LV"/>
              </w:rPr>
              <w:t>).</w:t>
            </w:r>
          </w:p>
          <w:p w14:paraId="0C55F01F" w14:textId="5015625D" w:rsidR="00D96486" w:rsidRPr="00006E87" w:rsidRDefault="00D96486" w:rsidP="00D96486">
            <w:pPr>
              <w:pStyle w:val="Parasts1"/>
              <w:spacing w:after="0"/>
              <w:contextualSpacing/>
              <w:textAlignment w:val="auto"/>
              <w:rPr>
                <w:bCs/>
                <w:iCs/>
                <w:color w:val="000000"/>
                <w:sz w:val="20"/>
                <w:szCs w:val="20"/>
                <w:lang w:val="lv-LV"/>
              </w:rPr>
            </w:pPr>
            <w:r w:rsidRPr="00006E87">
              <w:rPr>
                <w:bCs/>
                <w:iCs/>
                <w:color w:val="000000"/>
                <w:sz w:val="20"/>
                <w:szCs w:val="20"/>
                <w:lang w:val="lv-LV"/>
              </w:rPr>
              <w:t xml:space="preserve">(2024.g. veiktās izmaiņas nosaka pāreja no Latvijas uz Eiropas kredītpunktu sistēmu un LR Augstskolu likumā noteiktā  definīcija, </w:t>
            </w:r>
            <w:r w:rsidRPr="00006E87">
              <w:rPr>
                <w:bCs/>
                <w:iCs/>
                <w:sz w:val="20"/>
                <w:szCs w:val="20"/>
                <w:lang w:val="lv-LV"/>
              </w:rPr>
              <w:t xml:space="preserve">saskaņā ar kuru kredītpunkti ir izsakāmi veselos skaitļos; izmaiņas saskaņotas </w:t>
            </w:r>
            <w:r w:rsidRPr="00006E87">
              <w:rPr>
                <w:sz w:val="20"/>
                <w:szCs w:val="20"/>
                <w:lang w:val="lv-LV"/>
              </w:rPr>
              <w:t>2023. g. 23. oktobra Kopīgās studiju programmas padomes (</w:t>
            </w:r>
            <w:r w:rsidR="005A2CC3" w:rsidRPr="00006E87">
              <w:rPr>
                <w:sz w:val="20"/>
                <w:szCs w:val="20"/>
                <w:lang w:val="lv-LV"/>
              </w:rPr>
              <w:t>RTU LA</w:t>
            </w:r>
            <w:r w:rsidRPr="00006E87">
              <w:rPr>
                <w:sz w:val="20"/>
                <w:szCs w:val="20"/>
                <w:lang w:val="lv-LV"/>
              </w:rPr>
              <w:t>, LU, DU, RTA) sēdē (protokols Nr. PPMF-31-58/1) un DU Humanitāro un sociālo zinātņu fakultātes Domes sēdē 2024.gada februārī).</w:t>
            </w:r>
          </w:p>
          <w:p w14:paraId="57E97A46" w14:textId="77777777" w:rsidR="00D96486" w:rsidRPr="00006E87" w:rsidRDefault="00D96486" w:rsidP="00D96486">
            <w:pPr>
              <w:pStyle w:val="Parasts1"/>
              <w:spacing w:after="0"/>
              <w:contextualSpacing/>
              <w:textAlignment w:val="auto"/>
              <w:rPr>
                <w:bCs/>
                <w:iCs/>
                <w:color w:val="000000"/>
                <w:sz w:val="20"/>
                <w:szCs w:val="20"/>
                <w:lang w:val="lv-LV"/>
              </w:rPr>
            </w:pPr>
          </w:p>
          <w:p w14:paraId="7E6E1969" w14:textId="12FB071B" w:rsidR="002C421A" w:rsidRPr="00006E87" w:rsidRDefault="00D96486" w:rsidP="00FD6041">
            <w:pPr>
              <w:spacing w:after="120"/>
              <w:jc w:val="both"/>
              <w:rPr>
                <w:rFonts w:ascii="Times New Roman" w:hAnsi="Times New Roman"/>
                <w:sz w:val="20"/>
                <w:szCs w:val="20"/>
                <w:lang w:val="lv-LV"/>
              </w:rPr>
            </w:pPr>
            <w:r w:rsidRPr="00006E87">
              <w:rPr>
                <w:rFonts w:ascii="Times New Roman" w:hAnsi="Times New Roman"/>
                <w:sz w:val="20"/>
                <w:szCs w:val="20"/>
                <w:lang w:val="lv-LV"/>
              </w:rPr>
              <w:t xml:space="preserve">KDSP "Izglītības zinātnes" direktoru (LU, DU, </w:t>
            </w:r>
            <w:r w:rsidR="005A2CC3" w:rsidRPr="00006E87">
              <w:rPr>
                <w:rFonts w:ascii="Times New Roman" w:hAnsi="Times New Roman"/>
                <w:sz w:val="20"/>
                <w:szCs w:val="20"/>
                <w:lang w:val="lv-LV"/>
              </w:rPr>
              <w:t>RTU LA</w:t>
            </w:r>
            <w:r w:rsidRPr="00006E87">
              <w:rPr>
                <w:rFonts w:ascii="Times New Roman" w:hAnsi="Times New Roman"/>
                <w:sz w:val="20"/>
                <w:szCs w:val="20"/>
                <w:lang w:val="lv-LV"/>
              </w:rPr>
              <w:t>, RTA) sapulcē 10.10.2021</w:t>
            </w:r>
            <w:r w:rsidRPr="00006E87">
              <w:rPr>
                <w:rFonts w:ascii="Times New Roman" w:hAnsi="Times New Roman"/>
                <w:sz w:val="20"/>
                <w:szCs w:val="20"/>
                <w:lang w:val="lv-LV"/>
              </w:rPr>
              <w:br/>
              <w:t>(sapulces protokola Nr.31-58/1.) panākta vienošanās,  ka programmas Obligātās daļas un Obligātās izvēles  daļas kursos LU visiem doktorantiem docē lekcijas,  bet seminārus, ja partneraugstskolas to nolemj, katrs vada uz vietas. Ja kāds partneris seminārus vadīt nenolemj, tad LU uzņem tā partnera doktorantus savos semināros.</w:t>
            </w:r>
          </w:p>
        </w:tc>
      </w:tr>
      <w:tr w:rsidR="00B75270" w:rsidRPr="00006E87" w14:paraId="1C248A6E"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11BAD7"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t>3.</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39B88C" w14:textId="77777777" w:rsidR="00B75270" w:rsidRPr="00006E87" w:rsidRDefault="00B75270" w:rsidP="00877A61">
            <w:pPr>
              <w:pStyle w:val="Parasts1"/>
              <w:spacing w:after="0"/>
              <w:contextualSpacing/>
              <w:jc w:val="left"/>
              <w:textAlignment w:val="auto"/>
              <w:rPr>
                <w:sz w:val="20"/>
                <w:szCs w:val="20"/>
                <w:lang w:val="lv-LV"/>
              </w:rPr>
            </w:pPr>
            <w:r w:rsidRPr="00006E87">
              <w:rPr>
                <w:rStyle w:val="Noklusjumarindkopasfonts1"/>
                <w:sz w:val="20"/>
                <w:szCs w:val="20"/>
                <w:lang w:val="lv-LV"/>
              </w:rPr>
              <w:t>Studiju programmas īstenošanā iesaistītā augstskola un partnerinstitūcijas katra īsteno vismaz vienu desmito daļu no visas attiecīgās studiju programmas</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B38C6" w14:textId="7E9E06FE" w:rsidR="00D96486" w:rsidRPr="00006E87" w:rsidRDefault="00D96486" w:rsidP="00D96486">
            <w:pPr>
              <w:pStyle w:val="Parasts1"/>
              <w:spacing w:after="0"/>
              <w:contextualSpacing/>
              <w:textAlignment w:val="auto"/>
              <w:rPr>
                <w:rStyle w:val="Noklusjumarindkopasfonts1"/>
                <w:sz w:val="20"/>
                <w:szCs w:val="20"/>
                <w:lang w:val="lv-LV"/>
              </w:rPr>
            </w:pPr>
            <w:r w:rsidRPr="00006E87">
              <w:rPr>
                <w:rStyle w:val="Noklusjumarindkopasfonts1"/>
                <w:sz w:val="20"/>
                <w:szCs w:val="20"/>
                <w:lang w:val="lv-LV"/>
              </w:rPr>
              <w:t>Programmas desmitās daļas nodrošināšanai augstskolām būtu nepieciešams nodrošināt 14,4 KP</w:t>
            </w:r>
            <w:r w:rsidR="00006E87" w:rsidRPr="00006E87">
              <w:rPr>
                <w:rStyle w:val="Noklusjumarindkopasfonts1"/>
                <w:sz w:val="20"/>
                <w:szCs w:val="20"/>
                <w:lang w:val="lv-LV"/>
              </w:rPr>
              <w:t>/21,6 ECTS</w:t>
            </w:r>
            <w:r w:rsidRPr="00006E87">
              <w:rPr>
                <w:rStyle w:val="Noklusjumarindkopasfonts1"/>
                <w:sz w:val="20"/>
                <w:szCs w:val="20"/>
                <w:lang w:val="lv-LV"/>
              </w:rPr>
              <w:t xml:space="preserve">. </w:t>
            </w:r>
          </w:p>
          <w:p w14:paraId="31BDD561" w14:textId="71122F4D" w:rsidR="00D96486" w:rsidRPr="00006E87" w:rsidRDefault="00D96486" w:rsidP="00D96486">
            <w:pPr>
              <w:pStyle w:val="Parasts1"/>
              <w:spacing w:after="0"/>
              <w:contextualSpacing/>
              <w:textAlignment w:val="auto"/>
              <w:rPr>
                <w:rStyle w:val="Noklusjumarindkopasfonts1"/>
                <w:sz w:val="20"/>
                <w:szCs w:val="20"/>
                <w:lang w:val="lv-LV"/>
              </w:rPr>
            </w:pPr>
            <w:r w:rsidRPr="00006E87">
              <w:rPr>
                <w:rStyle w:val="Noklusjumarindkopasfonts1"/>
                <w:sz w:val="20"/>
                <w:szCs w:val="20"/>
                <w:lang w:val="lv-LV"/>
              </w:rPr>
              <w:t>Programmā LU īsteno visas programmas daļas, t.i., 144 KP</w:t>
            </w:r>
            <w:r w:rsidR="00006E87" w:rsidRPr="00006E87">
              <w:rPr>
                <w:rStyle w:val="Noklusjumarindkopasfonts1"/>
                <w:sz w:val="20"/>
                <w:szCs w:val="20"/>
                <w:lang w:val="lv-LV"/>
              </w:rPr>
              <w:t>/216 ECTS</w:t>
            </w:r>
            <w:r w:rsidRPr="00006E87">
              <w:rPr>
                <w:rStyle w:val="Noklusjumarindkopasfonts1"/>
                <w:sz w:val="20"/>
                <w:szCs w:val="20"/>
                <w:lang w:val="lv-LV"/>
              </w:rPr>
              <w:t>.</w:t>
            </w:r>
          </w:p>
          <w:p w14:paraId="5AAFAEB9" w14:textId="5CEB5B96" w:rsidR="00D96486" w:rsidRPr="00006E87" w:rsidRDefault="00D96486" w:rsidP="00D96486">
            <w:pPr>
              <w:pStyle w:val="Parasts1"/>
              <w:spacing w:after="0"/>
              <w:contextualSpacing/>
              <w:textAlignment w:val="auto"/>
              <w:rPr>
                <w:rStyle w:val="Noklusjumarindkopasfonts1"/>
                <w:sz w:val="20"/>
                <w:szCs w:val="20"/>
                <w:lang w:val="lv-LV"/>
              </w:rPr>
            </w:pPr>
            <w:r w:rsidRPr="00006E87">
              <w:rPr>
                <w:rStyle w:val="Noklusjumarindkopasfonts1"/>
                <w:sz w:val="20"/>
                <w:szCs w:val="20"/>
                <w:lang w:val="lv-LV"/>
              </w:rPr>
              <w:t>Partneraugtskolās tiek īstenoti 112 KP</w:t>
            </w:r>
            <w:r w:rsidR="00006E87" w:rsidRPr="00006E87">
              <w:rPr>
                <w:rStyle w:val="Noklusjumarindkopasfonts1"/>
                <w:sz w:val="20"/>
                <w:szCs w:val="20"/>
                <w:lang w:val="lv-LV"/>
              </w:rPr>
              <w:t xml:space="preserve">/168 ECTS </w:t>
            </w:r>
            <w:r w:rsidRPr="00006E87">
              <w:rPr>
                <w:rStyle w:val="Noklusjumarindkopasfonts1"/>
                <w:sz w:val="20"/>
                <w:szCs w:val="20"/>
                <w:lang w:val="lv-LV"/>
              </w:rPr>
              <w:t xml:space="preserve">– izvēles modulis, doktorantūras skolas kursi, kā arī promocijas darba izstrāde, profesora asistenta prakse. Tādējādi partneraugstskolas </w:t>
            </w:r>
            <w:r w:rsidRPr="00006E87">
              <w:rPr>
                <w:rStyle w:val="Noklusjumarindkopasfonts1"/>
                <w:sz w:val="20"/>
                <w:szCs w:val="20"/>
                <w:lang w:val="lv-LV"/>
              </w:rPr>
              <w:lastRenderedPageBreak/>
              <w:t xml:space="preserve">programmā īsteno 77% no programmā iekļautajiem KP, kas ir vairāk nekā ¾ daļas no programmas. </w:t>
            </w:r>
          </w:p>
          <w:p w14:paraId="69A5E3E4" w14:textId="29744135" w:rsidR="00CC7C00" w:rsidRPr="00006E87" w:rsidRDefault="00D96486" w:rsidP="00D96486">
            <w:pPr>
              <w:spacing w:after="120"/>
              <w:jc w:val="both"/>
              <w:rPr>
                <w:rFonts w:ascii="Times New Roman" w:hAnsi="Times New Roman"/>
                <w:sz w:val="20"/>
                <w:szCs w:val="20"/>
                <w:lang w:val="lv-LV"/>
              </w:rPr>
            </w:pPr>
            <w:r w:rsidRPr="00006E87">
              <w:rPr>
                <w:rFonts w:ascii="Times New Roman" w:hAnsi="Times New Roman"/>
                <w:sz w:val="20"/>
                <w:szCs w:val="20"/>
                <w:lang w:val="lv-LV"/>
              </w:rPr>
              <w:t xml:space="preserve">KDSP "Izglītības zinātnes" direktoru (LU, DU, </w:t>
            </w:r>
            <w:r w:rsidR="00592E8A" w:rsidRPr="00006E87">
              <w:rPr>
                <w:rFonts w:ascii="Times New Roman" w:hAnsi="Times New Roman"/>
                <w:sz w:val="20"/>
                <w:szCs w:val="20"/>
                <w:lang w:val="lv-LV"/>
              </w:rPr>
              <w:t>RTU LA</w:t>
            </w:r>
            <w:r w:rsidRPr="00006E87">
              <w:rPr>
                <w:rFonts w:ascii="Times New Roman" w:hAnsi="Times New Roman"/>
                <w:sz w:val="20"/>
                <w:szCs w:val="20"/>
                <w:lang w:val="lv-LV"/>
              </w:rPr>
              <w:t>, RTA) sapulcē 10.10.2021</w:t>
            </w:r>
            <w:r w:rsidRPr="00006E87">
              <w:rPr>
                <w:rFonts w:ascii="Times New Roman" w:hAnsi="Times New Roman"/>
                <w:sz w:val="20"/>
                <w:szCs w:val="20"/>
                <w:lang w:val="lv-LV"/>
              </w:rPr>
              <w:br/>
              <w:t>(sapulces protokola Nr.31-58/1.) panākta vienošanās,  ka programmas Obligātās daļas un Obligātās izvēles  daļas kursos LU visiem doktorantiem docē lekcijas,  bet seminārus, ja partneraugstskolas to nolemj, katrs vada savā augstskolā.</w:t>
            </w:r>
          </w:p>
        </w:tc>
      </w:tr>
      <w:tr w:rsidR="00B75270" w:rsidRPr="00006E87" w14:paraId="4AACEA5F"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DF6751"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lastRenderedPageBreak/>
              <w:t>4.</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B6198" w14:textId="77777777" w:rsidR="00B75270" w:rsidRPr="00006E87" w:rsidRDefault="00B75270" w:rsidP="00877A61">
            <w:pPr>
              <w:pStyle w:val="Parasts1"/>
              <w:spacing w:after="0"/>
              <w:contextualSpacing/>
              <w:jc w:val="left"/>
              <w:textAlignment w:val="auto"/>
              <w:rPr>
                <w:sz w:val="20"/>
                <w:szCs w:val="20"/>
                <w:lang w:val="lv-LV"/>
              </w:rPr>
            </w:pPr>
            <w:r w:rsidRPr="00006E87">
              <w:rPr>
                <w:rStyle w:val="Noklusjumarindkopasfonts1"/>
                <w:sz w:val="20"/>
                <w:szCs w:val="20"/>
                <w:lang w:val="lv-LV"/>
              </w:rPr>
              <w:t>Vienotas prasības attiecībā uz kopīgās studiju programmas īstenošanu, noslēguma pārbaudījumiem, studijās iegūstamo grādu un profesionālās kvalifikācijas piešķiršanu. Kopīgās studiju programmas daļas kopā veido saturiski vienotu un secīgu kopīgu studiju programmu</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933B1F" w14:textId="77777777" w:rsidR="00D96486" w:rsidRPr="00006E87" w:rsidRDefault="00D96486" w:rsidP="00D96486">
            <w:pPr>
              <w:autoSpaceDE w:val="0"/>
              <w:adjustRightInd w:val="0"/>
              <w:spacing w:after="0"/>
              <w:contextualSpacing/>
              <w:jc w:val="both"/>
              <w:textAlignment w:val="auto"/>
              <w:rPr>
                <w:rStyle w:val="Noklusjumarindkopasfonts1"/>
                <w:rFonts w:ascii="Times New Roman" w:hAnsi="Times New Roman"/>
                <w:lang w:val="lv-LV"/>
              </w:rPr>
            </w:pPr>
            <w:r w:rsidRPr="00006E87">
              <w:rPr>
                <w:rStyle w:val="Noklusjumarindkopasfonts1"/>
                <w:rFonts w:ascii="Times New Roman" w:hAnsi="Times New Roman"/>
                <w:lang w:val="lv-LV"/>
              </w:rPr>
              <w:t>Visās augstskolās ir vienotas prasības attiecībā uz KDSP “Izglītības zinātnes” īstenošanu, noslēguma pārbaudījumiem, studijās iegūstamo grādu.</w:t>
            </w:r>
          </w:p>
          <w:p w14:paraId="294FE0C4" w14:textId="77777777" w:rsidR="00D96486" w:rsidRPr="00006E87" w:rsidRDefault="00D96486" w:rsidP="00D96486">
            <w:pPr>
              <w:autoSpaceDE w:val="0"/>
              <w:adjustRightInd w:val="0"/>
              <w:spacing w:after="0"/>
              <w:contextualSpacing/>
              <w:jc w:val="both"/>
              <w:textAlignment w:val="auto"/>
              <w:rPr>
                <w:rFonts w:ascii="Times New Roman" w:hAnsi="Times New Roman"/>
                <w:color w:val="000000"/>
                <w:sz w:val="20"/>
                <w:szCs w:val="20"/>
                <w:lang w:val="lv-LV"/>
              </w:rPr>
            </w:pPr>
          </w:p>
          <w:p w14:paraId="786E8422" w14:textId="67052A5E" w:rsidR="00D96486" w:rsidRPr="00006E87" w:rsidRDefault="00D96486" w:rsidP="00D96486">
            <w:pPr>
              <w:autoSpaceDE w:val="0"/>
              <w:adjustRightInd w:val="0"/>
              <w:spacing w:after="0"/>
              <w:contextualSpacing/>
              <w:jc w:val="both"/>
              <w:textAlignment w:val="auto"/>
              <w:rPr>
                <w:rFonts w:ascii="Times New Roman" w:hAnsi="Times New Roman"/>
                <w:color w:val="000000"/>
                <w:sz w:val="20"/>
                <w:szCs w:val="20"/>
                <w:lang w:val="lv-LV"/>
              </w:rPr>
            </w:pPr>
            <w:r w:rsidRPr="00006E87">
              <w:rPr>
                <w:rFonts w:ascii="Times New Roman" w:hAnsi="Times New Roman"/>
                <w:color w:val="000000"/>
                <w:sz w:val="20"/>
                <w:szCs w:val="20"/>
                <w:lang w:val="lv-LV"/>
              </w:rPr>
              <w:t>Vienotu prasību nodrošināšanai KDSP “Izglītības zinātnes” ir izveidota kopīga doktorantūras padome, ko veido visu partneraugstskolu pārstāvji (</w:t>
            </w:r>
            <w:r w:rsidR="00AC37BD" w:rsidRPr="00006E87">
              <w:rPr>
                <w:rFonts w:ascii="Times New Roman" w:hAnsi="Times New Roman"/>
                <w:color w:val="000000"/>
                <w:sz w:val="20"/>
                <w:szCs w:val="20"/>
                <w:lang w:val="lv-LV"/>
              </w:rPr>
              <w:t>“</w:t>
            </w:r>
            <w:r w:rsidRPr="00006E87">
              <w:rPr>
                <w:rFonts w:ascii="Times New Roman" w:hAnsi="Times New Roman"/>
                <w:color w:val="FF0000"/>
                <w:sz w:val="20"/>
                <w:szCs w:val="20"/>
                <w:highlight w:val="yellow"/>
                <w:lang w:val="lv-LV"/>
              </w:rPr>
              <w:t xml:space="preserve">Papildvienošanās par 2019. gada 5. novembrī noslēgtās Vienošanās par LU, DU, </w:t>
            </w:r>
            <w:r w:rsidR="008F61D3" w:rsidRPr="00006E87">
              <w:rPr>
                <w:rFonts w:ascii="Times New Roman" w:hAnsi="Times New Roman"/>
                <w:color w:val="FF0000"/>
                <w:sz w:val="20"/>
                <w:szCs w:val="20"/>
                <w:highlight w:val="yellow"/>
                <w:lang w:val="lv-LV"/>
              </w:rPr>
              <w:t>RTU LA</w:t>
            </w:r>
            <w:r w:rsidR="00D4701B" w:rsidRPr="00006E87">
              <w:rPr>
                <w:rFonts w:ascii="Times New Roman" w:hAnsi="Times New Roman"/>
                <w:color w:val="FF0000"/>
                <w:sz w:val="20"/>
                <w:szCs w:val="20"/>
                <w:highlight w:val="yellow"/>
                <w:lang w:val="lv-LV"/>
              </w:rPr>
              <w:t xml:space="preserve"> un</w:t>
            </w:r>
            <w:r w:rsidRPr="00006E87">
              <w:rPr>
                <w:rFonts w:ascii="Times New Roman" w:hAnsi="Times New Roman"/>
                <w:color w:val="FF0000"/>
                <w:sz w:val="20"/>
                <w:szCs w:val="20"/>
                <w:highlight w:val="yellow"/>
                <w:lang w:val="lv-LV"/>
              </w:rPr>
              <w:t xml:space="preserve"> RTA kopīgas doktora studiju programmas īstenošanu grozījumiem</w:t>
            </w:r>
            <w:r w:rsidR="00AC37BD" w:rsidRPr="00006E87">
              <w:rPr>
                <w:rFonts w:ascii="Times New Roman" w:hAnsi="Times New Roman"/>
                <w:color w:val="FF0000"/>
                <w:sz w:val="20"/>
                <w:szCs w:val="20"/>
                <w:highlight w:val="yellow"/>
                <w:lang w:val="lv-LV"/>
              </w:rPr>
              <w:t>” noslēgta 2021. gada maijā</w:t>
            </w:r>
            <w:r w:rsidRPr="00006E87">
              <w:rPr>
                <w:rFonts w:ascii="Times New Roman" w:hAnsi="Times New Roman"/>
                <w:color w:val="000000"/>
                <w:sz w:val="20"/>
                <w:szCs w:val="20"/>
                <w:lang w:val="lv-LV"/>
              </w:rPr>
              <w:t>).</w:t>
            </w:r>
          </w:p>
          <w:p w14:paraId="42D010C0" w14:textId="77777777" w:rsidR="00D96486" w:rsidRPr="00006E87" w:rsidRDefault="00D96486" w:rsidP="00D96486">
            <w:pPr>
              <w:autoSpaceDE w:val="0"/>
              <w:adjustRightInd w:val="0"/>
              <w:spacing w:after="0"/>
              <w:contextualSpacing/>
              <w:jc w:val="both"/>
              <w:textAlignment w:val="auto"/>
              <w:rPr>
                <w:rFonts w:ascii="Times New Roman" w:hAnsi="Times New Roman"/>
                <w:color w:val="000000"/>
                <w:sz w:val="20"/>
                <w:szCs w:val="20"/>
                <w:lang w:val="lv-LV"/>
              </w:rPr>
            </w:pPr>
          </w:p>
          <w:p w14:paraId="431F6E17" w14:textId="77777777" w:rsidR="00D96486" w:rsidRPr="00006E87" w:rsidRDefault="00D96486" w:rsidP="00D96486">
            <w:pPr>
              <w:autoSpaceDE w:val="0"/>
              <w:adjustRightInd w:val="0"/>
              <w:spacing w:after="0"/>
              <w:contextualSpacing/>
              <w:jc w:val="both"/>
              <w:textAlignment w:val="auto"/>
              <w:rPr>
                <w:rFonts w:ascii="Times New Roman" w:hAnsi="Times New Roman"/>
                <w:color w:val="000000"/>
                <w:sz w:val="20"/>
                <w:szCs w:val="20"/>
                <w:lang w:val="lv-LV"/>
              </w:rPr>
            </w:pPr>
            <w:r w:rsidRPr="00006E87">
              <w:rPr>
                <w:rFonts w:ascii="Times New Roman" w:hAnsi="Times New Roman"/>
                <w:color w:val="000000"/>
                <w:sz w:val="20"/>
                <w:szCs w:val="20"/>
                <w:lang w:val="lv-LV"/>
              </w:rPr>
              <w:t xml:space="preserve">Lai nodrošinātu vienotas prasības promocijas pētījumu aizstāvēšanas procesā, DU promocijas padomē  ir pārstāvēta LU (1 pārstāvis) un RTA (2 pārstāvji). </w:t>
            </w:r>
          </w:p>
          <w:p w14:paraId="27CF481E" w14:textId="77777777" w:rsidR="00D96486" w:rsidRPr="00006E87" w:rsidRDefault="00D96486" w:rsidP="00D96486">
            <w:pPr>
              <w:autoSpaceDE w:val="0"/>
              <w:adjustRightInd w:val="0"/>
              <w:spacing w:after="0"/>
              <w:contextualSpacing/>
              <w:jc w:val="both"/>
              <w:textAlignment w:val="auto"/>
              <w:rPr>
                <w:rFonts w:ascii="Times New Roman" w:hAnsi="Times New Roman"/>
                <w:color w:val="000000"/>
                <w:sz w:val="20"/>
                <w:szCs w:val="20"/>
                <w:lang w:val="lv-LV"/>
              </w:rPr>
            </w:pPr>
          </w:p>
          <w:p w14:paraId="65DF82E1" w14:textId="4A137A25" w:rsidR="00B75270" w:rsidRPr="00006E87" w:rsidRDefault="00D96486" w:rsidP="00877A61">
            <w:pPr>
              <w:autoSpaceDE w:val="0"/>
              <w:adjustRightInd w:val="0"/>
              <w:spacing w:after="0"/>
              <w:contextualSpacing/>
              <w:jc w:val="both"/>
              <w:textAlignment w:val="auto"/>
              <w:rPr>
                <w:rFonts w:ascii="Times New Roman" w:hAnsi="Times New Roman"/>
                <w:color w:val="000000"/>
                <w:sz w:val="20"/>
                <w:szCs w:val="20"/>
                <w:lang w:val="lv-LV"/>
              </w:rPr>
            </w:pPr>
            <w:r w:rsidRPr="00006E87">
              <w:rPr>
                <w:rFonts w:ascii="Times New Roman" w:hAnsi="Times New Roman"/>
                <w:color w:val="000000"/>
                <w:sz w:val="20"/>
                <w:szCs w:val="20"/>
                <w:lang w:val="lv-LV"/>
              </w:rPr>
              <w:t>Kopīgās KDSP “Izglītības zinātnes” daļas – Obligāto kursu daļa (102 KP</w:t>
            </w:r>
            <w:r w:rsidR="00D4701B" w:rsidRPr="00006E87">
              <w:rPr>
                <w:rFonts w:ascii="Times New Roman" w:hAnsi="Times New Roman"/>
                <w:color w:val="000000"/>
                <w:sz w:val="20"/>
                <w:szCs w:val="20"/>
                <w:lang w:val="lv-LV"/>
              </w:rPr>
              <w:t>/163 ECTS</w:t>
            </w:r>
            <w:r w:rsidRPr="00006E87">
              <w:rPr>
                <w:rFonts w:ascii="Times New Roman" w:hAnsi="Times New Roman"/>
                <w:color w:val="000000"/>
                <w:sz w:val="20"/>
                <w:szCs w:val="20"/>
                <w:lang w:val="lv-LV"/>
              </w:rPr>
              <w:t>), Obligātās izvēles kursu daļa (34 KP</w:t>
            </w:r>
            <w:r w:rsidR="00D4701B" w:rsidRPr="00006E87">
              <w:rPr>
                <w:rFonts w:ascii="Times New Roman" w:hAnsi="Times New Roman"/>
                <w:color w:val="000000"/>
                <w:sz w:val="20"/>
                <w:szCs w:val="20"/>
                <w:lang w:val="lv-LV"/>
              </w:rPr>
              <w:t>/51 ECTS</w:t>
            </w:r>
            <w:r w:rsidRPr="00006E87">
              <w:rPr>
                <w:rFonts w:ascii="Times New Roman" w:hAnsi="Times New Roman"/>
                <w:color w:val="000000"/>
                <w:sz w:val="20"/>
                <w:szCs w:val="20"/>
                <w:lang w:val="lv-LV"/>
              </w:rPr>
              <w:t>) un Brīvās izvēles kursu daļa (8 KP</w:t>
            </w:r>
            <w:r w:rsidR="00D4701B" w:rsidRPr="00006E87">
              <w:rPr>
                <w:rFonts w:ascii="Times New Roman" w:hAnsi="Times New Roman"/>
                <w:color w:val="000000"/>
                <w:sz w:val="20"/>
                <w:szCs w:val="20"/>
                <w:lang w:val="lv-LV"/>
              </w:rPr>
              <w:t>/12 ECTS</w:t>
            </w:r>
            <w:r w:rsidRPr="00006E87">
              <w:rPr>
                <w:rFonts w:ascii="Times New Roman" w:hAnsi="Times New Roman"/>
                <w:color w:val="000000"/>
                <w:sz w:val="20"/>
                <w:szCs w:val="20"/>
                <w:lang w:val="lv-LV"/>
              </w:rPr>
              <w:t xml:space="preserve">)– veido saturiski vienotu un secīgu, uz mērķtiecīgu sasniedzamo rezultātu apguvi virzītu studiju programmu. </w:t>
            </w:r>
          </w:p>
        </w:tc>
      </w:tr>
      <w:tr w:rsidR="00B75270" w:rsidRPr="00006E87" w14:paraId="4D1A2BF1"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A82948"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t>5.</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44A923" w14:textId="77777777" w:rsidR="00B75270" w:rsidRPr="00006E87" w:rsidRDefault="00B75270" w:rsidP="00877A61">
            <w:pPr>
              <w:pStyle w:val="Parasts1"/>
              <w:spacing w:after="0"/>
              <w:contextualSpacing/>
              <w:jc w:val="left"/>
              <w:textAlignment w:val="auto"/>
              <w:rPr>
                <w:sz w:val="20"/>
                <w:szCs w:val="20"/>
                <w:lang w:val="lv-LV"/>
              </w:rPr>
            </w:pPr>
            <w:r w:rsidRPr="00006E87">
              <w:rPr>
                <w:rStyle w:val="Noklusjumarindkopasfonts1"/>
                <w:sz w:val="20"/>
                <w:szCs w:val="20"/>
                <w:lang w:val="lv-LV"/>
              </w:rPr>
              <w:t>Augstskola un partnerinstitūcijas ir kopīgi izveidojušas kopīgās studiju programmas kvalitātes nodrošināšanas sistēmu</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1998D4" w14:textId="5925E1F9" w:rsidR="00B75270" w:rsidRPr="00006E87" w:rsidRDefault="00B75270" w:rsidP="00877A61">
            <w:pPr>
              <w:autoSpaceDE w:val="0"/>
              <w:adjustRightInd w:val="0"/>
              <w:spacing w:after="0"/>
              <w:contextualSpacing/>
              <w:jc w:val="both"/>
              <w:textAlignment w:val="auto"/>
              <w:rPr>
                <w:rFonts w:ascii="Times New Roman" w:hAnsi="Times New Roman"/>
                <w:sz w:val="20"/>
                <w:szCs w:val="20"/>
                <w:lang w:val="lv-LV"/>
              </w:rPr>
            </w:pPr>
            <w:r w:rsidRPr="00006E87">
              <w:rPr>
                <w:rFonts w:ascii="Times New Roman" w:hAnsi="Times New Roman"/>
                <w:sz w:val="20"/>
                <w:szCs w:val="20"/>
                <w:lang w:val="lv-LV"/>
              </w:rPr>
              <w:t>KDSP “Izglītības zinātnes</w:t>
            </w:r>
            <w:r w:rsidR="00AD1D81" w:rsidRPr="00006E87">
              <w:rPr>
                <w:rFonts w:ascii="Times New Roman" w:hAnsi="Times New Roman"/>
                <w:sz w:val="20"/>
                <w:szCs w:val="20"/>
                <w:lang w:val="lv-LV"/>
              </w:rPr>
              <w:t>” kvalitātes nodrošināšanai ir</w:t>
            </w:r>
            <w:r w:rsidRPr="00006E87">
              <w:rPr>
                <w:rFonts w:ascii="Times New Roman" w:hAnsi="Times New Roman"/>
                <w:sz w:val="20"/>
                <w:szCs w:val="20"/>
                <w:lang w:val="lv-LV"/>
              </w:rPr>
              <w:t xml:space="preserve"> izveidota kopīga doktorantūra</w:t>
            </w:r>
            <w:r w:rsidR="00AD1D81" w:rsidRPr="00006E87">
              <w:rPr>
                <w:rFonts w:ascii="Times New Roman" w:hAnsi="Times New Roman"/>
                <w:sz w:val="20"/>
                <w:szCs w:val="20"/>
                <w:lang w:val="lv-LV"/>
              </w:rPr>
              <w:t>s padome, ko veido</w:t>
            </w:r>
            <w:r w:rsidRPr="00006E87">
              <w:rPr>
                <w:rFonts w:ascii="Times New Roman" w:hAnsi="Times New Roman"/>
                <w:sz w:val="20"/>
                <w:szCs w:val="20"/>
                <w:lang w:val="lv-LV"/>
              </w:rPr>
              <w:t xml:space="preserve"> visu partneraugstskolu pārstāvji.</w:t>
            </w:r>
            <w:r w:rsidR="0019700E" w:rsidRPr="00006E87">
              <w:rPr>
                <w:rFonts w:ascii="Times New Roman" w:hAnsi="Times New Roman"/>
                <w:sz w:val="20"/>
                <w:szCs w:val="20"/>
                <w:lang w:val="lv-LV"/>
              </w:rPr>
              <w:t xml:space="preserve"> No</w:t>
            </w:r>
            <w:r w:rsidRPr="00006E87">
              <w:rPr>
                <w:rFonts w:ascii="Times New Roman" w:hAnsi="Times New Roman"/>
                <w:sz w:val="20"/>
                <w:szCs w:val="20"/>
                <w:lang w:val="lv-LV"/>
              </w:rPr>
              <w:t xml:space="preserve"> LU </w:t>
            </w:r>
            <w:r w:rsidR="0019700E" w:rsidRPr="00006E87">
              <w:rPr>
                <w:rFonts w:ascii="Times New Roman" w:hAnsi="Times New Roman"/>
                <w:sz w:val="20"/>
                <w:szCs w:val="20"/>
                <w:lang w:val="lv-LV"/>
              </w:rPr>
              <w:t xml:space="preserve">studiju programmas </w:t>
            </w:r>
            <w:r w:rsidR="00AD1D81" w:rsidRPr="00006E87">
              <w:rPr>
                <w:rFonts w:ascii="Times New Roman" w:hAnsi="Times New Roman"/>
                <w:sz w:val="20"/>
                <w:szCs w:val="20"/>
                <w:lang w:val="lv-LV"/>
              </w:rPr>
              <w:t>padomē ir 3 pārstāvji</w:t>
            </w:r>
            <w:r w:rsidRPr="00006E87">
              <w:rPr>
                <w:rFonts w:ascii="Times New Roman" w:hAnsi="Times New Roman"/>
                <w:sz w:val="20"/>
                <w:szCs w:val="20"/>
                <w:lang w:val="lv-LV"/>
              </w:rPr>
              <w:t>,</w:t>
            </w:r>
            <w:r w:rsidR="00AD1D81" w:rsidRPr="00006E87">
              <w:rPr>
                <w:rFonts w:ascii="Times New Roman" w:hAnsi="Times New Roman"/>
                <w:sz w:val="20"/>
                <w:szCs w:val="20"/>
                <w:lang w:val="lv-LV"/>
              </w:rPr>
              <w:t xml:space="preserve"> no DU – 2, no </w:t>
            </w:r>
            <w:r w:rsidR="00542D57" w:rsidRPr="00006E87">
              <w:rPr>
                <w:rFonts w:ascii="Times New Roman" w:hAnsi="Times New Roman"/>
                <w:sz w:val="20"/>
                <w:szCs w:val="20"/>
                <w:lang w:val="lv-LV"/>
              </w:rPr>
              <w:t>RTU LA</w:t>
            </w:r>
            <w:r w:rsidR="00AD1D81" w:rsidRPr="00006E87">
              <w:rPr>
                <w:rFonts w:ascii="Times New Roman" w:hAnsi="Times New Roman"/>
                <w:sz w:val="20"/>
                <w:szCs w:val="20"/>
                <w:lang w:val="lv-LV"/>
              </w:rPr>
              <w:t xml:space="preserve"> – 2, no RTA – 2</w:t>
            </w:r>
            <w:r w:rsidRPr="00006E87">
              <w:rPr>
                <w:rFonts w:ascii="Times New Roman" w:hAnsi="Times New Roman"/>
                <w:sz w:val="20"/>
                <w:szCs w:val="20"/>
                <w:lang w:val="lv-LV"/>
              </w:rPr>
              <w:t xml:space="preserve">. </w:t>
            </w:r>
            <w:r w:rsidR="009C668E" w:rsidRPr="00006E87">
              <w:rPr>
                <w:rFonts w:ascii="Times New Roman" w:hAnsi="Times New Roman"/>
                <w:sz w:val="20"/>
                <w:szCs w:val="20"/>
                <w:lang w:val="lv-LV"/>
              </w:rPr>
              <w:t>(Papildvienošanās par 2019. gada 5</w:t>
            </w:r>
            <w:r w:rsidR="00D4701B" w:rsidRPr="00006E87">
              <w:rPr>
                <w:rFonts w:ascii="Times New Roman" w:hAnsi="Times New Roman"/>
                <w:sz w:val="20"/>
                <w:szCs w:val="20"/>
                <w:lang w:val="lv-LV"/>
              </w:rPr>
              <w:t>.</w:t>
            </w:r>
            <w:r w:rsidR="009C668E" w:rsidRPr="00006E87">
              <w:rPr>
                <w:rFonts w:ascii="Times New Roman" w:hAnsi="Times New Roman"/>
                <w:sz w:val="20"/>
                <w:szCs w:val="20"/>
                <w:lang w:val="lv-LV"/>
              </w:rPr>
              <w:t xml:space="preserve"> novembrī noslēgtās Vienošanās par LU, DU, </w:t>
            </w:r>
            <w:r w:rsidR="00542D57" w:rsidRPr="00006E87">
              <w:rPr>
                <w:rFonts w:ascii="Times New Roman" w:hAnsi="Times New Roman"/>
                <w:sz w:val="20"/>
                <w:szCs w:val="20"/>
                <w:lang w:val="lv-LV"/>
              </w:rPr>
              <w:t>RTU LA,</w:t>
            </w:r>
            <w:r w:rsidR="009C668E" w:rsidRPr="00006E87">
              <w:rPr>
                <w:rFonts w:ascii="Times New Roman" w:hAnsi="Times New Roman"/>
                <w:sz w:val="20"/>
                <w:szCs w:val="20"/>
                <w:lang w:val="lv-LV"/>
              </w:rPr>
              <w:t xml:space="preserve"> RTA kopīgas doktora studiju programmas īstenošanu grozījumiem).</w:t>
            </w:r>
          </w:p>
          <w:p w14:paraId="5E08D32F" w14:textId="77777777" w:rsidR="00F5193D" w:rsidRPr="00006E87" w:rsidRDefault="00F5193D" w:rsidP="00877A61">
            <w:pPr>
              <w:autoSpaceDE w:val="0"/>
              <w:adjustRightInd w:val="0"/>
              <w:spacing w:after="0"/>
              <w:contextualSpacing/>
              <w:jc w:val="both"/>
              <w:textAlignment w:val="auto"/>
              <w:rPr>
                <w:rFonts w:ascii="Times New Roman" w:hAnsi="Times New Roman"/>
                <w:sz w:val="20"/>
                <w:szCs w:val="20"/>
                <w:lang w:val="lv-LV"/>
              </w:rPr>
            </w:pPr>
            <w:r w:rsidRPr="00006E87">
              <w:rPr>
                <w:rFonts w:ascii="Times New Roman" w:hAnsi="Times New Roman"/>
                <w:sz w:val="20"/>
                <w:szCs w:val="20"/>
                <w:lang w:val="lv-LV"/>
              </w:rPr>
              <w:t xml:space="preserve">Kopīgās doktorantūras padomes sēdēs tiek pieņemti visām partneraugstskolām saistoši lēmumi par KDSP saturu un īstenošanu. </w:t>
            </w:r>
          </w:p>
          <w:p w14:paraId="4863226C" w14:textId="77777777" w:rsidR="00D96486" w:rsidRPr="00006E87" w:rsidRDefault="00D96486" w:rsidP="00D96486">
            <w:pPr>
              <w:autoSpaceDE w:val="0"/>
              <w:adjustRightInd w:val="0"/>
              <w:spacing w:after="0"/>
              <w:contextualSpacing/>
              <w:jc w:val="both"/>
              <w:textAlignment w:val="auto"/>
              <w:rPr>
                <w:rFonts w:ascii="Times New Roman" w:hAnsi="Times New Roman"/>
                <w:sz w:val="20"/>
                <w:szCs w:val="20"/>
                <w:lang w:val="lv-LV"/>
              </w:rPr>
            </w:pPr>
            <w:r w:rsidRPr="00006E87">
              <w:rPr>
                <w:rFonts w:ascii="Times New Roman" w:hAnsi="Times New Roman"/>
                <w:sz w:val="20"/>
                <w:szCs w:val="20"/>
                <w:lang w:val="lv-LV"/>
              </w:rPr>
              <w:t>Katrā partneraugstskolā KDSP īstenošanas kvalitāti uzrauga studiju programmas padome. DU KDSP “Izglītības zinātnes” padomes funkcijas ir deleģētas Humanitāro un sociālo zinātņu fakultātes Izglītības un psiholoģijas katedrai (apstiprināts DU Humanitāro un sociālo zinātņu fakultātes Domes sēdē 2024. gada 2. februārī, protokols Nr. 7; līdz šim DU KDSP “Izglītības zinātnes” padomes funkcijas bija deleģētas DU Izglītības un vadības fakultātes Pedagoģijas un pedagoģiskās psiholoģijas katedrai).</w:t>
            </w:r>
          </w:p>
          <w:p w14:paraId="1E2C5969" w14:textId="77777777" w:rsidR="00D96486" w:rsidRPr="00006E87" w:rsidRDefault="00D96486" w:rsidP="00D96486">
            <w:pPr>
              <w:autoSpaceDE w:val="0"/>
              <w:adjustRightInd w:val="0"/>
              <w:spacing w:after="0"/>
              <w:contextualSpacing/>
              <w:jc w:val="both"/>
              <w:textAlignment w:val="auto"/>
              <w:rPr>
                <w:rFonts w:ascii="Times New Roman" w:hAnsi="Times New Roman"/>
                <w:sz w:val="20"/>
                <w:szCs w:val="20"/>
                <w:lang w:val="lv-LV"/>
              </w:rPr>
            </w:pPr>
            <w:r w:rsidRPr="00006E87">
              <w:rPr>
                <w:rFonts w:ascii="Times New Roman" w:hAnsi="Times New Roman"/>
                <w:sz w:val="20"/>
                <w:szCs w:val="20"/>
                <w:lang w:val="lv-LV"/>
              </w:rPr>
              <w:t xml:space="preserve">Izstrādāta rokasgrāmata doktorantiem, kurā aprakstīta promocijas darba struktūra. </w:t>
            </w:r>
          </w:p>
          <w:p w14:paraId="2A4FA92F" w14:textId="4DD552AF" w:rsidR="00B75270" w:rsidRPr="00006E87" w:rsidRDefault="00B75270" w:rsidP="00877A61">
            <w:pPr>
              <w:pStyle w:val="Parasts1"/>
              <w:spacing w:after="0"/>
              <w:contextualSpacing/>
              <w:textAlignment w:val="auto"/>
              <w:rPr>
                <w:sz w:val="20"/>
                <w:szCs w:val="20"/>
                <w:lang w:val="lv-LV"/>
              </w:rPr>
            </w:pPr>
            <w:r w:rsidRPr="00006E87">
              <w:rPr>
                <w:sz w:val="20"/>
                <w:szCs w:val="20"/>
                <w:lang w:val="lv-LV"/>
              </w:rPr>
              <w:t>Lai nodrošinātu promocijas pētījumu aizstāvēšanas procesa kvalitāti,</w:t>
            </w:r>
            <w:r w:rsidR="001F1EC6" w:rsidRPr="00006E87">
              <w:rPr>
                <w:color w:val="FF0000"/>
                <w:sz w:val="20"/>
                <w:szCs w:val="20"/>
                <w:lang w:val="lv-LV"/>
              </w:rPr>
              <w:t xml:space="preserve"> </w:t>
            </w:r>
            <w:r w:rsidR="001F1EC6" w:rsidRPr="00006E87">
              <w:rPr>
                <w:sz w:val="20"/>
                <w:szCs w:val="20"/>
                <w:lang w:val="lv-LV"/>
              </w:rPr>
              <w:t xml:space="preserve">DU promocijas padomē </w:t>
            </w:r>
            <w:r w:rsidR="00A6195E" w:rsidRPr="00006E87">
              <w:rPr>
                <w:sz w:val="20"/>
                <w:szCs w:val="20"/>
                <w:lang w:val="lv-LV"/>
              </w:rPr>
              <w:t xml:space="preserve">jau </w:t>
            </w:r>
            <w:r w:rsidR="001F1EC6" w:rsidRPr="00006E87">
              <w:rPr>
                <w:sz w:val="20"/>
                <w:szCs w:val="20"/>
                <w:lang w:val="lv-LV"/>
              </w:rPr>
              <w:t>ir pārstāvēta LU (1 pārstāvis) un RTA (2 pārstāvji).</w:t>
            </w:r>
          </w:p>
        </w:tc>
      </w:tr>
      <w:tr w:rsidR="00B75270" w:rsidRPr="00006E87" w14:paraId="03A76A6B"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149B6A"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lastRenderedPageBreak/>
              <w:t>6.</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9AE356" w14:textId="77777777" w:rsidR="00B75270" w:rsidRPr="00006E87" w:rsidRDefault="00B75270" w:rsidP="00877A61">
            <w:pPr>
              <w:pStyle w:val="Parasts1"/>
              <w:spacing w:after="0"/>
              <w:contextualSpacing/>
              <w:jc w:val="left"/>
              <w:textAlignment w:val="auto"/>
              <w:rPr>
                <w:sz w:val="20"/>
                <w:szCs w:val="20"/>
                <w:lang w:val="lv-LV"/>
              </w:rPr>
            </w:pPr>
            <w:r w:rsidRPr="00006E87">
              <w:rPr>
                <w:rStyle w:val="Noklusjumarindkopasfonts1"/>
                <w:sz w:val="20"/>
                <w:szCs w:val="20"/>
                <w:lang w:val="lv-LV"/>
              </w:rPr>
              <w:t>Ir nodrošināta studējošo mobilitāte, kas ļauj apgūt kopīgās studiju programmas samērīgu un būtisku daļu arī vienā vai vairākās partnerinstitūcijās</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102C11" w14:textId="4F428406" w:rsidR="00B75270" w:rsidRPr="00006E87" w:rsidRDefault="0087339A" w:rsidP="00877A61">
            <w:pPr>
              <w:pStyle w:val="Parasts1"/>
              <w:spacing w:after="0"/>
              <w:contextualSpacing/>
              <w:textAlignment w:val="auto"/>
              <w:rPr>
                <w:bCs/>
                <w:iCs/>
                <w:sz w:val="20"/>
                <w:szCs w:val="20"/>
                <w:lang w:val="lv-LV"/>
              </w:rPr>
            </w:pPr>
            <w:r w:rsidRPr="00006E87">
              <w:rPr>
                <w:sz w:val="20"/>
                <w:szCs w:val="20"/>
                <w:lang w:val="lv-LV"/>
              </w:rPr>
              <w:t>KDSP “Izglītības zinātnes” tiek</w:t>
            </w:r>
            <w:r w:rsidR="00B75270" w:rsidRPr="00006E87">
              <w:rPr>
                <w:sz w:val="20"/>
                <w:szCs w:val="20"/>
                <w:lang w:val="lv-LV"/>
              </w:rPr>
              <w:t xml:space="preserve"> īstenota visās iesaistītajās augstskolās. </w:t>
            </w:r>
            <w:r w:rsidR="00B75270" w:rsidRPr="00006E87">
              <w:rPr>
                <w:bCs/>
                <w:iCs/>
                <w:sz w:val="20"/>
                <w:szCs w:val="20"/>
                <w:lang w:val="lv-LV"/>
              </w:rPr>
              <w:t>LU</w:t>
            </w:r>
            <w:r w:rsidRPr="00006E87">
              <w:rPr>
                <w:bCs/>
                <w:iCs/>
                <w:color w:val="FF0000"/>
                <w:sz w:val="20"/>
                <w:szCs w:val="20"/>
                <w:lang w:val="lv-LV"/>
              </w:rPr>
              <w:t xml:space="preserve"> </w:t>
            </w:r>
            <w:r w:rsidRPr="00006E87">
              <w:rPr>
                <w:bCs/>
                <w:iCs/>
                <w:sz w:val="20"/>
                <w:szCs w:val="20"/>
                <w:lang w:val="lv-LV"/>
              </w:rPr>
              <w:t>īsteno</w:t>
            </w:r>
            <w:r w:rsidR="00B75270" w:rsidRPr="00006E87">
              <w:rPr>
                <w:bCs/>
                <w:iCs/>
                <w:sz w:val="20"/>
                <w:szCs w:val="20"/>
                <w:lang w:val="lv-LV"/>
              </w:rPr>
              <w:t xml:space="preserve"> programmas obligātās daļas kursus un vispārīgos kursus programmas ierobežotās izvēles</w:t>
            </w:r>
            <w:r w:rsidRPr="00006E87">
              <w:rPr>
                <w:bCs/>
                <w:iCs/>
                <w:sz w:val="20"/>
                <w:szCs w:val="20"/>
                <w:lang w:val="lv-LV"/>
              </w:rPr>
              <w:t xml:space="preserve"> daļā, kā arī īsteno</w:t>
            </w:r>
            <w:r w:rsidR="00B75270" w:rsidRPr="00006E87">
              <w:rPr>
                <w:bCs/>
                <w:iCs/>
                <w:sz w:val="20"/>
                <w:szCs w:val="20"/>
                <w:lang w:val="lv-LV"/>
              </w:rPr>
              <w:t xml:space="preserve"> izvēles moduli – šāds programmas norises plānojums ietver studentu mobilitāti.</w:t>
            </w:r>
          </w:p>
          <w:p w14:paraId="6D7756C6" w14:textId="072172F9" w:rsidR="00B75270" w:rsidRPr="00006E87" w:rsidRDefault="0087339A" w:rsidP="00877A61">
            <w:pPr>
              <w:pStyle w:val="Parasts1"/>
              <w:spacing w:after="0"/>
              <w:contextualSpacing/>
              <w:textAlignment w:val="auto"/>
              <w:rPr>
                <w:bCs/>
                <w:iCs/>
                <w:sz w:val="20"/>
                <w:szCs w:val="20"/>
                <w:lang w:val="lv-LV"/>
              </w:rPr>
            </w:pPr>
            <w:r w:rsidRPr="00006E87">
              <w:rPr>
                <w:bCs/>
                <w:iCs/>
                <w:sz w:val="20"/>
                <w:szCs w:val="20"/>
                <w:lang w:val="lv-LV"/>
              </w:rPr>
              <w:t>DU un RTA īsteno</w:t>
            </w:r>
            <w:r w:rsidR="00B75270" w:rsidRPr="00006E87">
              <w:rPr>
                <w:bCs/>
                <w:iCs/>
                <w:sz w:val="20"/>
                <w:szCs w:val="20"/>
                <w:lang w:val="lv-LV"/>
              </w:rPr>
              <w:t xml:space="preserve"> izvēles moduli, ko ir tiesīgi izvēlēties studenti no visām programmā iesaistītajām institūcijām - šāds programmas norises plānojums ietver studentu mobilitāti.</w:t>
            </w:r>
          </w:p>
          <w:p w14:paraId="1648D887" w14:textId="77777777" w:rsidR="00B75270" w:rsidRPr="00006E87" w:rsidRDefault="0087339A" w:rsidP="00877A61">
            <w:pPr>
              <w:pStyle w:val="Parasts1"/>
              <w:spacing w:after="0"/>
              <w:contextualSpacing/>
              <w:textAlignment w:val="auto"/>
              <w:rPr>
                <w:bCs/>
                <w:iCs/>
                <w:sz w:val="20"/>
                <w:szCs w:val="20"/>
                <w:lang w:val="lv-LV"/>
              </w:rPr>
            </w:pPr>
            <w:r w:rsidRPr="00006E87">
              <w:rPr>
                <w:bCs/>
                <w:iCs/>
                <w:sz w:val="20"/>
                <w:szCs w:val="20"/>
                <w:lang w:val="lv-LV"/>
              </w:rPr>
              <w:t>Programmas īstenošanā tiek</w:t>
            </w:r>
            <w:r w:rsidR="00B75270" w:rsidRPr="00006E87">
              <w:rPr>
                <w:bCs/>
                <w:iCs/>
                <w:sz w:val="20"/>
                <w:szCs w:val="20"/>
                <w:lang w:val="lv-LV"/>
              </w:rPr>
              <w:t xml:space="preserve"> izmantotas gan bezsaistes, gan tiešsaistes komunikācijas iespējas. Tiešsaistes iespēju izmantošana ir viens no studentu mobilitātes nodrošināšanas instrumentiem.</w:t>
            </w:r>
          </w:p>
        </w:tc>
      </w:tr>
      <w:tr w:rsidR="00B75270" w:rsidRPr="00006E87" w14:paraId="49C82344"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AA4743"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t>7.</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7CBE9D" w14:textId="77777777" w:rsidR="00B75270" w:rsidRPr="00006E87" w:rsidRDefault="00B75270" w:rsidP="00877A61">
            <w:pPr>
              <w:pStyle w:val="Parasts1"/>
              <w:spacing w:after="0"/>
              <w:contextualSpacing/>
              <w:jc w:val="left"/>
              <w:textAlignment w:val="auto"/>
              <w:rPr>
                <w:sz w:val="20"/>
                <w:szCs w:val="20"/>
                <w:lang w:val="lv-LV"/>
              </w:rPr>
            </w:pPr>
            <w:r w:rsidRPr="00006E87">
              <w:rPr>
                <w:rStyle w:val="Noklusjumarindkopasfonts1"/>
                <w:sz w:val="20"/>
                <w:szCs w:val="20"/>
                <w:lang w:val="lv-LV"/>
              </w:rPr>
              <w:t>Ir nodrošināta akadēmiskā personāla mobilitāte, lai tas varētu mācīt arī vismaz vienā partnerinstitūcijā</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A96EBF" w14:textId="61D3BCE8" w:rsidR="00800620" w:rsidRPr="00006E87" w:rsidRDefault="007872E8" w:rsidP="00800620">
            <w:pPr>
              <w:pStyle w:val="Parasts1"/>
              <w:spacing w:after="0"/>
              <w:contextualSpacing/>
              <w:textAlignment w:val="auto"/>
              <w:rPr>
                <w:bCs/>
                <w:iCs/>
                <w:sz w:val="20"/>
                <w:szCs w:val="20"/>
                <w:lang w:val="lv-LV"/>
              </w:rPr>
            </w:pPr>
            <w:r w:rsidRPr="00006E87">
              <w:rPr>
                <w:bCs/>
                <w:iCs/>
                <w:sz w:val="20"/>
                <w:szCs w:val="20"/>
                <w:lang w:val="lv-LV"/>
              </w:rPr>
              <w:t xml:space="preserve">Programmas ietvaros tiek nodrošināta DU akadēmiskā personāla mobilitāte. </w:t>
            </w:r>
            <w:r w:rsidR="00800620" w:rsidRPr="00006E87">
              <w:rPr>
                <w:bCs/>
                <w:iCs/>
                <w:sz w:val="20"/>
                <w:szCs w:val="20"/>
                <w:lang w:val="lv-LV"/>
              </w:rPr>
              <w:t xml:space="preserve">Piemēram, studiju kursa “Izglītības zinātņu pētījuma metodoloģija” nodrošinājumā ir iesaistīta DU profesore, kas vada seminārus LU, DU, </w:t>
            </w:r>
            <w:r w:rsidR="00E20FA2" w:rsidRPr="00006E87">
              <w:rPr>
                <w:bCs/>
                <w:iCs/>
                <w:sz w:val="20"/>
                <w:szCs w:val="20"/>
                <w:lang w:val="lv-LV"/>
              </w:rPr>
              <w:t>RTU LA</w:t>
            </w:r>
            <w:r w:rsidR="00800620" w:rsidRPr="00006E87">
              <w:rPr>
                <w:bCs/>
                <w:iCs/>
                <w:sz w:val="20"/>
                <w:szCs w:val="20"/>
                <w:lang w:val="lv-LV"/>
              </w:rPr>
              <w:t xml:space="preserve"> un RTA doktorantiem.</w:t>
            </w:r>
          </w:p>
          <w:p w14:paraId="5A0A4377" w14:textId="1C30A95B" w:rsidR="00EE70EF" w:rsidRPr="00006E87" w:rsidRDefault="007872E8" w:rsidP="00CD68A4">
            <w:pPr>
              <w:pStyle w:val="Parasts1"/>
              <w:spacing w:after="0"/>
              <w:contextualSpacing/>
              <w:textAlignment w:val="auto"/>
              <w:rPr>
                <w:bCs/>
                <w:iCs/>
                <w:sz w:val="20"/>
                <w:szCs w:val="20"/>
                <w:lang w:val="lv-LV"/>
              </w:rPr>
            </w:pPr>
            <w:r w:rsidRPr="00006E87">
              <w:rPr>
                <w:bCs/>
                <w:iCs/>
                <w:sz w:val="20"/>
                <w:szCs w:val="20"/>
                <w:lang w:val="lv-LV"/>
              </w:rPr>
              <w:t xml:space="preserve">DU, </w:t>
            </w:r>
            <w:r w:rsidR="00E20FA2" w:rsidRPr="00006E87">
              <w:rPr>
                <w:bCs/>
                <w:iCs/>
                <w:sz w:val="20"/>
                <w:szCs w:val="20"/>
                <w:lang w:val="lv-LV"/>
              </w:rPr>
              <w:t>RTA LU</w:t>
            </w:r>
            <w:r w:rsidRPr="00006E87">
              <w:rPr>
                <w:bCs/>
                <w:iCs/>
                <w:sz w:val="20"/>
                <w:szCs w:val="20"/>
                <w:lang w:val="lv-LV"/>
              </w:rPr>
              <w:t xml:space="preserve"> un RTA īsteno izvēles moduli, ko ir tiesīgi izvēlēties studenti no visām programmā iesaistītajām institūcijām - šāds programmas norises plānojums ietver docētāju mobilitāti.</w:t>
            </w:r>
            <w:r w:rsidR="0049503C" w:rsidRPr="00006E87">
              <w:rPr>
                <w:bCs/>
                <w:iCs/>
                <w:sz w:val="20"/>
                <w:szCs w:val="20"/>
                <w:lang w:val="lv-LV"/>
              </w:rPr>
              <w:t xml:space="preserve"> Piemēram, 2021./2022.st.g. </w:t>
            </w:r>
            <w:r w:rsidRPr="00006E87">
              <w:rPr>
                <w:bCs/>
                <w:iCs/>
                <w:sz w:val="20"/>
                <w:szCs w:val="20"/>
                <w:lang w:val="lv-LV"/>
              </w:rPr>
              <w:t xml:space="preserve">DU moduļa “Izglītība ilgtspējīgai attīstībai skolā un augtskolā” ietvaros nodarbības studiju kursos “Mācību līdzekļu izveides konceptuālās pamatnostādnes ilgtspējīgas attīstības kontekstā” </w:t>
            </w:r>
            <w:r w:rsidR="00CD68A4" w:rsidRPr="00006E87">
              <w:rPr>
                <w:bCs/>
                <w:iCs/>
                <w:sz w:val="20"/>
                <w:szCs w:val="20"/>
                <w:lang w:val="lv-LV"/>
              </w:rPr>
              <w:t xml:space="preserve"> un “Nozaru pedagoģija postmodernisma laikmetā: paradigmas, pieejas un didaktiskie modeļi” apmeklēja LU un RTA  doktoranti. </w:t>
            </w:r>
          </w:p>
          <w:p w14:paraId="56CB2144" w14:textId="77777777" w:rsidR="00BB4CCE" w:rsidRPr="00006E87" w:rsidRDefault="00455D89" w:rsidP="00CD68A4">
            <w:pPr>
              <w:pStyle w:val="Parasts1"/>
              <w:spacing w:after="0"/>
              <w:contextualSpacing/>
              <w:textAlignment w:val="auto"/>
              <w:rPr>
                <w:bCs/>
                <w:iCs/>
                <w:sz w:val="20"/>
                <w:szCs w:val="20"/>
                <w:lang w:val="lv-LV"/>
              </w:rPr>
            </w:pPr>
            <w:r w:rsidRPr="00006E87">
              <w:rPr>
                <w:bCs/>
                <w:iCs/>
                <w:sz w:val="20"/>
                <w:szCs w:val="20"/>
                <w:lang w:val="lv-LV"/>
              </w:rPr>
              <w:t xml:space="preserve">Programmas īstenošanā tiek izmantotas gan bezsaistes, gan tiešsaistes komunikācijas iespējas. Tiešsaistes iespēju </w:t>
            </w:r>
            <w:r w:rsidR="00EE70EF" w:rsidRPr="00006E87">
              <w:rPr>
                <w:bCs/>
                <w:iCs/>
                <w:sz w:val="20"/>
                <w:szCs w:val="20"/>
                <w:lang w:val="lv-LV"/>
              </w:rPr>
              <w:t>izmantošana ir viens no akadēmiskā personāla</w:t>
            </w:r>
            <w:r w:rsidRPr="00006E87">
              <w:rPr>
                <w:bCs/>
                <w:iCs/>
                <w:sz w:val="20"/>
                <w:szCs w:val="20"/>
                <w:lang w:val="lv-LV"/>
              </w:rPr>
              <w:t xml:space="preserve"> mobilitātes nodrošināšanas instrumentiem.</w:t>
            </w:r>
          </w:p>
        </w:tc>
      </w:tr>
      <w:tr w:rsidR="00B75270" w:rsidRPr="00006E87" w14:paraId="2B02AAB5"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FDC152"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t>8.</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EE238F" w14:textId="77777777" w:rsidR="00B75270" w:rsidRPr="00006E87" w:rsidRDefault="00B75270" w:rsidP="00877A61">
            <w:pPr>
              <w:pStyle w:val="Parasts1"/>
              <w:spacing w:after="0"/>
              <w:contextualSpacing/>
              <w:jc w:val="left"/>
              <w:textAlignment w:val="auto"/>
              <w:rPr>
                <w:sz w:val="20"/>
                <w:szCs w:val="20"/>
                <w:lang w:val="lv-LV"/>
              </w:rPr>
            </w:pPr>
            <w:r w:rsidRPr="00006E87">
              <w:rPr>
                <w:rStyle w:val="Noklusjumarindkopasfonts1"/>
                <w:sz w:val="20"/>
                <w:szCs w:val="20"/>
                <w:lang w:val="lv-LV"/>
              </w:rPr>
              <w:t>Ir noteikts kopīgās studiju programmas apguves rezultātā piešķiramais grāds vai profesionālā kvalifikācija, kas atbilst Latvijas normatīvajos aktos noteiktajai studijās iegūstamo grādu vai profesionālās kvalifikācijas sistēmai</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6E458" w14:textId="492DE762" w:rsidR="00B75270" w:rsidRPr="00006E87" w:rsidRDefault="00D96486" w:rsidP="00877A61">
            <w:pPr>
              <w:shd w:val="clear" w:color="auto" w:fill="FFFFFF"/>
              <w:autoSpaceDN/>
              <w:jc w:val="both"/>
              <w:textAlignment w:val="auto"/>
              <w:rPr>
                <w:rFonts w:ascii="Times New Roman" w:eastAsia="Times New Roman" w:hAnsi="Times New Roman"/>
                <w:sz w:val="20"/>
                <w:szCs w:val="20"/>
                <w:lang w:val="lv-LV" w:eastAsia="lv-LV"/>
              </w:rPr>
            </w:pPr>
            <w:r w:rsidRPr="00006E87">
              <w:rPr>
                <w:rStyle w:val="Noklusjumarindkopasfonts1"/>
                <w:rFonts w:ascii="Times New Roman" w:hAnsi="Times New Roman"/>
                <w:sz w:val="20"/>
                <w:szCs w:val="20"/>
                <w:lang w:val="lv-LV"/>
              </w:rPr>
              <w:t xml:space="preserve">Pēc KDSP “Izglītības zinātnes” sekmīgas pabeigšanas un promocijas pētījuma aizstāvēšanas saskaņā ar </w:t>
            </w:r>
            <w:r w:rsidRPr="00006E87">
              <w:rPr>
                <w:rFonts w:ascii="Times New Roman" w:eastAsia="Times New Roman" w:hAnsi="Times New Roman"/>
                <w:lang w:val="lv-LV"/>
              </w:rPr>
              <w:t>l</w:t>
            </w:r>
            <w:r w:rsidRPr="00006E87">
              <w:rPr>
                <w:rFonts w:ascii="Times New Roman" w:eastAsia="Times New Roman" w:hAnsi="Times New Roman"/>
                <w:sz w:val="20"/>
                <w:szCs w:val="20"/>
                <w:lang w:val="lv-LV"/>
              </w:rPr>
              <w:t>ikumu “Grozījumi Zinātniskās darbības likumā” (spēkā no 29.07.2022.) un Ministru kabineta 2022. gada 27. septembra noteikumiem Nr. 595 “Noteikumi par Latvijas zinātnes nozaru grupām, zinātnes nozarēm un apakšnozarēm” (spēkā no 30.09.2022.)</w:t>
            </w:r>
            <w:r w:rsidRPr="00006E87">
              <w:rPr>
                <w:rStyle w:val="Noklusjumarindkopasfonts1"/>
                <w:rFonts w:ascii="Times New Roman" w:hAnsi="Times New Roman"/>
                <w:lang w:val="lv-LV"/>
              </w:rPr>
              <w:t xml:space="preserve"> </w:t>
            </w:r>
            <w:r w:rsidRPr="00006E87">
              <w:rPr>
                <w:rStyle w:val="Noklusjumarindkopasfonts1"/>
                <w:rFonts w:ascii="Times New Roman" w:hAnsi="Times New Roman"/>
                <w:sz w:val="20"/>
                <w:szCs w:val="20"/>
                <w:lang w:val="lv-LV"/>
              </w:rPr>
              <w:t xml:space="preserve">tiek piešķirts </w:t>
            </w:r>
            <w:bookmarkStart w:id="2" w:name="_Hlk19289768"/>
            <w:r w:rsidRPr="00006E87">
              <w:rPr>
                <w:rFonts w:ascii="Times New Roman" w:hAnsi="Times New Roman"/>
                <w:sz w:val="20"/>
                <w:szCs w:val="20"/>
                <w:shd w:val="clear" w:color="auto" w:fill="FFFFFF"/>
                <w:lang w:val="lv-LV"/>
              </w:rPr>
              <w:t>zinātnes doktora grāds zinātnes doktors (</w:t>
            </w:r>
            <w:r w:rsidRPr="00006E87">
              <w:rPr>
                <w:rFonts w:ascii="Times New Roman" w:hAnsi="Times New Roman"/>
                <w:i/>
                <w:iCs/>
                <w:sz w:val="20"/>
                <w:szCs w:val="20"/>
                <w:shd w:val="clear" w:color="auto" w:fill="FFFFFF"/>
                <w:lang w:val="lv-LV"/>
              </w:rPr>
              <w:t>Ph.D.</w:t>
            </w:r>
            <w:r w:rsidRPr="00006E87">
              <w:rPr>
                <w:rFonts w:ascii="Times New Roman" w:hAnsi="Times New Roman"/>
                <w:sz w:val="20"/>
                <w:szCs w:val="20"/>
                <w:shd w:val="clear" w:color="auto" w:fill="FFFFFF"/>
                <w:lang w:val="lv-LV"/>
              </w:rPr>
              <w:t>) </w:t>
            </w:r>
            <w:r w:rsidRPr="00006E87">
              <w:rPr>
                <w:rStyle w:val="Noklusjumarindkopasfonts1"/>
                <w:rFonts w:ascii="Times New Roman" w:hAnsi="Times New Roman"/>
                <w:sz w:val="20"/>
                <w:szCs w:val="20"/>
                <w:lang w:val="lv-LV"/>
              </w:rPr>
              <w:t xml:space="preserve"> sociālajās zinātnēs. </w:t>
            </w:r>
            <w:bookmarkEnd w:id="2"/>
            <w:r w:rsidRPr="00006E87">
              <w:rPr>
                <w:rStyle w:val="Noklusjumarindkopasfonts1"/>
                <w:rFonts w:ascii="Times New Roman" w:hAnsi="Times New Roman"/>
                <w:sz w:val="20"/>
                <w:szCs w:val="20"/>
                <w:lang w:val="lv-LV"/>
              </w:rPr>
              <w:t>Profesionālā kvalifikācija nav paredzēta.</w:t>
            </w:r>
          </w:p>
        </w:tc>
      </w:tr>
      <w:tr w:rsidR="00B75270" w:rsidRPr="00006E87" w14:paraId="45CBEC30" w14:textId="77777777" w:rsidTr="00B33F73">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BB813" w14:textId="77777777" w:rsidR="00B75270" w:rsidRPr="00006E87" w:rsidRDefault="00B75270" w:rsidP="00877A61">
            <w:pPr>
              <w:pStyle w:val="Parasts1"/>
              <w:spacing w:after="0"/>
              <w:contextualSpacing/>
              <w:jc w:val="center"/>
              <w:textAlignment w:val="auto"/>
              <w:rPr>
                <w:sz w:val="20"/>
                <w:szCs w:val="20"/>
                <w:lang w:val="lv-LV"/>
              </w:rPr>
            </w:pPr>
            <w:r w:rsidRPr="00006E87">
              <w:rPr>
                <w:rStyle w:val="Noklusjumarindkopasfonts1"/>
                <w:sz w:val="20"/>
                <w:szCs w:val="20"/>
                <w:lang w:val="lv-LV"/>
              </w:rPr>
              <w:t>9.</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16DF7" w14:textId="77777777" w:rsidR="00B75270" w:rsidRPr="00006E87" w:rsidRDefault="00B75270" w:rsidP="00877A61">
            <w:pPr>
              <w:pStyle w:val="Parasts1"/>
              <w:spacing w:after="0"/>
              <w:contextualSpacing/>
              <w:jc w:val="left"/>
              <w:textAlignment w:val="auto"/>
              <w:rPr>
                <w:sz w:val="20"/>
                <w:szCs w:val="20"/>
                <w:lang w:val="lv-LV"/>
              </w:rPr>
            </w:pPr>
            <w:r w:rsidRPr="00006E87">
              <w:rPr>
                <w:rStyle w:val="Noklusjumarindkopasfonts1"/>
                <w:sz w:val="20"/>
                <w:szCs w:val="20"/>
                <w:lang w:val="lv-LV"/>
              </w:rPr>
              <w:t>Ir noteikts augstskolas un partnerinstitūciju kopīgi izsniedzamā diploma, kā arī diplomam pievienotā pielikuma saturs, kas atbilst Ministru kabineta noteikumiem “Kārtība, kādā izsniedz valsts atzītus augstāko izglītību apliecinošus dokumentus”</w:t>
            </w:r>
          </w:p>
        </w:tc>
        <w:tc>
          <w:tcPr>
            <w:tcW w:w="53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49E5C" w14:textId="74762265" w:rsidR="00B75270" w:rsidRPr="00006E87" w:rsidRDefault="00D96486" w:rsidP="00877A61">
            <w:pPr>
              <w:pStyle w:val="Parasts1"/>
              <w:spacing w:after="0"/>
              <w:contextualSpacing/>
              <w:textAlignment w:val="auto"/>
              <w:rPr>
                <w:sz w:val="20"/>
                <w:szCs w:val="20"/>
                <w:lang w:val="lv-LV"/>
              </w:rPr>
            </w:pPr>
            <w:r w:rsidRPr="00006E87">
              <w:rPr>
                <w:rStyle w:val="Noklusjumarindkopasfonts1"/>
                <w:sz w:val="20"/>
                <w:szCs w:val="20"/>
                <w:lang w:val="lv-LV"/>
              </w:rPr>
              <w:t>KDSP “Izglītības zinātnes” tiek izsniegts vienots diploms ar visu četru partnerinstitūciju logo un rektoru parakstiem, kā arī vienotam programmas saturam atbilstošs diplomam pievienotais pielikums.</w:t>
            </w:r>
          </w:p>
        </w:tc>
      </w:tr>
    </w:tbl>
    <w:p w14:paraId="5B22CBE7" w14:textId="77777777" w:rsidR="008A7B64" w:rsidRPr="00006E87" w:rsidRDefault="008A7B64" w:rsidP="00E11B9B">
      <w:pPr>
        <w:rPr>
          <w:rFonts w:ascii="Times New Roman" w:hAnsi="Times New Roman"/>
          <w:lang w:val="lv-LV"/>
        </w:rPr>
      </w:pPr>
    </w:p>
    <w:sectPr w:rsidR="008A7B64" w:rsidRPr="00006E8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6C8B3A" w14:textId="77777777" w:rsidR="00250B72" w:rsidRDefault="00250B72">
      <w:pPr>
        <w:spacing w:after="0"/>
      </w:pPr>
      <w:r>
        <w:separator/>
      </w:r>
    </w:p>
  </w:endnote>
  <w:endnote w:type="continuationSeparator" w:id="0">
    <w:p w14:paraId="0C6D7DE8" w14:textId="77777777" w:rsidR="00250B72" w:rsidRDefault="00250B7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D8B70F" w14:textId="77777777" w:rsidR="003E0C89" w:rsidRPr="007036B3" w:rsidRDefault="00E11B9B" w:rsidP="0091128B">
    <w:pPr>
      <w:pStyle w:val="Kjene1"/>
      <w:jc w:val="center"/>
      <w:rPr>
        <w:sz w:val="20"/>
        <w:szCs w:val="20"/>
      </w:rPr>
    </w:pPr>
    <w:r w:rsidRPr="007036B3">
      <w:rPr>
        <w:sz w:val="20"/>
        <w:szCs w:val="20"/>
      </w:rPr>
      <w:fldChar w:fldCharType="begin"/>
    </w:r>
    <w:r w:rsidRPr="007036B3">
      <w:rPr>
        <w:sz w:val="20"/>
        <w:szCs w:val="20"/>
      </w:rPr>
      <w:instrText xml:space="preserve"> PAGE </w:instrText>
    </w:r>
    <w:r w:rsidRPr="007036B3">
      <w:rPr>
        <w:sz w:val="20"/>
        <w:szCs w:val="20"/>
      </w:rPr>
      <w:fldChar w:fldCharType="separate"/>
    </w:r>
    <w:r w:rsidR="00662335">
      <w:rPr>
        <w:noProof/>
        <w:sz w:val="20"/>
        <w:szCs w:val="20"/>
      </w:rPr>
      <w:t>4</w:t>
    </w:r>
    <w:r w:rsidRPr="007036B3">
      <w:rPr>
        <w:sz w:val="20"/>
        <w:szCs w:val="20"/>
      </w:rPr>
      <w:fldChar w:fldCharType="end"/>
    </w:r>
  </w:p>
  <w:p w14:paraId="62F38F1E" w14:textId="77777777" w:rsidR="003E0C89" w:rsidRDefault="003E0C89">
    <w:pPr>
      <w:pStyle w:val="Kjene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6C0604" w14:textId="77777777" w:rsidR="00250B72" w:rsidRDefault="00250B72">
      <w:pPr>
        <w:spacing w:after="0"/>
      </w:pPr>
      <w:r>
        <w:separator/>
      </w:r>
    </w:p>
  </w:footnote>
  <w:footnote w:type="continuationSeparator" w:id="0">
    <w:p w14:paraId="7459EB45" w14:textId="77777777" w:rsidR="00250B72" w:rsidRDefault="00250B7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52449D"/>
    <w:multiLevelType w:val="hybridMultilevel"/>
    <w:tmpl w:val="EB804CFE"/>
    <w:lvl w:ilvl="0" w:tplc="6BE01012">
      <w:start w:val="1"/>
      <w:numFmt w:val="decimal"/>
      <w:lvlText w:val="%1."/>
      <w:lvlJc w:val="left"/>
      <w:pPr>
        <w:ind w:left="720" w:hanging="360"/>
      </w:pPr>
      <w:rPr>
        <w:rFonts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14A4"/>
    <w:rsid w:val="00006E87"/>
    <w:rsid w:val="00046515"/>
    <w:rsid w:val="000951F6"/>
    <w:rsid w:val="000E77C3"/>
    <w:rsid w:val="00102CDD"/>
    <w:rsid w:val="001305DF"/>
    <w:rsid w:val="00135D72"/>
    <w:rsid w:val="00196BAA"/>
    <w:rsid w:val="0019700E"/>
    <w:rsid w:val="001A14A4"/>
    <w:rsid w:val="001D5200"/>
    <w:rsid w:val="001F1331"/>
    <w:rsid w:val="001F1EC6"/>
    <w:rsid w:val="001F78AC"/>
    <w:rsid w:val="00250B72"/>
    <w:rsid w:val="0026070E"/>
    <w:rsid w:val="00260BF7"/>
    <w:rsid w:val="00261529"/>
    <w:rsid w:val="0027157E"/>
    <w:rsid w:val="00274A3C"/>
    <w:rsid w:val="00276AE9"/>
    <w:rsid w:val="0028145C"/>
    <w:rsid w:val="002A6B46"/>
    <w:rsid w:val="002C3688"/>
    <w:rsid w:val="002C421A"/>
    <w:rsid w:val="002D1B3C"/>
    <w:rsid w:val="002D32BE"/>
    <w:rsid w:val="002F6821"/>
    <w:rsid w:val="003048DB"/>
    <w:rsid w:val="00317CF7"/>
    <w:rsid w:val="00336F23"/>
    <w:rsid w:val="0034182F"/>
    <w:rsid w:val="003857AE"/>
    <w:rsid w:val="003E0C89"/>
    <w:rsid w:val="0040246B"/>
    <w:rsid w:val="00455D89"/>
    <w:rsid w:val="0046563C"/>
    <w:rsid w:val="0048119E"/>
    <w:rsid w:val="0049503C"/>
    <w:rsid w:val="004E0305"/>
    <w:rsid w:val="00520CEB"/>
    <w:rsid w:val="00542D57"/>
    <w:rsid w:val="0054549D"/>
    <w:rsid w:val="00592E8A"/>
    <w:rsid w:val="005A2CC3"/>
    <w:rsid w:val="005C6661"/>
    <w:rsid w:val="005E7E2F"/>
    <w:rsid w:val="00662335"/>
    <w:rsid w:val="00667D3D"/>
    <w:rsid w:val="00681E6B"/>
    <w:rsid w:val="00685FB5"/>
    <w:rsid w:val="006A7A5C"/>
    <w:rsid w:val="006B7E85"/>
    <w:rsid w:val="00707CCC"/>
    <w:rsid w:val="0071498B"/>
    <w:rsid w:val="00716EC7"/>
    <w:rsid w:val="00727186"/>
    <w:rsid w:val="00751E19"/>
    <w:rsid w:val="007872E8"/>
    <w:rsid w:val="007A5E5D"/>
    <w:rsid w:val="007B692D"/>
    <w:rsid w:val="00800620"/>
    <w:rsid w:val="00826D76"/>
    <w:rsid w:val="008425D0"/>
    <w:rsid w:val="00872B89"/>
    <w:rsid w:val="0087339A"/>
    <w:rsid w:val="008A7B64"/>
    <w:rsid w:val="008F61D3"/>
    <w:rsid w:val="00900EED"/>
    <w:rsid w:val="009172EF"/>
    <w:rsid w:val="00957A44"/>
    <w:rsid w:val="00992ED9"/>
    <w:rsid w:val="009C668E"/>
    <w:rsid w:val="00A6195E"/>
    <w:rsid w:val="00AA7D68"/>
    <w:rsid w:val="00AC37BD"/>
    <w:rsid w:val="00AD1D81"/>
    <w:rsid w:val="00AF22EB"/>
    <w:rsid w:val="00B33F73"/>
    <w:rsid w:val="00B367BF"/>
    <w:rsid w:val="00B75270"/>
    <w:rsid w:val="00B87C14"/>
    <w:rsid w:val="00B90DAB"/>
    <w:rsid w:val="00BB4CCE"/>
    <w:rsid w:val="00BE0C58"/>
    <w:rsid w:val="00C04E16"/>
    <w:rsid w:val="00C07C70"/>
    <w:rsid w:val="00C424B6"/>
    <w:rsid w:val="00C513B4"/>
    <w:rsid w:val="00C878F6"/>
    <w:rsid w:val="00CB3E7D"/>
    <w:rsid w:val="00CC7C00"/>
    <w:rsid w:val="00CD1655"/>
    <w:rsid w:val="00CD68A4"/>
    <w:rsid w:val="00CF2963"/>
    <w:rsid w:val="00D16954"/>
    <w:rsid w:val="00D410F2"/>
    <w:rsid w:val="00D4701B"/>
    <w:rsid w:val="00D96486"/>
    <w:rsid w:val="00E01D5F"/>
    <w:rsid w:val="00E11B9B"/>
    <w:rsid w:val="00E20FA2"/>
    <w:rsid w:val="00E638ED"/>
    <w:rsid w:val="00EA3120"/>
    <w:rsid w:val="00ED1ABC"/>
    <w:rsid w:val="00EE2502"/>
    <w:rsid w:val="00EE70EF"/>
    <w:rsid w:val="00F060B0"/>
    <w:rsid w:val="00F079EA"/>
    <w:rsid w:val="00F135BE"/>
    <w:rsid w:val="00F3343D"/>
    <w:rsid w:val="00F5193D"/>
    <w:rsid w:val="00F76FC0"/>
    <w:rsid w:val="00FC467D"/>
    <w:rsid w:val="00FD506F"/>
    <w:rsid w:val="00FD6041"/>
    <w:rsid w:val="00FF48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018A7"/>
  <w15:chartTrackingRefBased/>
  <w15:docId w15:val="{A43A893E-156D-4B55-8587-74137EAC2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B75270"/>
    <w:pPr>
      <w:autoSpaceDN w:val="0"/>
      <w:spacing w:line="240" w:lineRule="auto"/>
      <w:textAlignment w:val="baseline"/>
    </w:pPr>
    <w:rPr>
      <w:rFonts w:ascii="Calibri" w:eastAsia="Calibri" w:hAnsi="Calibri" w:cs="Times New Roman"/>
      <w:lang w:val="en-GB"/>
    </w:rPr>
  </w:style>
  <w:style w:type="paragraph" w:styleId="Heading2">
    <w:name w:val="heading 2"/>
    <w:basedOn w:val="Normal"/>
    <w:next w:val="Normal"/>
    <w:link w:val="Heading2Char1"/>
    <w:unhideWhenUsed/>
    <w:qFormat/>
    <w:rsid w:val="00B75270"/>
    <w:pPr>
      <w:keepNext/>
      <w:keepLines/>
      <w:spacing w:before="40" w:after="0"/>
      <w:outlineLvl w:val="1"/>
    </w:pPr>
    <w:rPr>
      <w:rFonts w:ascii="Times New Roman" w:eastAsiaTheme="majorEastAsia" w:hAnsi="Times New Roman"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7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uiPriority w:val="9"/>
    <w:semiHidden/>
    <w:rsid w:val="00B75270"/>
    <w:rPr>
      <w:rFonts w:asciiTheme="majorHAnsi" w:eastAsiaTheme="majorEastAsia" w:hAnsiTheme="majorHAnsi" w:cstheme="majorBidi"/>
      <w:color w:val="2E74B5" w:themeColor="accent1" w:themeShade="BF"/>
      <w:sz w:val="26"/>
      <w:szCs w:val="26"/>
      <w:lang w:val="en-GB"/>
    </w:rPr>
  </w:style>
  <w:style w:type="character" w:customStyle="1" w:styleId="Heading2Char1">
    <w:name w:val="Heading 2 Char1"/>
    <w:basedOn w:val="DefaultParagraphFont"/>
    <w:link w:val="Heading2"/>
    <w:rsid w:val="00B75270"/>
    <w:rPr>
      <w:rFonts w:ascii="Times New Roman" w:eastAsiaTheme="majorEastAsia" w:hAnsi="Times New Roman" w:cstheme="majorBidi"/>
      <w:sz w:val="28"/>
      <w:szCs w:val="26"/>
      <w:lang w:val="en-GB"/>
    </w:rPr>
  </w:style>
  <w:style w:type="paragraph" w:customStyle="1" w:styleId="Parasts1">
    <w:name w:val="Parasts1"/>
    <w:rsid w:val="00B75270"/>
    <w:pPr>
      <w:suppressAutoHyphens/>
      <w:autoSpaceDN w:val="0"/>
      <w:spacing w:line="240" w:lineRule="auto"/>
      <w:jc w:val="both"/>
      <w:textAlignment w:val="baseline"/>
    </w:pPr>
    <w:rPr>
      <w:rFonts w:ascii="Times New Roman" w:eastAsia="Calibri" w:hAnsi="Times New Roman" w:cs="Times New Roman"/>
      <w:sz w:val="24"/>
      <w:lang w:val="en-GB"/>
    </w:rPr>
  </w:style>
  <w:style w:type="character" w:customStyle="1" w:styleId="Noklusjumarindkopasfonts1">
    <w:name w:val="Noklusējuma rindkopas fonts1"/>
    <w:rsid w:val="00B75270"/>
  </w:style>
  <w:style w:type="paragraph" w:customStyle="1" w:styleId="Kjene1">
    <w:name w:val="Kājene1"/>
    <w:basedOn w:val="Parasts1"/>
    <w:rsid w:val="00B75270"/>
    <w:pPr>
      <w:tabs>
        <w:tab w:val="center" w:pos="4513"/>
        <w:tab w:val="right" w:pos="9026"/>
      </w:tabs>
      <w:spacing w:after="0"/>
    </w:pPr>
  </w:style>
  <w:style w:type="paragraph" w:customStyle="1" w:styleId="Virstraksts">
    <w:name w:val="Virstraksts"/>
    <w:basedOn w:val="Normal"/>
    <w:next w:val="Normal"/>
    <w:rsid w:val="00B75270"/>
    <w:pPr>
      <w:keepNext/>
      <w:keepLines/>
      <w:suppressAutoHyphens/>
      <w:spacing w:after="0" w:line="360" w:lineRule="auto"/>
      <w:jc w:val="center"/>
      <w:outlineLvl w:val="0"/>
    </w:pPr>
    <w:rPr>
      <w:rFonts w:ascii="Times New Roman" w:eastAsia="Times New Roman" w:hAnsi="Times New Roman"/>
      <w:b/>
      <w:color w:val="000000"/>
      <w:sz w:val="32"/>
      <w:szCs w:val="32"/>
      <w:lang w:val="lv-LV"/>
    </w:rPr>
  </w:style>
  <w:style w:type="character" w:styleId="Hyperlink">
    <w:name w:val="Hyperlink"/>
    <w:basedOn w:val="DefaultParagraphFont"/>
    <w:uiPriority w:val="99"/>
    <w:rsid w:val="00B75270"/>
    <w:rPr>
      <w:color w:val="0563C1"/>
      <w:u w:val="single"/>
    </w:rPr>
  </w:style>
  <w:style w:type="paragraph" w:styleId="NoSpacing">
    <w:name w:val="No Spacing"/>
    <w:uiPriority w:val="1"/>
    <w:qFormat/>
    <w:rsid w:val="00B75270"/>
    <w:pPr>
      <w:spacing w:after="0" w:line="240" w:lineRule="auto"/>
    </w:pPr>
    <w:rPr>
      <w:rFonts w:ascii="Times New Roman" w:eastAsia="Times New Roman" w:hAnsi="Times New Roman" w:cs="Times New Roman"/>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ikumi.lv/ta/id/37967-augstskolu-likum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5838</Words>
  <Characters>3329</Characters>
  <Application>Microsoft Office Word</Application>
  <DocSecurity>0</DocSecurity>
  <Lines>27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santa.zarina9@gmail.com</dc:creator>
  <cp:keywords/>
  <dc:description/>
  <cp:lastModifiedBy>Admin</cp:lastModifiedBy>
  <cp:revision>7</cp:revision>
  <dcterms:created xsi:type="dcterms:W3CDTF">2024-08-12T08:40:00Z</dcterms:created>
  <dcterms:modified xsi:type="dcterms:W3CDTF">2024-08-12T09:09:00Z</dcterms:modified>
</cp:coreProperties>
</file>