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0D378" w14:textId="77777777" w:rsidR="00CC0D78" w:rsidRPr="00026C21" w:rsidRDefault="00CC0D78" w:rsidP="00CC0D78">
      <w:pPr>
        <w:pStyle w:val="Header"/>
        <w:jc w:val="center"/>
        <w:rPr>
          <w:b/>
        </w:rPr>
      </w:pPr>
      <w:r w:rsidRPr="00026C21">
        <w:rPr>
          <w:b/>
        </w:rPr>
        <w:t>DAUGAVPILS UNIVERSITĀTES</w:t>
      </w:r>
    </w:p>
    <w:p w14:paraId="454D94DC" w14:textId="77777777" w:rsidR="00CC0D78" w:rsidRPr="00026C21" w:rsidRDefault="00CC0D78" w:rsidP="00CC0D78">
      <w:pPr>
        <w:jc w:val="center"/>
        <w:rPr>
          <w:b/>
          <w:lang w:val="de-DE"/>
        </w:rPr>
      </w:pPr>
      <w:r w:rsidRPr="00026C21">
        <w:rPr>
          <w:b/>
        </w:rPr>
        <w:t>STUDIJU KURSA APRAKSTS</w:t>
      </w:r>
    </w:p>
    <w:p w14:paraId="4C5495E9" w14:textId="77777777" w:rsidR="00CC0D78" w:rsidRPr="00026C21" w:rsidRDefault="00CC0D78" w:rsidP="00CC0D78"/>
    <w:tbl>
      <w:tblPr>
        <w:tblStyle w:val="TableGrid"/>
        <w:tblW w:w="9582" w:type="dxa"/>
        <w:jc w:val="center"/>
        <w:tblLook w:val="04A0" w:firstRow="1" w:lastRow="0" w:firstColumn="1" w:lastColumn="0" w:noHBand="0" w:noVBand="1"/>
      </w:tblPr>
      <w:tblGrid>
        <w:gridCol w:w="5113"/>
        <w:gridCol w:w="4884"/>
      </w:tblGrid>
      <w:tr w:rsidR="00CC0D78" w:rsidRPr="00026C21" w14:paraId="032620D1" w14:textId="77777777" w:rsidTr="001A535C">
        <w:trPr>
          <w:jc w:val="center"/>
        </w:trPr>
        <w:tc>
          <w:tcPr>
            <w:tcW w:w="4639" w:type="dxa"/>
          </w:tcPr>
          <w:p w14:paraId="6407EB40" w14:textId="77777777" w:rsidR="00CC0D78" w:rsidRPr="00026C21" w:rsidRDefault="00CC0D78" w:rsidP="001A535C">
            <w:pPr>
              <w:pStyle w:val="Nosaukumi"/>
            </w:pPr>
            <w:r w:rsidRPr="00026C21">
              <w:br w:type="page"/>
            </w:r>
            <w:r w:rsidRPr="00026C21">
              <w:br w:type="page"/>
            </w:r>
            <w:r w:rsidRPr="00026C21">
              <w:br w:type="page"/>
            </w:r>
            <w:r w:rsidRPr="00026C21">
              <w:br w:type="page"/>
              <w:t>Studiju kursa nosaukums</w:t>
            </w:r>
          </w:p>
        </w:tc>
        <w:tc>
          <w:tcPr>
            <w:tcW w:w="4943" w:type="dxa"/>
          </w:tcPr>
          <w:p w14:paraId="1ED8EDC3" w14:textId="77777777" w:rsidR="00CC0D78" w:rsidRPr="00026C21" w:rsidRDefault="00CC0D78" w:rsidP="001A535C">
            <w:pPr>
              <w:jc w:val="both"/>
              <w:rPr>
                <w:rFonts w:eastAsia="Times New Roman"/>
                <w:b/>
                <w:bCs w:val="0"/>
                <w:lang w:eastAsia="lv-LV"/>
              </w:rPr>
            </w:pPr>
            <w:r w:rsidRPr="0007387F">
              <w:rPr>
                <w:rFonts w:eastAsia="Times New Roman"/>
                <w:b/>
                <w:i/>
                <w:color w:val="336666"/>
                <w:lang w:eastAsia="en-GB"/>
              </w:rPr>
              <w:t>Prakse [1.līm. IT]</w:t>
            </w:r>
          </w:p>
        </w:tc>
      </w:tr>
      <w:tr w:rsidR="00CC0D78" w:rsidRPr="00026C21" w14:paraId="023CAF9B" w14:textId="77777777" w:rsidTr="001A535C">
        <w:trPr>
          <w:jc w:val="center"/>
        </w:trPr>
        <w:tc>
          <w:tcPr>
            <w:tcW w:w="4639" w:type="dxa"/>
          </w:tcPr>
          <w:p w14:paraId="68C5B6A2" w14:textId="77777777" w:rsidR="00CC0D78" w:rsidRPr="00026C21" w:rsidRDefault="00CC0D78" w:rsidP="001A535C">
            <w:pPr>
              <w:pStyle w:val="Nosaukumi"/>
            </w:pPr>
            <w:r w:rsidRPr="00026C21">
              <w:t>Studiju kursa kods (DUIS)</w:t>
            </w:r>
          </w:p>
        </w:tc>
        <w:tc>
          <w:tcPr>
            <w:tcW w:w="4943" w:type="dxa"/>
            <w:vAlign w:val="center"/>
          </w:tcPr>
          <w:p w14:paraId="03FC545A" w14:textId="77777777" w:rsidR="00CC0D78" w:rsidRPr="00026C21" w:rsidRDefault="00CC0D78" w:rsidP="001A535C">
            <w:pPr>
              <w:rPr>
                <w:lang w:eastAsia="lv-LV"/>
              </w:rPr>
            </w:pPr>
            <w:r w:rsidRPr="0007387F">
              <w:rPr>
                <w:rFonts w:eastAsia="Times New Roman"/>
                <w:lang w:eastAsia="en-GB"/>
              </w:rPr>
              <w:t>DatZ2101</w:t>
            </w:r>
          </w:p>
        </w:tc>
      </w:tr>
      <w:tr w:rsidR="00CC0D78" w:rsidRPr="00026C21" w14:paraId="15341B2C" w14:textId="77777777" w:rsidTr="001A535C">
        <w:trPr>
          <w:jc w:val="center"/>
        </w:trPr>
        <w:tc>
          <w:tcPr>
            <w:tcW w:w="4639" w:type="dxa"/>
          </w:tcPr>
          <w:p w14:paraId="6D29758B" w14:textId="77777777" w:rsidR="00CC0D78" w:rsidRPr="00026C21" w:rsidRDefault="00CC0D78" w:rsidP="001A535C">
            <w:pPr>
              <w:pStyle w:val="Nosaukumi"/>
            </w:pPr>
            <w:r w:rsidRPr="00026C21">
              <w:t>Zinātnes nozare</w:t>
            </w:r>
          </w:p>
        </w:tc>
        <w:tc>
          <w:tcPr>
            <w:tcW w:w="4943" w:type="dxa"/>
          </w:tcPr>
          <w:p w14:paraId="6A8F4417" w14:textId="77777777" w:rsidR="00CC0D78" w:rsidRPr="00026C21" w:rsidRDefault="00CC0D78" w:rsidP="001A535C">
            <w:pPr>
              <w:snapToGrid w:val="0"/>
            </w:pPr>
            <w:r w:rsidRPr="0007387F">
              <w:rPr>
                <w:rFonts w:eastAsia="Times New Roman"/>
                <w:lang w:eastAsia="en-GB"/>
              </w:rPr>
              <w:t>#Datorzinātne un informācijas tehnoloģijas</w:t>
            </w:r>
          </w:p>
        </w:tc>
      </w:tr>
      <w:tr w:rsidR="00CC0D78" w:rsidRPr="00026C21" w14:paraId="04DF1594" w14:textId="77777777" w:rsidTr="001A535C">
        <w:trPr>
          <w:jc w:val="center"/>
        </w:trPr>
        <w:tc>
          <w:tcPr>
            <w:tcW w:w="4639" w:type="dxa"/>
          </w:tcPr>
          <w:p w14:paraId="0B032148" w14:textId="77777777" w:rsidR="00CC0D78" w:rsidRPr="00026C21" w:rsidRDefault="00CC0D78" w:rsidP="001A535C">
            <w:pPr>
              <w:pStyle w:val="Nosaukumi"/>
            </w:pPr>
            <w:r w:rsidRPr="00026C21">
              <w:t>Kursa līmenis</w:t>
            </w:r>
          </w:p>
        </w:tc>
        <w:tc>
          <w:tcPr>
            <w:tcW w:w="4943" w:type="dxa"/>
            <w:shd w:val="clear" w:color="auto" w:fill="auto"/>
          </w:tcPr>
          <w:p w14:paraId="122086C6" w14:textId="77777777" w:rsidR="00CC0D78" w:rsidRPr="00026C21" w:rsidRDefault="00CC0D78" w:rsidP="001A535C">
            <w:pPr>
              <w:rPr>
                <w:lang w:eastAsia="lv-LV"/>
              </w:rPr>
            </w:pPr>
            <w:r>
              <w:rPr>
                <w:lang w:eastAsia="lv-LV"/>
              </w:rPr>
              <w:t>R</w:t>
            </w:r>
          </w:p>
        </w:tc>
      </w:tr>
      <w:tr w:rsidR="00CC0D78" w:rsidRPr="00026C21" w14:paraId="0537E4E3" w14:textId="77777777" w:rsidTr="001A535C">
        <w:trPr>
          <w:jc w:val="center"/>
        </w:trPr>
        <w:tc>
          <w:tcPr>
            <w:tcW w:w="4639" w:type="dxa"/>
          </w:tcPr>
          <w:p w14:paraId="7D4B725A" w14:textId="77777777" w:rsidR="00CC0D78" w:rsidRPr="00026C21" w:rsidRDefault="00CC0D78" w:rsidP="001A535C">
            <w:pPr>
              <w:pStyle w:val="Nosaukumi"/>
              <w:rPr>
                <w:u w:val="single"/>
              </w:rPr>
            </w:pPr>
            <w:r w:rsidRPr="00026C21">
              <w:t>Kredītpunkti</w:t>
            </w:r>
          </w:p>
        </w:tc>
        <w:tc>
          <w:tcPr>
            <w:tcW w:w="4943" w:type="dxa"/>
            <w:vAlign w:val="center"/>
          </w:tcPr>
          <w:p w14:paraId="526EF19D" w14:textId="77777777" w:rsidR="00CC0D78" w:rsidRPr="00026C21" w:rsidRDefault="00CC0D78" w:rsidP="001A535C">
            <w:pPr>
              <w:rPr>
                <w:lang w:eastAsia="lv-LV"/>
              </w:rPr>
            </w:pPr>
            <w:r>
              <w:rPr>
                <w:lang w:eastAsia="lv-LV"/>
              </w:rPr>
              <w:t>16</w:t>
            </w:r>
          </w:p>
        </w:tc>
      </w:tr>
      <w:tr w:rsidR="00CC0D78" w:rsidRPr="00026C21" w14:paraId="25F648A5" w14:textId="77777777" w:rsidTr="001A535C">
        <w:trPr>
          <w:jc w:val="center"/>
        </w:trPr>
        <w:tc>
          <w:tcPr>
            <w:tcW w:w="4639" w:type="dxa"/>
          </w:tcPr>
          <w:p w14:paraId="4C548B91" w14:textId="77777777" w:rsidR="00CC0D78" w:rsidRPr="00026C21" w:rsidRDefault="00CC0D78" w:rsidP="001A535C">
            <w:pPr>
              <w:pStyle w:val="Nosaukumi"/>
              <w:rPr>
                <w:u w:val="single"/>
              </w:rPr>
            </w:pPr>
            <w:r w:rsidRPr="00026C21">
              <w:t>ECTS kredītpunkti</w:t>
            </w:r>
          </w:p>
        </w:tc>
        <w:tc>
          <w:tcPr>
            <w:tcW w:w="4943" w:type="dxa"/>
          </w:tcPr>
          <w:p w14:paraId="627B0EDE" w14:textId="77777777" w:rsidR="00CC0D78" w:rsidRPr="00026C21" w:rsidRDefault="00CC0D78" w:rsidP="001A535C">
            <w:r>
              <w:t>24</w:t>
            </w:r>
          </w:p>
        </w:tc>
      </w:tr>
      <w:tr w:rsidR="00CC0D78" w:rsidRPr="00026C21" w14:paraId="033530BD" w14:textId="77777777" w:rsidTr="001A535C">
        <w:trPr>
          <w:jc w:val="center"/>
        </w:trPr>
        <w:tc>
          <w:tcPr>
            <w:tcW w:w="4639" w:type="dxa"/>
          </w:tcPr>
          <w:p w14:paraId="744DAE4A" w14:textId="77777777" w:rsidR="00CC0D78" w:rsidRPr="00026C21" w:rsidRDefault="00CC0D78" w:rsidP="001A535C">
            <w:pPr>
              <w:pStyle w:val="Nosaukumi"/>
            </w:pPr>
            <w:r w:rsidRPr="00026C21">
              <w:t>Kopējais kontaktstundu skaits</w:t>
            </w:r>
          </w:p>
        </w:tc>
        <w:tc>
          <w:tcPr>
            <w:tcW w:w="4943" w:type="dxa"/>
            <w:vAlign w:val="center"/>
          </w:tcPr>
          <w:p w14:paraId="6324509B" w14:textId="77777777" w:rsidR="00CC0D78" w:rsidRPr="00026C21" w:rsidRDefault="00CC0D78" w:rsidP="001A535C">
            <w:pPr>
              <w:rPr>
                <w:lang w:eastAsia="lv-LV"/>
              </w:rPr>
            </w:pPr>
          </w:p>
        </w:tc>
      </w:tr>
      <w:tr w:rsidR="00CC0D78" w:rsidRPr="00026C21" w14:paraId="27DB5969" w14:textId="77777777" w:rsidTr="001A535C">
        <w:trPr>
          <w:jc w:val="center"/>
        </w:trPr>
        <w:tc>
          <w:tcPr>
            <w:tcW w:w="4639" w:type="dxa"/>
          </w:tcPr>
          <w:p w14:paraId="2A9B81C0" w14:textId="77777777" w:rsidR="00CC0D78" w:rsidRPr="00026C21" w:rsidRDefault="00CC0D78" w:rsidP="001A535C">
            <w:pPr>
              <w:pStyle w:val="Nosaukumi2"/>
            </w:pPr>
            <w:r w:rsidRPr="00026C21">
              <w:t>Lekciju stundu skaits</w:t>
            </w:r>
          </w:p>
        </w:tc>
        <w:tc>
          <w:tcPr>
            <w:tcW w:w="4943" w:type="dxa"/>
          </w:tcPr>
          <w:p w14:paraId="2ACD7A58" w14:textId="77777777" w:rsidR="00CC0D78" w:rsidRPr="00026C21" w:rsidRDefault="00CC0D78" w:rsidP="001A535C"/>
        </w:tc>
      </w:tr>
      <w:tr w:rsidR="00CC0D78" w:rsidRPr="00026C21" w14:paraId="7342B827" w14:textId="77777777" w:rsidTr="001A535C">
        <w:trPr>
          <w:jc w:val="center"/>
        </w:trPr>
        <w:tc>
          <w:tcPr>
            <w:tcW w:w="4639" w:type="dxa"/>
          </w:tcPr>
          <w:p w14:paraId="2501EA03" w14:textId="77777777" w:rsidR="00CC0D78" w:rsidRPr="00026C21" w:rsidRDefault="00CC0D78" w:rsidP="001A535C">
            <w:pPr>
              <w:pStyle w:val="Nosaukumi2"/>
            </w:pPr>
            <w:r w:rsidRPr="00026C21">
              <w:t>Semināru stundu skaits</w:t>
            </w:r>
          </w:p>
        </w:tc>
        <w:tc>
          <w:tcPr>
            <w:tcW w:w="4943" w:type="dxa"/>
          </w:tcPr>
          <w:p w14:paraId="557B38E6" w14:textId="77777777" w:rsidR="00CC0D78" w:rsidRPr="00026C21" w:rsidRDefault="00CC0D78" w:rsidP="001A535C"/>
        </w:tc>
      </w:tr>
      <w:tr w:rsidR="00CC0D78" w:rsidRPr="00026C21" w14:paraId="0ECD0A64" w14:textId="77777777" w:rsidTr="001A535C">
        <w:trPr>
          <w:jc w:val="center"/>
        </w:trPr>
        <w:tc>
          <w:tcPr>
            <w:tcW w:w="4639" w:type="dxa"/>
          </w:tcPr>
          <w:p w14:paraId="619F9FE2" w14:textId="77777777" w:rsidR="00CC0D78" w:rsidRPr="00026C21" w:rsidRDefault="00CC0D78" w:rsidP="001A535C">
            <w:pPr>
              <w:pStyle w:val="Nosaukumi2"/>
            </w:pPr>
            <w:r w:rsidRPr="00026C21">
              <w:t>Praktisko darbu stundu skaits</w:t>
            </w:r>
          </w:p>
        </w:tc>
        <w:tc>
          <w:tcPr>
            <w:tcW w:w="4943" w:type="dxa"/>
          </w:tcPr>
          <w:p w14:paraId="43C59AB6" w14:textId="77777777" w:rsidR="00CC0D78" w:rsidRPr="00026C21" w:rsidRDefault="00CC0D78" w:rsidP="001A535C"/>
        </w:tc>
      </w:tr>
      <w:tr w:rsidR="00CC0D78" w:rsidRPr="00026C21" w14:paraId="520958E8" w14:textId="77777777" w:rsidTr="001A535C">
        <w:trPr>
          <w:jc w:val="center"/>
        </w:trPr>
        <w:tc>
          <w:tcPr>
            <w:tcW w:w="4639" w:type="dxa"/>
          </w:tcPr>
          <w:p w14:paraId="6B1462BC" w14:textId="77777777" w:rsidR="00CC0D78" w:rsidRPr="00026C21" w:rsidRDefault="00CC0D78" w:rsidP="001A535C">
            <w:pPr>
              <w:pStyle w:val="Nosaukumi2"/>
            </w:pPr>
            <w:r w:rsidRPr="00026C21">
              <w:t>Laboratorijas darbu stundu skaits</w:t>
            </w:r>
          </w:p>
        </w:tc>
        <w:tc>
          <w:tcPr>
            <w:tcW w:w="4943" w:type="dxa"/>
          </w:tcPr>
          <w:p w14:paraId="081CC049" w14:textId="77777777" w:rsidR="00CC0D78" w:rsidRPr="00026C21" w:rsidRDefault="00CC0D78" w:rsidP="001A535C"/>
        </w:tc>
      </w:tr>
      <w:tr w:rsidR="00CC0D78" w:rsidRPr="00026C21" w14:paraId="3D8A0992" w14:textId="77777777" w:rsidTr="001A535C">
        <w:trPr>
          <w:jc w:val="center"/>
        </w:trPr>
        <w:tc>
          <w:tcPr>
            <w:tcW w:w="4639" w:type="dxa"/>
          </w:tcPr>
          <w:p w14:paraId="4BA49273" w14:textId="77777777" w:rsidR="00CC0D78" w:rsidRPr="00026C21" w:rsidRDefault="00CC0D78" w:rsidP="001A535C">
            <w:pPr>
              <w:pStyle w:val="Nosaukumi2"/>
              <w:rPr>
                <w:lang w:eastAsia="lv-LV"/>
              </w:rPr>
            </w:pPr>
            <w:r w:rsidRPr="00026C21">
              <w:rPr>
                <w:lang w:eastAsia="lv-LV"/>
              </w:rPr>
              <w:t>Studējošā patstāvīgā darba stundu skaits</w:t>
            </w:r>
          </w:p>
        </w:tc>
        <w:tc>
          <w:tcPr>
            <w:tcW w:w="4943" w:type="dxa"/>
            <w:vAlign w:val="center"/>
          </w:tcPr>
          <w:p w14:paraId="03931B46" w14:textId="77777777" w:rsidR="00CC0D78" w:rsidRPr="00026C21" w:rsidRDefault="00CC0D78" w:rsidP="001A535C">
            <w:pPr>
              <w:rPr>
                <w:lang w:eastAsia="lv-LV"/>
              </w:rPr>
            </w:pPr>
          </w:p>
        </w:tc>
      </w:tr>
      <w:tr w:rsidR="00CC0D78" w:rsidRPr="00026C21" w14:paraId="10B01DEE" w14:textId="77777777" w:rsidTr="001A535C">
        <w:trPr>
          <w:jc w:val="center"/>
        </w:trPr>
        <w:tc>
          <w:tcPr>
            <w:tcW w:w="9582" w:type="dxa"/>
            <w:gridSpan w:val="2"/>
          </w:tcPr>
          <w:p w14:paraId="739E0844" w14:textId="77777777" w:rsidR="00CC0D78" w:rsidRPr="00026C21" w:rsidRDefault="00CC0D78" w:rsidP="001A535C">
            <w:pPr>
              <w:rPr>
                <w:lang w:eastAsia="lv-LV"/>
              </w:rPr>
            </w:pPr>
          </w:p>
        </w:tc>
      </w:tr>
      <w:tr w:rsidR="00CC0D78" w:rsidRPr="00026C21" w14:paraId="6C06D972" w14:textId="77777777" w:rsidTr="001A535C">
        <w:trPr>
          <w:jc w:val="center"/>
        </w:trPr>
        <w:tc>
          <w:tcPr>
            <w:tcW w:w="9582" w:type="dxa"/>
            <w:gridSpan w:val="2"/>
          </w:tcPr>
          <w:p w14:paraId="4F78E570" w14:textId="77777777" w:rsidR="00CC0D78" w:rsidRPr="00026C21" w:rsidRDefault="00CC0D78" w:rsidP="001A535C">
            <w:pPr>
              <w:pStyle w:val="Nosaukumi"/>
            </w:pPr>
            <w:r w:rsidRPr="00026C21">
              <w:t>Kursa autors(-i)</w:t>
            </w:r>
          </w:p>
        </w:tc>
      </w:tr>
      <w:tr w:rsidR="00CC0D78" w:rsidRPr="00026C21" w14:paraId="7865751F" w14:textId="77777777" w:rsidTr="001A535C">
        <w:trPr>
          <w:jc w:val="center"/>
        </w:trPr>
        <w:tc>
          <w:tcPr>
            <w:tcW w:w="9582" w:type="dxa"/>
            <w:gridSpan w:val="2"/>
          </w:tcPr>
          <w:p w14:paraId="5DD0C97F" w14:textId="77777777" w:rsidR="00CC0D78" w:rsidRDefault="00CC0D78" w:rsidP="001A535C">
            <w:pPr>
              <w:rPr>
                <w:rFonts w:eastAsia="Times New Roman"/>
                <w:lang w:eastAsia="en-GB"/>
              </w:rPr>
            </w:pPr>
            <w:proofErr w:type="spellStart"/>
            <w:r w:rsidRPr="0007387F">
              <w:rPr>
                <w:rFonts w:eastAsia="Times New Roman"/>
                <w:lang w:eastAsia="en-GB"/>
              </w:rPr>
              <w:t>Mg.sc.comp</w:t>
            </w:r>
            <w:proofErr w:type="spellEnd"/>
            <w:r w:rsidRPr="0007387F">
              <w:rPr>
                <w:rFonts w:eastAsia="Times New Roman"/>
                <w:lang w:eastAsia="en-GB"/>
              </w:rPr>
              <w:t>., lekt. Olga Perevalova</w:t>
            </w:r>
          </w:p>
          <w:p w14:paraId="2DCEFA4F" w14:textId="77777777" w:rsidR="00CC0D78" w:rsidRPr="00026C21" w:rsidRDefault="00CC0D78" w:rsidP="001A535C">
            <w:proofErr w:type="spellStart"/>
            <w:r w:rsidRPr="00E513D0">
              <w:rPr>
                <w:rFonts w:eastAsia="Times New Roman"/>
                <w:lang w:eastAsia="en-GB"/>
              </w:rPr>
              <w:t>Mg.sc.comp</w:t>
            </w:r>
            <w:proofErr w:type="spellEnd"/>
            <w:r w:rsidRPr="00E513D0">
              <w:rPr>
                <w:rFonts w:eastAsia="Times New Roman"/>
                <w:lang w:eastAsia="en-GB"/>
              </w:rPr>
              <w:t>., lekt. Andrejs Radionovs</w:t>
            </w:r>
          </w:p>
        </w:tc>
      </w:tr>
      <w:tr w:rsidR="00CC0D78" w:rsidRPr="00026C21" w14:paraId="4AA1E2DF" w14:textId="77777777" w:rsidTr="001A535C">
        <w:trPr>
          <w:jc w:val="center"/>
        </w:trPr>
        <w:tc>
          <w:tcPr>
            <w:tcW w:w="9582" w:type="dxa"/>
            <w:gridSpan w:val="2"/>
          </w:tcPr>
          <w:p w14:paraId="674B30F4" w14:textId="77777777" w:rsidR="00CC0D78" w:rsidRPr="00026C21" w:rsidRDefault="00CC0D78" w:rsidP="001A535C">
            <w:pPr>
              <w:pStyle w:val="Nosaukumi"/>
            </w:pPr>
            <w:r w:rsidRPr="00026C21">
              <w:t>Kursa docētājs(-i)</w:t>
            </w:r>
          </w:p>
        </w:tc>
      </w:tr>
      <w:tr w:rsidR="00CC0D78" w:rsidRPr="00026C21" w14:paraId="06CAAEB7" w14:textId="77777777" w:rsidTr="001A535C">
        <w:trPr>
          <w:jc w:val="center"/>
        </w:trPr>
        <w:tc>
          <w:tcPr>
            <w:tcW w:w="9582" w:type="dxa"/>
            <w:gridSpan w:val="2"/>
          </w:tcPr>
          <w:p w14:paraId="3F8963DF" w14:textId="77777777" w:rsidR="00CC0D78" w:rsidRDefault="00CC0D78" w:rsidP="001A535C">
            <w:pPr>
              <w:rPr>
                <w:rFonts w:eastAsia="Times New Roman"/>
                <w:lang w:eastAsia="en-GB"/>
              </w:rPr>
            </w:pPr>
            <w:proofErr w:type="spellStart"/>
            <w:r w:rsidRPr="0007387F">
              <w:rPr>
                <w:rFonts w:eastAsia="Times New Roman"/>
                <w:lang w:eastAsia="en-GB"/>
              </w:rPr>
              <w:t>Mg.sc.comp</w:t>
            </w:r>
            <w:proofErr w:type="spellEnd"/>
            <w:r w:rsidRPr="0007387F">
              <w:rPr>
                <w:rFonts w:eastAsia="Times New Roman"/>
                <w:lang w:eastAsia="en-GB"/>
              </w:rPr>
              <w:t>., lekt. Olga Perevalova</w:t>
            </w:r>
          </w:p>
          <w:p w14:paraId="14C93A35" w14:textId="77777777" w:rsidR="00CC0D78" w:rsidRPr="00026C21" w:rsidRDefault="00CC0D78" w:rsidP="001A535C">
            <w:proofErr w:type="spellStart"/>
            <w:r w:rsidRPr="00E513D0">
              <w:rPr>
                <w:rFonts w:eastAsia="Times New Roman"/>
                <w:lang w:eastAsia="en-GB"/>
              </w:rPr>
              <w:t>Mg.sc.comp</w:t>
            </w:r>
            <w:proofErr w:type="spellEnd"/>
            <w:r w:rsidRPr="00E513D0">
              <w:rPr>
                <w:rFonts w:eastAsia="Times New Roman"/>
                <w:lang w:eastAsia="en-GB"/>
              </w:rPr>
              <w:t>., lekt. Andrejs Radionovs</w:t>
            </w:r>
          </w:p>
        </w:tc>
      </w:tr>
      <w:tr w:rsidR="00CC0D78" w:rsidRPr="00026C21" w14:paraId="38FCD266" w14:textId="77777777" w:rsidTr="001A535C">
        <w:trPr>
          <w:jc w:val="center"/>
        </w:trPr>
        <w:tc>
          <w:tcPr>
            <w:tcW w:w="9582" w:type="dxa"/>
            <w:gridSpan w:val="2"/>
          </w:tcPr>
          <w:p w14:paraId="289D6372" w14:textId="77777777" w:rsidR="00CC0D78" w:rsidRPr="00026C21" w:rsidRDefault="00CC0D78" w:rsidP="001A535C">
            <w:pPr>
              <w:pStyle w:val="Nosaukumi"/>
            </w:pPr>
            <w:r w:rsidRPr="00026C21">
              <w:t>Priekšzināšanas</w:t>
            </w:r>
          </w:p>
        </w:tc>
      </w:tr>
      <w:tr w:rsidR="00CC0D78" w:rsidRPr="00026C21" w14:paraId="27975F2C" w14:textId="77777777" w:rsidTr="001A535C">
        <w:trPr>
          <w:jc w:val="center"/>
        </w:trPr>
        <w:tc>
          <w:tcPr>
            <w:tcW w:w="9582" w:type="dxa"/>
            <w:gridSpan w:val="2"/>
          </w:tcPr>
          <w:p w14:paraId="56205F8E" w14:textId="77777777" w:rsidR="00CC0D78" w:rsidRDefault="00CC0D78" w:rsidP="001A535C">
            <w:pPr>
              <w:snapToGrid w:val="0"/>
              <w:rPr>
                <w:rFonts w:eastAsia="Times New Roman"/>
                <w:lang w:eastAsia="en-GB"/>
              </w:rPr>
            </w:pPr>
            <w:r w:rsidRPr="00987573">
              <w:t>DatZ1085</w:t>
            </w:r>
            <w:r>
              <w:t xml:space="preserve">, </w:t>
            </w:r>
            <w:r w:rsidRPr="00987573">
              <w:t>Nozares tiesību pamati un standarti</w:t>
            </w:r>
            <w:r>
              <w:t xml:space="preserve"> </w:t>
            </w:r>
            <w:r w:rsidRPr="00E513D0">
              <w:rPr>
                <w:rFonts w:eastAsia="Times New Roman"/>
                <w:lang w:eastAsia="en-GB"/>
              </w:rPr>
              <w:t>[1.līm.PSP "Informācijas tehnoloģijas"]</w:t>
            </w:r>
          </w:p>
          <w:p w14:paraId="32FEB5E2" w14:textId="77777777" w:rsidR="00CC0D78" w:rsidRDefault="00CC0D78" w:rsidP="001A535C">
            <w:pPr>
              <w:snapToGrid w:val="0"/>
            </w:pPr>
            <w:r w:rsidRPr="00987573">
              <w:t>DatZ1086</w:t>
            </w:r>
            <w:r>
              <w:t xml:space="preserve">, </w:t>
            </w:r>
            <w:r w:rsidRPr="00987573">
              <w:t>Datoru arhitektūra</w:t>
            </w:r>
            <w:r>
              <w:t xml:space="preserve"> </w:t>
            </w:r>
            <w:r w:rsidRPr="00E513D0">
              <w:rPr>
                <w:rFonts w:eastAsia="Times New Roman"/>
                <w:lang w:eastAsia="en-GB"/>
              </w:rPr>
              <w:t>[1.līm.PSP "Informācijas tehnoloģijas"]</w:t>
            </w:r>
          </w:p>
          <w:p w14:paraId="70947D22" w14:textId="77777777" w:rsidR="00CC0D78" w:rsidRDefault="00CC0D78" w:rsidP="001A535C">
            <w:pPr>
              <w:snapToGrid w:val="0"/>
            </w:pPr>
            <w:r w:rsidRPr="00987573">
              <w:t>DatZ1122</w:t>
            </w:r>
            <w:r>
              <w:t xml:space="preserve">, </w:t>
            </w:r>
            <w:r>
              <w:rPr>
                <w:rFonts w:ascii="Source Sans Pro" w:hAnsi="Source Sans Pro"/>
                <w:color w:val="212529"/>
              </w:rPr>
              <w:t>DatZ1123</w:t>
            </w:r>
            <w:r w:rsidRPr="00987573">
              <w:tab/>
              <w:t>Operētājsistēmas un serveru administrēšana I</w:t>
            </w:r>
            <w:r>
              <w:t xml:space="preserve">, II </w:t>
            </w:r>
            <w:r w:rsidRPr="00E513D0">
              <w:rPr>
                <w:rFonts w:eastAsia="Times New Roman"/>
                <w:lang w:eastAsia="en-GB"/>
              </w:rPr>
              <w:t>[1.līm.PSP "Informācijas tehnoloģijas"]</w:t>
            </w:r>
          </w:p>
          <w:p w14:paraId="0B917FFC" w14:textId="77777777" w:rsidR="00CC0D78" w:rsidRDefault="00CC0D78" w:rsidP="001A535C">
            <w:pPr>
              <w:snapToGrid w:val="0"/>
            </w:pPr>
            <w:r w:rsidRPr="00987573">
              <w:t>DatZ1092</w:t>
            </w:r>
            <w:r>
              <w:t xml:space="preserve">, </w:t>
            </w:r>
            <w:r>
              <w:rPr>
                <w:rFonts w:ascii="Source Sans Pro" w:hAnsi="Source Sans Pro"/>
                <w:color w:val="212529"/>
              </w:rPr>
              <w:t xml:space="preserve">DatZ2088, </w:t>
            </w:r>
            <w:r w:rsidRPr="00987573">
              <w:tab/>
              <w:t>Tīmekļa tehnoloģijas I</w:t>
            </w:r>
            <w:r>
              <w:t xml:space="preserve">, II </w:t>
            </w:r>
            <w:r w:rsidRPr="00E513D0">
              <w:rPr>
                <w:rFonts w:eastAsia="Times New Roman"/>
                <w:lang w:eastAsia="en-GB"/>
              </w:rPr>
              <w:t>[1.līm.PSP "Informācijas tehnoloģijas"]</w:t>
            </w:r>
          </w:p>
          <w:p w14:paraId="67E7991F" w14:textId="77777777" w:rsidR="00CC0D78" w:rsidRDefault="00CC0D78" w:rsidP="001A535C">
            <w:pPr>
              <w:snapToGrid w:val="0"/>
            </w:pPr>
            <w:r w:rsidRPr="00987573">
              <w:t>DatZ2096</w:t>
            </w:r>
            <w:r>
              <w:t xml:space="preserve">, </w:t>
            </w:r>
            <w:r w:rsidRPr="00987573">
              <w:t>Informācijas sistēmu aizsardzība</w:t>
            </w:r>
            <w:r>
              <w:t xml:space="preserve"> </w:t>
            </w:r>
            <w:r w:rsidRPr="00E513D0">
              <w:rPr>
                <w:rFonts w:eastAsia="Times New Roman"/>
                <w:lang w:eastAsia="en-GB"/>
              </w:rPr>
              <w:t>[1.līm.PSP "Informācijas tehnoloģijas"]</w:t>
            </w:r>
          </w:p>
          <w:p w14:paraId="3AEA2B67" w14:textId="77777777" w:rsidR="00CC0D78" w:rsidRDefault="00CC0D78" w:rsidP="001A535C">
            <w:pPr>
              <w:snapToGrid w:val="0"/>
            </w:pPr>
            <w:r w:rsidRPr="00987573">
              <w:t>DatZ1120</w:t>
            </w:r>
            <w:r>
              <w:t xml:space="preserve">, </w:t>
            </w:r>
            <w:r w:rsidRPr="00987573">
              <w:t>Sistēmu administrēšana un uzturēšana</w:t>
            </w:r>
            <w:r>
              <w:t xml:space="preserve"> </w:t>
            </w:r>
            <w:r w:rsidRPr="00E513D0">
              <w:rPr>
                <w:rFonts w:eastAsia="Times New Roman"/>
                <w:lang w:eastAsia="en-GB"/>
              </w:rPr>
              <w:t>[1.līm.PSP "Informācijas tehnoloģijas"]</w:t>
            </w:r>
          </w:p>
          <w:p w14:paraId="448FF2E6" w14:textId="77777777" w:rsidR="00CC0D78" w:rsidRDefault="00CC0D78" w:rsidP="001A535C">
            <w:pPr>
              <w:snapToGrid w:val="0"/>
            </w:pPr>
            <w:r w:rsidRPr="00987573">
              <w:t>DatZ1094</w:t>
            </w:r>
            <w:r>
              <w:t xml:space="preserve">, </w:t>
            </w:r>
            <w:r w:rsidRPr="00987573">
              <w:t>Datu bāzu tehnoloģijas</w:t>
            </w:r>
            <w:r>
              <w:t xml:space="preserve"> </w:t>
            </w:r>
            <w:r w:rsidRPr="00E513D0">
              <w:rPr>
                <w:rFonts w:eastAsia="Times New Roman"/>
                <w:lang w:eastAsia="en-GB"/>
              </w:rPr>
              <w:t>[1.līm.PSP "Informācijas tehnoloģijas"]</w:t>
            </w:r>
          </w:p>
          <w:p w14:paraId="61662B48" w14:textId="77777777" w:rsidR="00CC0D78" w:rsidRPr="00026C21" w:rsidRDefault="00CC0D78" w:rsidP="001A535C">
            <w:pPr>
              <w:snapToGrid w:val="0"/>
            </w:pPr>
            <w:r w:rsidRPr="00987573">
              <w:t>DatZ3096</w:t>
            </w:r>
            <w:r>
              <w:t xml:space="preserve">, </w:t>
            </w:r>
            <w:r w:rsidRPr="00987573">
              <w:t>Datortīkli un komunikācijas</w:t>
            </w:r>
            <w:r>
              <w:t xml:space="preserve"> </w:t>
            </w:r>
            <w:r w:rsidRPr="00E513D0">
              <w:rPr>
                <w:rFonts w:eastAsia="Times New Roman"/>
                <w:lang w:eastAsia="en-GB"/>
              </w:rPr>
              <w:t>[1.līm.PSP "Informācijas tehnoloģijas"]</w:t>
            </w:r>
          </w:p>
        </w:tc>
      </w:tr>
      <w:tr w:rsidR="00CC0D78" w:rsidRPr="00026C21" w14:paraId="06BAF0FB" w14:textId="77777777" w:rsidTr="001A535C">
        <w:trPr>
          <w:jc w:val="center"/>
        </w:trPr>
        <w:tc>
          <w:tcPr>
            <w:tcW w:w="9582" w:type="dxa"/>
            <w:gridSpan w:val="2"/>
          </w:tcPr>
          <w:p w14:paraId="752AD1AE" w14:textId="77777777" w:rsidR="00CC0D78" w:rsidRPr="00026C21" w:rsidRDefault="00CC0D78" w:rsidP="001A535C">
            <w:pPr>
              <w:pStyle w:val="Nosaukumi"/>
            </w:pPr>
            <w:r w:rsidRPr="00026C21">
              <w:t xml:space="preserve">Studiju kursa anotācija </w:t>
            </w:r>
          </w:p>
        </w:tc>
      </w:tr>
      <w:tr w:rsidR="00CC0D78" w:rsidRPr="00026C21" w14:paraId="2B38D44C" w14:textId="77777777" w:rsidTr="001A535C">
        <w:trPr>
          <w:trHeight w:val="1119"/>
          <w:jc w:val="center"/>
        </w:trPr>
        <w:tc>
          <w:tcPr>
            <w:tcW w:w="9582" w:type="dxa"/>
            <w:gridSpan w:val="2"/>
          </w:tcPr>
          <w:p w14:paraId="4CBB8EE5" w14:textId="77777777" w:rsidR="00CC0D78" w:rsidRPr="009A284C" w:rsidRDefault="00CC0D78" w:rsidP="001A535C">
            <w:pPr>
              <w:snapToGrid w:val="0"/>
            </w:pPr>
            <w:r w:rsidRPr="009A284C">
              <w:t xml:space="preserve">KURSA MĒRĶIS: </w:t>
            </w:r>
          </w:p>
          <w:p w14:paraId="5265CC7E" w14:textId="77777777" w:rsidR="00CC0D78" w:rsidRPr="009A284C" w:rsidRDefault="00CC0D78" w:rsidP="001A535C">
            <w:r w:rsidRPr="009A284C">
              <w:t>Pilnveidot studentu teorētiskās zināšanas informācijas tehnoloģijās; nostiprināt praktiskās iemaņas; sagatavot studentu darbībai uzņēmumā; radīt motivāciju tālākai izglītībai.</w:t>
            </w:r>
          </w:p>
          <w:p w14:paraId="2662EDCB" w14:textId="77777777" w:rsidR="00CC0D78" w:rsidRPr="004D3F42" w:rsidRDefault="00CC0D78" w:rsidP="001A535C">
            <w:pPr>
              <w:suppressAutoHyphens/>
              <w:autoSpaceDE/>
              <w:autoSpaceDN/>
              <w:adjustRightInd/>
              <w:jc w:val="both"/>
            </w:pPr>
            <w:r w:rsidRPr="009A284C">
              <w:t xml:space="preserve">KURSA </w:t>
            </w:r>
            <w:r w:rsidRPr="004D3F42">
              <w:t xml:space="preserve">UZDEVUMI: </w:t>
            </w:r>
          </w:p>
          <w:p w14:paraId="3C494D6D" w14:textId="77777777" w:rsidR="00CC0D78" w:rsidRPr="004D3F42" w:rsidRDefault="00CC0D78" w:rsidP="001A535C">
            <w:pPr>
              <w:pStyle w:val="ListParagraph"/>
              <w:numPr>
                <w:ilvl w:val="0"/>
                <w:numId w:val="38"/>
              </w:numPr>
              <w:suppressAutoHyphens/>
              <w:snapToGrid w:val="0"/>
              <w:rPr>
                <w:color w:val="auto"/>
              </w:rPr>
            </w:pPr>
            <w:r w:rsidRPr="004D3F42">
              <w:rPr>
                <w:color w:val="auto"/>
              </w:rPr>
              <w:t>Iepazīties ar uzdevumiem, kurus risina</w:t>
            </w:r>
            <w:r w:rsidRPr="00AE191B">
              <w:rPr>
                <w:color w:val="auto"/>
                <w:highlight w:val="green"/>
              </w:rPr>
              <w:t>, un tehnoloģijām, kuras</w:t>
            </w:r>
            <w:r w:rsidRPr="004D3F42">
              <w:rPr>
                <w:color w:val="auto"/>
              </w:rPr>
              <w:t xml:space="preserve"> izmanto konkrētajā uzņēmumā</w:t>
            </w:r>
            <w:r w:rsidRPr="004D3F42">
              <w:rPr>
                <w:color w:val="auto"/>
                <w:highlight w:val="green"/>
              </w:rPr>
              <w:t>, kā arī ar aparatūru, programmatūru, tehnoloģijām, darba kārtību un tradīcijām.</w:t>
            </w:r>
          </w:p>
          <w:p w14:paraId="632C2FC7" w14:textId="77777777" w:rsidR="00CC0D78" w:rsidRPr="00EC212A" w:rsidRDefault="00CC0D78" w:rsidP="001A535C">
            <w:pPr>
              <w:pStyle w:val="ListParagraph"/>
              <w:numPr>
                <w:ilvl w:val="0"/>
                <w:numId w:val="38"/>
              </w:numPr>
              <w:rPr>
                <w:color w:val="auto"/>
              </w:rPr>
            </w:pPr>
            <w:r w:rsidRPr="009A284C">
              <w:rPr>
                <w:color w:val="auto"/>
              </w:rPr>
              <w:t>Piedalīties konkrēto uzdevumu risināšanā</w:t>
            </w:r>
            <w:r>
              <w:rPr>
                <w:color w:val="auto"/>
              </w:rPr>
              <w:t xml:space="preserve"> </w:t>
            </w:r>
            <w:r w:rsidRPr="004D3F42">
              <w:rPr>
                <w:color w:val="auto"/>
                <w:highlight w:val="green"/>
              </w:rPr>
              <w:t>dažādās stadijās (piemēram, datortīklu/datorsistēmu/datubāzes/tīmekļa vietnes projektēšanā, uzstādīšanā, konfigurēšanā, testēšanā administrēšanā, sīku remontdarbu veikšanā, programmatūras instalēšanā un konfigurēšanā, problēmu apspriešanā, darbu plānošanā, inventarizācijā, iepirkumu dokumentācijas sastādīšanā utt.).</w:t>
            </w:r>
          </w:p>
          <w:p w14:paraId="3131D5B0" w14:textId="77777777" w:rsidR="00CC0D78" w:rsidRPr="00EC212A" w:rsidRDefault="00CC0D78" w:rsidP="001A535C">
            <w:pPr>
              <w:pStyle w:val="ListParagraph"/>
              <w:numPr>
                <w:ilvl w:val="0"/>
                <w:numId w:val="38"/>
              </w:numPr>
              <w:suppressAutoHyphens/>
              <w:snapToGrid w:val="0"/>
              <w:rPr>
                <w:color w:val="FF0000"/>
              </w:rPr>
            </w:pPr>
            <w:r w:rsidRPr="009A284C">
              <w:rPr>
                <w:color w:val="auto"/>
              </w:rPr>
              <w:t>Iepazīties ar komandas darba organizāciju uzņēmumā</w:t>
            </w:r>
            <w:r w:rsidRPr="004D3F42">
              <w:rPr>
                <w:color w:val="auto"/>
                <w:highlight w:val="green"/>
              </w:rPr>
              <w:t>, t.sk. iespēju robežās piedalīties tikšanās ar partneriem un klientiem, konsultēt līdzstrādniekus un klientus IT jautājumos.</w:t>
            </w:r>
          </w:p>
          <w:p w14:paraId="5FDF8618" w14:textId="77777777" w:rsidR="00CC0D78" w:rsidRPr="009A284C" w:rsidRDefault="00CC0D78" w:rsidP="001A535C">
            <w:pPr>
              <w:pStyle w:val="ListParagraph"/>
              <w:numPr>
                <w:ilvl w:val="0"/>
                <w:numId w:val="38"/>
              </w:numPr>
              <w:suppressAutoHyphens/>
              <w:snapToGrid w:val="0"/>
              <w:rPr>
                <w:color w:val="auto"/>
              </w:rPr>
            </w:pPr>
            <w:r w:rsidRPr="009A284C">
              <w:rPr>
                <w:color w:val="auto"/>
              </w:rPr>
              <w:t>Iegūt praktiskas darba iemaņas un pieredzi, strādājot reālos apstākļos.</w:t>
            </w:r>
          </w:p>
          <w:p w14:paraId="1D2839A9" w14:textId="77777777" w:rsidR="00CC0D78" w:rsidRPr="009A284C" w:rsidRDefault="00CC0D78" w:rsidP="001A535C">
            <w:pPr>
              <w:pStyle w:val="ListParagraph"/>
              <w:numPr>
                <w:ilvl w:val="0"/>
                <w:numId w:val="38"/>
              </w:numPr>
              <w:suppressAutoHyphens/>
              <w:snapToGrid w:val="0"/>
              <w:rPr>
                <w:color w:val="auto"/>
              </w:rPr>
            </w:pPr>
            <w:r w:rsidRPr="009A284C">
              <w:rPr>
                <w:color w:val="auto"/>
              </w:rPr>
              <w:t>Iepazīties ar tehniskās dokumentācijas sastādīšanu un noformēšanu</w:t>
            </w:r>
            <w:r>
              <w:rPr>
                <w:color w:val="auto"/>
              </w:rPr>
              <w:t xml:space="preserve"> </w:t>
            </w:r>
            <w:r w:rsidRPr="004D3F42">
              <w:rPr>
                <w:color w:val="auto"/>
                <w:highlight w:val="green"/>
              </w:rPr>
              <w:t>un pēc nepieciešamības piedalīties instrukciju un prezentāciju materiālu sagatavošanā.</w:t>
            </w:r>
          </w:p>
        </w:tc>
      </w:tr>
      <w:tr w:rsidR="00CC0D78" w:rsidRPr="00026C21" w14:paraId="1C1F8A53" w14:textId="77777777" w:rsidTr="001A535C">
        <w:trPr>
          <w:jc w:val="center"/>
        </w:trPr>
        <w:tc>
          <w:tcPr>
            <w:tcW w:w="9582" w:type="dxa"/>
            <w:gridSpan w:val="2"/>
          </w:tcPr>
          <w:p w14:paraId="3E354186" w14:textId="77777777" w:rsidR="00CC0D78" w:rsidRPr="00026C21" w:rsidRDefault="00CC0D78" w:rsidP="001A535C">
            <w:pPr>
              <w:pStyle w:val="Nosaukumi"/>
            </w:pPr>
            <w:r w:rsidRPr="00026C21">
              <w:lastRenderedPageBreak/>
              <w:t>Studiju rezultāti</w:t>
            </w:r>
          </w:p>
        </w:tc>
      </w:tr>
      <w:tr w:rsidR="00CC0D78" w:rsidRPr="00026C21" w14:paraId="15E17FE1" w14:textId="77777777" w:rsidTr="001A535C">
        <w:trPr>
          <w:jc w:val="center"/>
        </w:trPr>
        <w:tc>
          <w:tcPr>
            <w:tcW w:w="9582" w:type="dxa"/>
            <w:gridSpan w:val="2"/>
          </w:tcPr>
          <w:p w14:paraId="010A4110" w14:textId="77777777" w:rsidR="00CC0D78" w:rsidRPr="00026C21" w:rsidRDefault="00CC0D78" w:rsidP="001A535C">
            <w:pPr>
              <w:pStyle w:val="ListParagraph"/>
              <w:spacing w:after="160" w:line="259" w:lineRule="auto"/>
              <w:ind w:left="20"/>
              <w:rPr>
                <w:color w:val="0070C0"/>
              </w:rPr>
            </w:pPr>
            <w:r w:rsidRPr="0007387F">
              <w:rPr>
                <w:lang w:eastAsia="en-GB"/>
              </w:rPr>
              <w:br/>
            </w:r>
            <w:r w:rsidRPr="009A284C">
              <w:rPr>
                <w:color w:val="auto"/>
              </w:rPr>
              <w:t>ZINĀŠANAS:</w:t>
            </w:r>
          </w:p>
          <w:p w14:paraId="016EAB0E" w14:textId="77777777" w:rsidR="00CC0D78" w:rsidRDefault="00CC0D78" w:rsidP="001A535C">
            <w:pPr>
              <w:pStyle w:val="ListParagraph"/>
              <w:spacing w:after="160" w:line="259" w:lineRule="auto"/>
              <w:ind w:left="20"/>
              <w:rPr>
                <w:lang w:eastAsia="en-GB"/>
              </w:rPr>
            </w:pPr>
            <w:r w:rsidRPr="009A284C">
              <w:rPr>
                <w:color w:val="auto"/>
              </w:rPr>
              <w:t>1.</w:t>
            </w:r>
            <w:r w:rsidRPr="009A284C">
              <w:rPr>
                <w:color w:val="auto"/>
                <w:lang w:eastAsia="en-GB"/>
              </w:rPr>
              <w:t xml:space="preserve"> </w:t>
            </w:r>
            <w:r>
              <w:rPr>
                <w:lang w:eastAsia="en-GB"/>
              </w:rPr>
              <w:t>Zina un i</w:t>
            </w:r>
            <w:r w:rsidRPr="0007387F">
              <w:rPr>
                <w:lang w:eastAsia="en-GB"/>
              </w:rPr>
              <w:t xml:space="preserve">evēro Eiropas Savienības tiesību normas, Latvijas Republikas normatīvus aktus, kas saistīti ar IT jautājumiem; </w:t>
            </w:r>
            <w:r>
              <w:rPr>
                <w:lang w:eastAsia="en-GB"/>
              </w:rPr>
              <w:t xml:space="preserve">zina un </w:t>
            </w:r>
            <w:r w:rsidRPr="0007387F">
              <w:rPr>
                <w:lang w:eastAsia="en-GB"/>
              </w:rPr>
              <w:t>lieto informācijas tehnoloģiju nozares standartus un tehnisko dokumentāciju.</w:t>
            </w:r>
          </w:p>
          <w:p w14:paraId="0DA4D9F5" w14:textId="77777777" w:rsidR="00CC0D78" w:rsidRPr="004D3F42" w:rsidRDefault="00CC0D78" w:rsidP="001A535C">
            <w:pPr>
              <w:pStyle w:val="ListParagraph"/>
              <w:spacing w:after="160" w:line="259" w:lineRule="auto"/>
              <w:ind w:left="20"/>
              <w:rPr>
                <w:color w:val="auto"/>
                <w:lang w:eastAsia="en-GB"/>
              </w:rPr>
            </w:pPr>
            <w:r w:rsidRPr="004D3F42">
              <w:rPr>
                <w:color w:val="auto"/>
                <w:highlight w:val="green"/>
                <w:lang w:eastAsia="en-GB"/>
              </w:rPr>
              <w:t xml:space="preserve">2. Zina un ievēro </w:t>
            </w:r>
            <w:r w:rsidRPr="004D3F42">
              <w:rPr>
                <w:color w:val="auto"/>
                <w:sz w:val="22"/>
                <w:szCs w:val="22"/>
                <w:highlight w:val="green"/>
              </w:rPr>
              <w:t>Drošības tehnikas noteikumus prakses vietā, Vides aizsardzības likumu un Civilās aizsardzības un katastrofas pārvaldīšanas likumu</w:t>
            </w:r>
            <w:r w:rsidRPr="004D3F42">
              <w:rPr>
                <w:color w:val="auto"/>
                <w:highlight w:val="green"/>
                <w:lang w:eastAsia="en-GB"/>
              </w:rPr>
              <w:t>; zina savas tiesības un pienākumus prakses laikā.</w:t>
            </w:r>
            <w:r w:rsidRPr="004D3F42">
              <w:rPr>
                <w:color w:val="auto"/>
                <w:lang w:eastAsia="en-GB"/>
              </w:rPr>
              <w:t xml:space="preserve"> </w:t>
            </w:r>
          </w:p>
          <w:p w14:paraId="084A4EE1" w14:textId="77777777" w:rsidR="00CC0D78" w:rsidRPr="00C4607D" w:rsidRDefault="00CC0D78" w:rsidP="001A535C">
            <w:pPr>
              <w:pStyle w:val="ListParagraph"/>
              <w:spacing w:after="160" w:line="259" w:lineRule="auto"/>
              <w:ind w:left="20"/>
              <w:rPr>
                <w:color w:val="FF0000"/>
              </w:rPr>
            </w:pPr>
          </w:p>
          <w:p w14:paraId="25C0C1C7" w14:textId="77777777" w:rsidR="00CC0D78" w:rsidRPr="009A284C" w:rsidRDefault="00CC0D78" w:rsidP="001A535C">
            <w:pPr>
              <w:pStyle w:val="ListParagraph"/>
              <w:spacing w:after="160" w:line="259" w:lineRule="auto"/>
              <w:ind w:left="20"/>
              <w:rPr>
                <w:color w:val="auto"/>
              </w:rPr>
            </w:pPr>
            <w:r w:rsidRPr="009A284C">
              <w:rPr>
                <w:color w:val="auto"/>
              </w:rPr>
              <w:t>PRASMES:</w:t>
            </w:r>
          </w:p>
          <w:p w14:paraId="6ED6BBAE" w14:textId="77777777" w:rsidR="00CC0D78" w:rsidRPr="009A284C" w:rsidRDefault="00CC0D78" w:rsidP="001A535C">
            <w:pPr>
              <w:pStyle w:val="ListParagraph"/>
              <w:spacing w:after="160" w:line="259" w:lineRule="auto"/>
              <w:ind w:left="20"/>
              <w:rPr>
                <w:color w:val="auto"/>
              </w:rPr>
            </w:pPr>
            <w:r>
              <w:rPr>
                <w:color w:val="auto"/>
              </w:rPr>
              <w:t>3</w:t>
            </w:r>
            <w:r w:rsidRPr="009A284C">
              <w:rPr>
                <w:color w:val="auto"/>
              </w:rPr>
              <w:t>.</w:t>
            </w:r>
            <w:r w:rsidRPr="009A284C">
              <w:rPr>
                <w:color w:val="auto"/>
                <w:lang w:eastAsia="en-GB"/>
              </w:rPr>
              <w:t xml:space="preserve"> Uzstāda</w:t>
            </w:r>
            <w:r>
              <w:rPr>
                <w:color w:val="auto"/>
                <w:lang w:eastAsia="en-GB"/>
              </w:rPr>
              <w:t xml:space="preserve">, </w:t>
            </w:r>
            <w:r w:rsidRPr="009A284C">
              <w:rPr>
                <w:color w:val="auto"/>
                <w:lang w:eastAsia="en-GB"/>
              </w:rPr>
              <w:t xml:space="preserve"> konfigurē</w:t>
            </w:r>
            <w:r>
              <w:rPr>
                <w:color w:val="auto"/>
                <w:lang w:eastAsia="en-GB"/>
              </w:rPr>
              <w:t xml:space="preserve"> </w:t>
            </w:r>
            <w:r w:rsidRPr="004D3F42">
              <w:rPr>
                <w:color w:val="auto"/>
                <w:highlight w:val="green"/>
                <w:lang w:eastAsia="en-GB"/>
              </w:rPr>
              <w:t>un testē</w:t>
            </w:r>
            <w:r w:rsidRPr="004D3F42">
              <w:rPr>
                <w:color w:val="auto"/>
                <w:lang w:eastAsia="en-GB"/>
              </w:rPr>
              <w:t xml:space="preserve"> </w:t>
            </w:r>
            <w:r w:rsidRPr="009A284C">
              <w:rPr>
                <w:color w:val="auto"/>
                <w:lang w:eastAsia="en-GB"/>
              </w:rPr>
              <w:t>datortehniku, veic sīkus datortehnikas remontdarbus</w:t>
            </w:r>
            <w:r>
              <w:rPr>
                <w:color w:val="auto"/>
                <w:lang w:eastAsia="en-GB"/>
              </w:rPr>
              <w:t xml:space="preserve">. </w:t>
            </w:r>
          </w:p>
          <w:p w14:paraId="3EEAF63D" w14:textId="77777777" w:rsidR="00CC0D78" w:rsidRDefault="00CC0D78" w:rsidP="001A535C">
            <w:pPr>
              <w:pStyle w:val="ListParagraph"/>
              <w:spacing w:after="160" w:line="259" w:lineRule="auto"/>
              <w:ind w:left="20"/>
              <w:rPr>
                <w:color w:val="auto"/>
                <w:lang w:eastAsia="en-GB"/>
              </w:rPr>
            </w:pPr>
            <w:r>
              <w:rPr>
                <w:color w:val="auto"/>
              </w:rPr>
              <w:t>4</w:t>
            </w:r>
            <w:r w:rsidRPr="009A284C">
              <w:rPr>
                <w:color w:val="auto"/>
              </w:rPr>
              <w:t>.</w:t>
            </w:r>
            <w:r w:rsidRPr="009A284C">
              <w:rPr>
                <w:color w:val="auto"/>
                <w:lang w:eastAsia="en-GB"/>
              </w:rPr>
              <w:t xml:space="preserve"> Instalē un konfigurē programmatūru, diagnosticē un novērš programmatūras lietošanas problēmas; konfigurē, administrē un uztur datortīklu/datorsistēmu/datubāzi</w:t>
            </w:r>
            <w:r w:rsidRPr="004D3F42">
              <w:rPr>
                <w:color w:val="auto"/>
                <w:highlight w:val="green"/>
                <w:lang w:eastAsia="en-GB"/>
              </w:rPr>
              <w:t>/tīmekļa vietni</w:t>
            </w:r>
            <w:r w:rsidRPr="009A284C">
              <w:rPr>
                <w:color w:val="auto"/>
                <w:lang w:eastAsia="en-GB"/>
              </w:rPr>
              <w:t xml:space="preserve">; </w:t>
            </w:r>
            <w:r w:rsidRPr="004D3F42">
              <w:rPr>
                <w:color w:val="auto"/>
                <w:highlight w:val="green"/>
                <w:lang w:eastAsia="en-GB"/>
              </w:rPr>
              <w:t>rūpējās par</w:t>
            </w:r>
            <w:r w:rsidRPr="004D3F42">
              <w:rPr>
                <w:color w:val="auto"/>
                <w:lang w:eastAsia="en-GB"/>
              </w:rPr>
              <w:t xml:space="preserve"> </w:t>
            </w:r>
            <w:r w:rsidRPr="009A284C">
              <w:rPr>
                <w:color w:val="auto"/>
                <w:lang w:eastAsia="en-GB"/>
              </w:rPr>
              <w:t>informācijas aizsardzību un drošību</w:t>
            </w:r>
            <w:r>
              <w:rPr>
                <w:color w:val="auto"/>
                <w:lang w:eastAsia="en-GB"/>
              </w:rPr>
              <w:t>.</w:t>
            </w:r>
          </w:p>
          <w:p w14:paraId="56F5534E" w14:textId="77777777" w:rsidR="00CC0D78" w:rsidRPr="004D3F42" w:rsidRDefault="00CC0D78" w:rsidP="001A535C">
            <w:pPr>
              <w:pStyle w:val="ListParagraph"/>
              <w:spacing w:after="160" w:line="259" w:lineRule="auto"/>
              <w:ind w:left="20"/>
              <w:rPr>
                <w:color w:val="auto"/>
                <w:lang w:eastAsia="en-GB"/>
              </w:rPr>
            </w:pPr>
            <w:r w:rsidRPr="004D3F42">
              <w:rPr>
                <w:color w:val="auto"/>
                <w:highlight w:val="green"/>
                <w:lang w:eastAsia="en-GB"/>
              </w:rPr>
              <w:t>5. Piedalās (ja atbilstošie darbi notiek uzņēmumā) datorsistēmas izstrādes visos posmos (problēmas apspried</w:t>
            </w:r>
            <w:r>
              <w:rPr>
                <w:color w:val="auto"/>
                <w:highlight w:val="green"/>
                <w:lang w:eastAsia="en-GB"/>
              </w:rPr>
              <w:t>ē</w:t>
            </w:r>
            <w:r w:rsidRPr="004D3F42">
              <w:rPr>
                <w:color w:val="auto"/>
                <w:highlight w:val="green"/>
                <w:lang w:eastAsia="en-GB"/>
              </w:rPr>
              <w:t>/analīz</w:t>
            </w:r>
            <w:r>
              <w:rPr>
                <w:color w:val="auto"/>
                <w:highlight w:val="green"/>
                <w:lang w:eastAsia="en-GB"/>
              </w:rPr>
              <w:t>ē</w:t>
            </w:r>
            <w:r w:rsidRPr="004D3F42">
              <w:rPr>
                <w:color w:val="auto"/>
                <w:highlight w:val="green"/>
                <w:lang w:eastAsia="en-GB"/>
              </w:rPr>
              <w:t>, prasību sastādīšan</w:t>
            </w:r>
            <w:r>
              <w:rPr>
                <w:color w:val="auto"/>
                <w:highlight w:val="green"/>
                <w:lang w:eastAsia="en-GB"/>
              </w:rPr>
              <w:t>ā</w:t>
            </w:r>
            <w:r w:rsidRPr="004D3F42">
              <w:rPr>
                <w:color w:val="auto"/>
                <w:highlight w:val="green"/>
                <w:lang w:eastAsia="en-GB"/>
              </w:rPr>
              <w:t>, projektēšan</w:t>
            </w:r>
            <w:r>
              <w:rPr>
                <w:color w:val="auto"/>
                <w:highlight w:val="green"/>
                <w:lang w:eastAsia="en-GB"/>
              </w:rPr>
              <w:t>ā</w:t>
            </w:r>
            <w:r w:rsidRPr="004D3F42">
              <w:rPr>
                <w:color w:val="auto"/>
                <w:highlight w:val="green"/>
                <w:lang w:eastAsia="en-GB"/>
              </w:rPr>
              <w:t>, iepirkuma dokumentācijas sagatavošan</w:t>
            </w:r>
            <w:r>
              <w:rPr>
                <w:color w:val="auto"/>
                <w:highlight w:val="green"/>
                <w:lang w:eastAsia="en-GB"/>
              </w:rPr>
              <w:t>ā</w:t>
            </w:r>
            <w:r w:rsidRPr="004D3F42">
              <w:rPr>
                <w:color w:val="auto"/>
                <w:highlight w:val="green"/>
                <w:lang w:eastAsia="en-GB"/>
              </w:rPr>
              <w:t>, montāž</w:t>
            </w:r>
            <w:r>
              <w:rPr>
                <w:color w:val="auto"/>
                <w:highlight w:val="green"/>
                <w:lang w:eastAsia="en-GB"/>
              </w:rPr>
              <w:t>ā</w:t>
            </w:r>
            <w:r w:rsidRPr="004D3F42">
              <w:rPr>
                <w:color w:val="auto"/>
                <w:highlight w:val="green"/>
                <w:lang w:eastAsia="en-GB"/>
              </w:rPr>
              <w:t>, konfigurēšan</w:t>
            </w:r>
            <w:r>
              <w:rPr>
                <w:color w:val="auto"/>
                <w:highlight w:val="green"/>
                <w:lang w:eastAsia="en-GB"/>
              </w:rPr>
              <w:t>ā</w:t>
            </w:r>
            <w:r w:rsidRPr="004D3F42">
              <w:rPr>
                <w:color w:val="auto"/>
                <w:highlight w:val="green"/>
                <w:lang w:eastAsia="en-GB"/>
              </w:rPr>
              <w:t>, testēšan</w:t>
            </w:r>
            <w:r>
              <w:rPr>
                <w:color w:val="auto"/>
                <w:highlight w:val="green"/>
                <w:lang w:eastAsia="en-GB"/>
              </w:rPr>
              <w:t>ā</w:t>
            </w:r>
            <w:r w:rsidRPr="004D3F42">
              <w:rPr>
                <w:color w:val="auto"/>
                <w:highlight w:val="green"/>
                <w:lang w:eastAsia="en-GB"/>
              </w:rPr>
              <w:t>, uzturēšan</w:t>
            </w:r>
            <w:r>
              <w:rPr>
                <w:color w:val="auto"/>
                <w:highlight w:val="green"/>
                <w:lang w:eastAsia="en-GB"/>
              </w:rPr>
              <w:t>ā</w:t>
            </w:r>
            <w:r w:rsidRPr="004D3F42">
              <w:rPr>
                <w:color w:val="auto"/>
                <w:highlight w:val="green"/>
                <w:lang w:eastAsia="en-GB"/>
              </w:rPr>
              <w:t>);</w:t>
            </w:r>
          </w:p>
          <w:p w14:paraId="1C89CCAD" w14:textId="77777777" w:rsidR="00CC0D78" w:rsidRDefault="00CC0D78" w:rsidP="001A535C">
            <w:pPr>
              <w:pStyle w:val="ListParagraph"/>
              <w:spacing w:after="160" w:line="259" w:lineRule="auto"/>
              <w:ind w:left="20"/>
              <w:rPr>
                <w:color w:val="0070C0"/>
              </w:rPr>
            </w:pPr>
            <w:r>
              <w:rPr>
                <w:color w:val="auto"/>
              </w:rPr>
              <w:t>6</w:t>
            </w:r>
            <w:r w:rsidRPr="009A284C">
              <w:rPr>
                <w:color w:val="auto"/>
              </w:rPr>
              <w:t>.</w:t>
            </w:r>
            <w:r w:rsidRPr="009A284C">
              <w:rPr>
                <w:color w:val="auto"/>
                <w:lang w:eastAsia="en-GB"/>
              </w:rPr>
              <w:t xml:space="preserve"> </w:t>
            </w:r>
            <w:r>
              <w:rPr>
                <w:lang w:eastAsia="en-GB"/>
              </w:rPr>
              <w:t>K</w:t>
            </w:r>
            <w:r w:rsidRPr="0007387F">
              <w:rPr>
                <w:lang w:eastAsia="en-GB"/>
              </w:rPr>
              <w:t>onsultē</w:t>
            </w:r>
            <w:r>
              <w:rPr>
                <w:lang w:eastAsia="en-GB"/>
              </w:rPr>
              <w:t xml:space="preserve"> </w:t>
            </w:r>
            <w:r w:rsidRPr="004D3F42">
              <w:rPr>
                <w:color w:val="auto"/>
                <w:highlight w:val="green"/>
                <w:lang w:eastAsia="en-GB"/>
              </w:rPr>
              <w:t>uzņēmuma</w:t>
            </w:r>
            <w:r w:rsidRPr="004D3F42">
              <w:rPr>
                <w:color w:val="auto"/>
                <w:lang w:eastAsia="en-GB"/>
              </w:rPr>
              <w:t xml:space="preserve"> </w:t>
            </w:r>
            <w:r>
              <w:rPr>
                <w:lang w:eastAsia="en-GB"/>
              </w:rPr>
              <w:t>līdzstrādniekus un</w:t>
            </w:r>
            <w:r w:rsidRPr="0007387F">
              <w:rPr>
                <w:lang w:eastAsia="en-GB"/>
              </w:rPr>
              <w:t xml:space="preserve"> klientus </w:t>
            </w:r>
            <w:r w:rsidRPr="00C4607D">
              <w:rPr>
                <w:i/>
                <w:iCs/>
                <w:lang w:eastAsia="en-GB"/>
              </w:rPr>
              <w:t>IT</w:t>
            </w:r>
            <w:r w:rsidRPr="0007387F">
              <w:rPr>
                <w:lang w:eastAsia="en-GB"/>
              </w:rPr>
              <w:t xml:space="preserve"> jautājumos</w:t>
            </w:r>
            <w:r>
              <w:rPr>
                <w:lang w:eastAsia="en-GB"/>
              </w:rPr>
              <w:t>.</w:t>
            </w:r>
          </w:p>
          <w:p w14:paraId="6D7DCD8E" w14:textId="77777777" w:rsidR="00CC0D78" w:rsidRPr="00026C21" w:rsidRDefault="00CC0D78" w:rsidP="001A535C">
            <w:pPr>
              <w:pStyle w:val="ListParagraph"/>
              <w:spacing w:after="160" w:line="259" w:lineRule="auto"/>
              <w:ind w:left="20"/>
              <w:rPr>
                <w:color w:val="0070C0"/>
              </w:rPr>
            </w:pPr>
          </w:p>
          <w:p w14:paraId="0E43B015" w14:textId="77777777" w:rsidR="00CC0D78" w:rsidRPr="009A284C" w:rsidRDefault="00CC0D78" w:rsidP="001A535C">
            <w:pPr>
              <w:pStyle w:val="ListParagraph"/>
              <w:spacing w:after="160" w:line="259" w:lineRule="auto"/>
              <w:ind w:left="20"/>
              <w:rPr>
                <w:color w:val="auto"/>
              </w:rPr>
            </w:pPr>
            <w:r w:rsidRPr="009A284C">
              <w:rPr>
                <w:color w:val="auto"/>
              </w:rPr>
              <w:t xml:space="preserve">KOMPETENCE: </w:t>
            </w:r>
          </w:p>
          <w:p w14:paraId="55C6D3E5" w14:textId="77777777" w:rsidR="00CC0D78" w:rsidRPr="009A284C" w:rsidRDefault="00CC0D78" w:rsidP="001A535C">
            <w:pPr>
              <w:pStyle w:val="ListParagraph"/>
              <w:spacing w:after="160" w:line="259" w:lineRule="auto"/>
              <w:ind w:left="20"/>
              <w:rPr>
                <w:color w:val="auto"/>
                <w:lang w:eastAsia="en-GB"/>
              </w:rPr>
            </w:pPr>
            <w:r>
              <w:rPr>
                <w:color w:val="auto"/>
              </w:rPr>
              <w:t>7</w:t>
            </w:r>
            <w:r w:rsidRPr="009A284C">
              <w:rPr>
                <w:color w:val="auto"/>
              </w:rPr>
              <w:t>.</w:t>
            </w:r>
            <w:r w:rsidRPr="009A284C">
              <w:rPr>
                <w:color w:val="auto"/>
                <w:lang w:eastAsia="en-GB"/>
              </w:rPr>
              <w:t xml:space="preserve"> Lasa un saprot </w:t>
            </w:r>
            <w:r w:rsidRPr="004D3F42">
              <w:rPr>
                <w:color w:val="auto"/>
                <w:lang w:eastAsia="en-GB"/>
              </w:rPr>
              <w:t xml:space="preserve">uzturamo sistēmu dokumentāciju </w:t>
            </w:r>
            <w:r w:rsidRPr="009A284C">
              <w:rPr>
                <w:color w:val="auto"/>
                <w:lang w:eastAsia="en-GB"/>
              </w:rPr>
              <w:t>vairākās valodās; meklē nepieciešamo informāciju literatūrā un internetā;</w:t>
            </w:r>
          </w:p>
          <w:p w14:paraId="47BBCFDB" w14:textId="77777777" w:rsidR="00CC0D78" w:rsidRPr="009A284C" w:rsidRDefault="00CC0D78" w:rsidP="001A535C">
            <w:pPr>
              <w:pStyle w:val="ListParagraph"/>
              <w:spacing w:after="160" w:line="259" w:lineRule="auto"/>
              <w:ind w:left="20"/>
              <w:rPr>
                <w:color w:val="auto"/>
                <w:lang w:eastAsia="en-GB"/>
              </w:rPr>
            </w:pPr>
            <w:r>
              <w:rPr>
                <w:color w:val="auto"/>
              </w:rPr>
              <w:t>8</w:t>
            </w:r>
            <w:r w:rsidRPr="009A284C">
              <w:rPr>
                <w:color w:val="auto"/>
              </w:rPr>
              <w:t>.</w:t>
            </w:r>
            <w:r w:rsidRPr="009A284C">
              <w:rPr>
                <w:color w:val="auto"/>
                <w:lang w:eastAsia="en-GB"/>
              </w:rPr>
              <w:t xml:space="preserve"> Strādā ar vispārīgā rakstura dokumentāciju (CV, iesniegumus, līgumus</w:t>
            </w:r>
            <w:r>
              <w:rPr>
                <w:color w:val="auto"/>
                <w:lang w:eastAsia="en-GB"/>
              </w:rPr>
              <w:t xml:space="preserve">, </w:t>
            </w:r>
            <w:r w:rsidRPr="004D3F42">
              <w:rPr>
                <w:color w:val="auto"/>
                <w:highlight w:val="green"/>
                <w:lang w:eastAsia="en-GB"/>
              </w:rPr>
              <w:t>specifikācijas, uzskaites žurnāli</w:t>
            </w:r>
            <w:r w:rsidRPr="00390529">
              <w:rPr>
                <w:color w:val="FF0000"/>
                <w:lang w:eastAsia="en-GB"/>
              </w:rPr>
              <w:t xml:space="preserve"> </w:t>
            </w:r>
            <w:r w:rsidRPr="009A284C">
              <w:rPr>
                <w:color w:val="auto"/>
                <w:lang w:eastAsia="en-GB"/>
              </w:rPr>
              <w:t xml:space="preserve">utt.) </w:t>
            </w:r>
          </w:p>
          <w:p w14:paraId="0B21F255" w14:textId="77777777" w:rsidR="00CC0D78" w:rsidRPr="004D3F42" w:rsidRDefault="00CC0D78" w:rsidP="001A535C">
            <w:pPr>
              <w:pStyle w:val="ListParagraph"/>
              <w:spacing w:after="160" w:line="259" w:lineRule="auto"/>
              <w:ind w:left="20"/>
              <w:rPr>
                <w:color w:val="auto"/>
                <w:highlight w:val="green"/>
                <w:lang w:eastAsia="en-GB"/>
              </w:rPr>
            </w:pPr>
            <w:r w:rsidRPr="004D3F42">
              <w:rPr>
                <w:color w:val="auto"/>
                <w:highlight w:val="green"/>
              </w:rPr>
              <w:t>9.</w:t>
            </w:r>
            <w:r w:rsidRPr="004D3F42">
              <w:rPr>
                <w:color w:val="auto"/>
                <w:highlight w:val="green"/>
                <w:lang w:eastAsia="en-GB"/>
              </w:rPr>
              <w:t xml:space="preserve"> Prognozē darba uzdevuma darbietilpību un izpildes laiku; droši un efektīvi pilda savus pienākumus.</w:t>
            </w:r>
          </w:p>
          <w:p w14:paraId="305A5E54" w14:textId="77777777" w:rsidR="00CC0D78" w:rsidRPr="00390529" w:rsidRDefault="00CC0D78" w:rsidP="001A535C">
            <w:pPr>
              <w:pStyle w:val="ListParagraph"/>
              <w:spacing w:after="160" w:line="259" w:lineRule="auto"/>
              <w:ind w:left="20"/>
              <w:rPr>
                <w:lang w:eastAsia="en-GB"/>
              </w:rPr>
            </w:pPr>
            <w:r w:rsidRPr="004D3F42">
              <w:rPr>
                <w:color w:val="auto"/>
                <w:highlight w:val="green"/>
              </w:rPr>
              <w:t>10.</w:t>
            </w:r>
            <w:r w:rsidRPr="004D3F42">
              <w:rPr>
                <w:color w:val="auto"/>
                <w:highlight w:val="green"/>
                <w:lang w:eastAsia="en-GB"/>
              </w:rPr>
              <w:t xml:space="preserve"> Prot strādāt komandā.</w:t>
            </w:r>
          </w:p>
        </w:tc>
      </w:tr>
      <w:tr w:rsidR="00CC0D78" w:rsidRPr="00026C21" w14:paraId="4A55B220" w14:textId="77777777" w:rsidTr="001A535C">
        <w:trPr>
          <w:jc w:val="center"/>
        </w:trPr>
        <w:tc>
          <w:tcPr>
            <w:tcW w:w="9582" w:type="dxa"/>
            <w:gridSpan w:val="2"/>
          </w:tcPr>
          <w:p w14:paraId="06F39988" w14:textId="77777777" w:rsidR="00CC0D78" w:rsidRPr="00026C21" w:rsidRDefault="00CC0D78" w:rsidP="001A535C">
            <w:pPr>
              <w:pStyle w:val="Nosaukumi"/>
            </w:pPr>
            <w:r w:rsidRPr="00026C21">
              <w:t>Prasības kredītpunktu iegūšanai</w:t>
            </w:r>
          </w:p>
        </w:tc>
      </w:tr>
      <w:tr w:rsidR="00CC0D78" w:rsidRPr="00026C21" w14:paraId="7D184F09" w14:textId="77777777" w:rsidTr="001A535C">
        <w:trPr>
          <w:jc w:val="center"/>
        </w:trPr>
        <w:tc>
          <w:tcPr>
            <w:tcW w:w="9582" w:type="dxa"/>
            <w:gridSpan w:val="2"/>
          </w:tcPr>
          <w:p w14:paraId="549F468C" w14:textId="77777777" w:rsidR="00CC0D78" w:rsidRPr="00026C21" w:rsidRDefault="00CC0D78" w:rsidP="001A535C">
            <w:pPr>
              <w:rPr>
                <w:color w:val="0070C0"/>
              </w:rPr>
            </w:pPr>
          </w:p>
          <w:p w14:paraId="7D62494A" w14:textId="77777777" w:rsidR="00CC0D78" w:rsidRPr="009A284C" w:rsidRDefault="00CC0D78" w:rsidP="001A535C">
            <w:r w:rsidRPr="009A284C">
              <w:t>STUDIJU REZULTĀTU VĒRTĒŠANAS KRITĒRIJI</w:t>
            </w:r>
          </w:p>
          <w:p w14:paraId="3EA29352" w14:textId="77777777" w:rsidR="00CC0D78" w:rsidRPr="009A284C" w:rsidRDefault="00CC0D78" w:rsidP="001A535C"/>
          <w:p w14:paraId="7DFA78F1" w14:textId="77777777" w:rsidR="00CC0D78" w:rsidRPr="009A284C" w:rsidRDefault="00CC0D78" w:rsidP="001A535C">
            <w:pPr>
              <w:rPr>
                <w:rFonts w:eastAsia="Times New Roman"/>
              </w:rPr>
            </w:pPr>
            <w:r w:rsidRPr="009A284C">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CFEB2AF" w14:textId="77777777" w:rsidR="00CC0D78" w:rsidRPr="009A284C" w:rsidRDefault="00CC0D78" w:rsidP="001A535C"/>
          <w:p w14:paraId="2219A43D" w14:textId="77777777" w:rsidR="00CC0D78" w:rsidRPr="009A284C" w:rsidRDefault="00CC0D78" w:rsidP="001A535C">
            <w:r w:rsidRPr="009A284C">
              <w:t>STUDIJU REZULTĀTU VĒRTĒŠANA</w:t>
            </w:r>
          </w:p>
          <w:p w14:paraId="4CBE88A2" w14:textId="77777777" w:rsidR="00CC0D78" w:rsidRPr="009A284C" w:rsidRDefault="00CC0D78" w:rsidP="001A535C"/>
          <w:tbl>
            <w:tblPr>
              <w:tblW w:w="8331"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gridCol w:w="562"/>
              <w:gridCol w:w="562"/>
              <w:gridCol w:w="562"/>
              <w:gridCol w:w="562"/>
            </w:tblGrid>
            <w:tr w:rsidR="00CC0D78" w:rsidRPr="009A284C" w14:paraId="71B2EC40" w14:textId="77777777" w:rsidTr="001A535C">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8C8BD6" w14:textId="77777777" w:rsidR="00CC0D78" w:rsidRPr="009A284C" w:rsidRDefault="00CC0D78" w:rsidP="001A535C">
                  <w:pPr>
                    <w:jc w:val="center"/>
                  </w:pPr>
                  <w:r w:rsidRPr="009A284C">
                    <w:t>Pārbaudījumu veidi</w:t>
                  </w:r>
                </w:p>
              </w:tc>
              <w:tc>
                <w:tcPr>
                  <w:tcW w:w="5611" w:type="dxa"/>
                  <w:gridSpan w:val="10"/>
                  <w:tcBorders>
                    <w:top w:val="single" w:sz="4" w:space="0" w:color="000000"/>
                    <w:left w:val="single" w:sz="4" w:space="0" w:color="000000"/>
                    <w:bottom w:val="single" w:sz="4" w:space="0" w:color="000000"/>
                    <w:right w:val="single" w:sz="4" w:space="0" w:color="000000"/>
                  </w:tcBorders>
                </w:tcPr>
                <w:p w14:paraId="5EDD7A8A" w14:textId="77777777" w:rsidR="00CC0D78" w:rsidRPr="009A284C" w:rsidRDefault="00CC0D78" w:rsidP="001A535C">
                  <w:pPr>
                    <w:jc w:val="center"/>
                  </w:pPr>
                  <w:r w:rsidRPr="009A284C">
                    <w:t>Studiju rezultāti</w:t>
                  </w:r>
                </w:p>
              </w:tc>
            </w:tr>
            <w:tr w:rsidR="00CC0D78" w:rsidRPr="009A284C" w14:paraId="5B5BF60D" w14:textId="77777777" w:rsidTr="001A535C">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81E5792" w14:textId="77777777" w:rsidR="00CC0D78" w:rsidRPr="009A284C" w:rsidRDefault="00CC0D78" w:rsidP="001A535C">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1273DA" w14:textId="77777777" w:rsidR="00CC0D78" w:rsidRPr="009A284C" w:rsidRDefault="00CC0D78" w:rsidP="001A535C">
                  <w:pPr>
                    <w:jc w:val="center"/>
                  </w:pPr>
                  <w:r w:rsidRPr="009A284C">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F336C1" w14:textId="77777777" w:rsidR="00CC0D78" w:rsidRPr="009A284C" w:rsidRDefault="00CC0D78" w:rsidP="001A535C">
                  <w:pPr>
                    <w:jc w:val="center"/>
                  </w:pPr>
                  <w:r w:rsidRPr="009A284C">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886BAC" w14:textId="77777777" w:rsidR="00CC0D78" w:rsidRPr="009A284C" w:rsidRDefault="00CC0D78" w:rsidP="001A535C">
                  <w:pPr>
                    <w:jc w:val="center"/>
                  </w:pPr>
                  <w:r w:rsidRPr="009A284C">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976BFE" w14:textId="77777777" w:rsidR="00CC0D78" w:rsidRPr="009A284C" w:rsidRDefault="00CC0D78" w:rsidP="001A535C">
                  <w:pPr>
                    <w:jc w:val="center"/>
                  </w:pPr>
                  <w:r w:rsidRPr="009A284C">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16C631" w14:textId="77777777" w:rsidR="00CC0D78" w:rsidRPr="009A284C" w:rsidRDefault="00CC0D78" w:rsidP="001A535C">
                  <w:pPr>
                    <w:jc w:val="center"/>
                  </w:pPr>
                  <w:r w:rsidRPr="009A284C">
                    <w:t>5.</w:t>
                  </w:r>
                </w:p>
              </w:tc>
              <w:tc>
                <w:tcPr>
                  <w:tcW w:w="562" w:type="dxa"/>
                  <w:tcBorders>
                    <w:top w:val="single" w:sz="4" w:space="0" w:color="000000"/>
                    <w:left w:val="single" w:sz="4" w:space="0" w:color="000000"/>
                    <w:bottom w:val="single" w:sz="4" w:space="0" w:color="000000"/>
                    <w:right w:val="single" w:sz="4" w:space="0" w:color="000000"/>
                  </w:tcBorders>
                </w:tcPr>
                <w:p w14:paraId="5EBE1440" w14:textId="77777777" w:rsidR="00CC0D78" w:rsidRPr="009A284C" w:rsidRDefault="00CC0D78" w:rsidP="001A535C">
                  <w:pPr>
                    <w:jc w:val="center"/>
                  </w:pPr>
                  <w:r w:rsidRPr="009A284C">
                    <w:t xml:space="preserve">6. </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1BBBE8" w14:textId="77777777" w:rsidR="00CC0D78" w:rsidRPr="009A284C" w:rsidRDefault="00CC0D78" w:rsidP="001A535C">
                  <w:pPr>
                    <w:jc w:val="center"/>
                  </w:pPr>
                  <w:r w:rsidRPr="009A284C">
                    <w:t>7.</w:t>
                  </w:r>
                </w:p>
              </w:tc>
              <w:tc>
                <w:tcPr>
                  <w:tcW w:w="562" w:type="dxa"/>
                  <w:tcBorders>
                    <w:top w:val="single" w:sz="4" w:space="0" w:color="000000"/>
                    <w:left w:val="single" w:sz="4" w:space="0" w:color="000000"/>
                    <w:bottom w:val="single" w:sz="4" w:space="0" w:color="000000"/>
                    <w:right w:val="single" w:sz="4" w:space="0" w:color="000000"/>
                  </w:tcBorders>
                </w:tcPr>
                <w:p w14:paraId="6C049942" w14:textId="77777777" w:rsidR="00CC0D78" w:rsidRPr="009A284C" w:rsidRDefault="00CC0D78" w:rsidP="001A535C">
                  <w:pPr>
                    <w:jc w:val="center"/>
                  </w:pPr>
                  <w:r>
                    <w:t>8.</w:t>
                  </w:r>
                </w:p>
              </w:tc>
              <w:tc>
                <w:tcPr>
                  <w:tcW w:w="562" w:type="dxa"/>
                  <w:tcBorders>
                    <w:top w:val="single" w:sz="4" w:space="0" w:color="000000"/>
                    <w:left w:val="single" w:sz="4" w:space="0" w:color="000000"/>
                    <w:bottom w:val="single" w:sz="4" w:space="0" w:color="000000"/>
                    <w:right w:val="single" w:sz="4" w:space="0" w:color="000000"/>
                  </w:tcBorders>
                </w:tcPr>
                <w:p w14:paraId="07785AFD" w14:textId="77777777" w:rsidR="00CC0D78" w:rsidRPr="009A284C" w:rsidRDefault="00CC0D78" w:rsidP="001A535C">
                  <w:pPr>
                    <w:jc w:val="center"/>
                  </w:pPr>
                  <w:r>
                    <w:t>9.</w:t>
                  </w:r>
                </w:p>
              </w:tc>
              <w:tc>
                <w:tcPr>
                  <w:tcW w:w="562" w:type="dxa"/>
                  <w:tcBorders>
                    <w:top w:val="single" w:sz="4" w:space="0" w:color="000000"/>
                    <w:left w:val="single" w:sz="4" w:space="0" w:color="000000"/>
                    <w:bottom w:val="single" w:sz="4" w:space="0" w:color="000000"/>
                    <w:right w:val="single" w:sz="4" w:space="0" w:color="000000"/>
                  </w:tcBorders>
                </w:tcPr>
                <w:p w14:paraId="2F473F81" w14:textId="77777777" w:rsidR="00CC0D78" w:rsidRDefault="00CC0D78" w:rsidP="001A535C">
                  <w:pPr>
                    <w:jc w:val="center"/>
                  </w:pPr>
                  <w:r>
                    <w:t>10</w:t>
                  </w:r>
                </w:p>
              </w:tc>
            </w:tr>
            <w:tr w:rsidR="00CC0D78" w:rsidRPr="009A284C" w14:paraId="5BF30BE6" w14:textId="77777777" w:rsidTr="001A535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B47C8" w14:textId="77777777" w:rsidR="00CC0D78" w:rsidRPr="009A284C" w:rsidRDefault="00CC0D78" w:rsidP="001A535C">
                  <w:r w:rsidRPr="009A284C">
                    <w:t>Darbs uzņēmumā</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DB58C" w14:textId="77777777" w:rsidR="00CC0D78" w:rsidRPr="009A284C" w:rsidRDefault="00CC0D78" w:rsidP="001A535C">
                  <w:pPr>
                    <w:jc w:val="center"/>
                  </w:pPr>
                  <w:r w:rsidRPr="009A284C">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2A994B" w14:textId="77777777" w:rsidR="00CC0D78" w:rsidRPr="009A284C" w:rsidRDefault="00CC0D78" w:rsidP="001A535C">
                  <w:pPr>
                    <w:jc w:val="center"/>
                  </w:pPr>
                  <w:r w:rsidRPr="009A284C">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47BF7E" w14:textId="77777777" w:rsidR="00CC0D78" w:rsidRPr="009A284C" w:rsidRDefault="00CC0D78" w:rsidP="001A535C">
                  <w:pPr>
                    <w:jc w:val="center"/>
                  </w:pPr>
                  <w:r w:rsidRPr="009A284C">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8A182B" w14:textId="77777777" w:rsidR="00CC0D78" w:rsidRPr="009A284C" w:rsidRDefault="00CC0D78" w:rsidP="001A535C">
                  <w:pPr>
                    <w:jc w:val="center"/>
                  </w:pPr>
                  <w:r w:rsidRPr="009A284C">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CE09D5" w14:textId="77777777" w:rsidR="00CC0D78" w:rsidRPr="009A284C" w:rsidRDefault="00CC0D78" w:rsidP="001A535C">
                  <w:pPr>
                    <w:jc w:val="center"/>
                  </w:pPr>
                  <w:r w:rsidRPr="009A284C">
                    <w:t>+</w:t>
                  </w:r>
                </w:p>
              </w:tc>
              <w:tc>
                <w:tcPr>
                  <w:tcW w:w="562" w:type="dxa"/>
                  <w:tcBorders>
                    <w:top w:val="single" w:sz="4" w:space="0" w:color="000000"/>
                    <w:left w:val="single" w:sz="4" w:space="0" w:color="000000"/>
                    <w:bottom w:val="single" w:sz="4" w:space="0" w:color="000000"/>
                    <w:right w:val="single" w:sz="4" w:space="0" w:color="000000"/>
                  </w:tcBorders>
                  <w:vAlign w:val="center"/>
                </w:tcPr>
                <w:p w14:paraId="3E5BEC8C" w14:textId="77777777" w:rsidR="00CC0D78" w:rsidRPr="009A284C" w:rsidRDefault="00CC0D78" w:rsidP="001A535C">
                  <w:pPr>
                    <w:jc w:val="center"/>
                  </w:pPr>
                  <w: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8E8B3A" w14:textId="77777777" w:rsidR="00CC0D78" w:rsidRPr="009A284C" w:rsidRDefault="00CC0D78" w:rsidP="001A535C">
                  <w:pPr>
                    <w:jc w:val="center"/>
                  </w:pPr>
                  <w:r w:rsidRPr="009A284C">
                    <w:t>+</w:t>
                  </w:r>
                </w:p>
              </w:tc>
              <w:tc>
                <w:tcPr>
                  <w:tcW w:w="562" w:type="dxa"/>
                  <w:tcBorders>
                    <w:top w:val="single" w:sz="4" w:space="0" w:color="000000"/>
                    <w:left w:val="single" w:sz="4" w:space="0" w:color="000000"/>
                    <w:bottom w:val="single" w:sz="4" w:space="0" w:color="000000"/>
                    <w:right w:val="single" w:sz="4" w:space="0" w:color="000000"/>
                  </w:tcBorders>
                  <w:vAlign w:val="center"/>
                </w:tcPr>
                <w:p w14:paraId="62801E23" w14:textId="77777777" w:rsidR="00CC0D78" w:rsidRPr="00192747" w:rsidRDefault="00CC0D78" w:rsidP="001A535C">
                  <w:pPr>
                    <w:jc w:val="center"/>
                    <w:rPr>
                      <w:highlight w:val="green"/>
                    </w:rPr>
                  </w:pPr>
                  <w:r w:rsidRPr="00192747">
                    <w:rPr>
                      <w:highlight w:val="green"/>
                    </w:rP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68111E65" w14:textId="77777777" w:rsidR="00CC0D78" w:rsidRPr="00192747" w:rsidRDefault="00CC0D78" w:rsidP="001A535C">
                  <w:pPr>
                    <w:jc w:val="center"/>
                    <w:rPr>
                      <w:highlight w:val="green"/>
                    </w:rPr>
                  </w:pPr>
                  <w:r w:rsidRPr="00192747">
                    <w:rPr>
                      <w:highlight w:val="green"/>
                    </w:rPr>
                    <w:t>+</w:t>
                  </w:r>
                </w:p>
              </w:tc>
              <w:tc>
                <w:tcPr>
                  <w:tcW w:w="562" w:type="dxa"/>
                  <w:tcBorders>
                    <w:top w:val="single" w:sz="4" w:space="0" w:color="000000"/>
                    <w:left w:val="single" w:sz="4" w:space="0" w:color="000000"/>
                    <w:bottom w:val="single" w:sz="4" w:space="0" w:color="000000"/>
                    <w:right w:val="single" w:sz="4" w:space="0" w:color="000000"/>
                  </w:tcBorders>
                </w:tcPr>
                <w:p w14:paraId="73C8084B" w14:textId="77777777" w:rsidR="00CC0D78" w:rsidRPr="00192747" w:rsidRDefault="00CC0D78" w:rsidP="001A535C">
                  <w:pPr>
                    <w:jc w:val="center"/>
                    <w:rPr>
                      <w:highlight w:val="green"/>
                    </w:rPr>
                  </w:pPr>
                  <w:r w:rsidRPr="00192747">
                    <w:rPr>
                      <w:highlight w:val="green"/>
                    </w:rPr>
                    <w:t>+</w:t>
                  </w:r>
                </w:p>
              </w:tc>
            </w:tr>
            <w:tr w:rsidR="00CC0D78" w:rsidRPr="009A284C" w14:paraId="1F975435" w14:textId="77777777" w:rsidTr="001A535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1C4AB4" w14:textId="77777777" w:rsidR="00CC0D78" w:rsidRPr="009A284C" w:rsidRDefault="00CC0D78" w:rsidP="001A535C">
                  <w:r w:rsidRPr="009A284C">
                    <w:t>Dokumentācija (līgums, dienasgrāmata, atskaite)</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6A8E31" w14:textId="77777777" w:rsidR="00CC0D78" w:rsidRPr="009A284C" w:rsidRDefault="00CC0D78" w:rsidP="001A535C">
                  <w:pPr>
                    <w:jc w:val="center"/>
                  </w:pPr>
                  <w:r w:rsidRPr="009A284C">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DDCD7C" w14:textId="77777777" w:rsidR="00CC0D78" w:rsidRPr="009A284C" w:rsidRDefault="00CC0D78" w:rsidP="001A535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20E629" w14:textId="77777777" w:rsidR="00CC0D78" w:rsidRPr="009A284C" w:rsidRDefault="00CC0D78" w:rsidP="001A535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AA41C" w14:textId="77777777" w:rsidR="00CC0D78" w:rsidRPr="009A284C" w:rsidRDefault="00CC0D78" w:rsidP="001A535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E6B19E" w14:textId="77777777" w:rsidR="00CC0D78" w:rsidRPr="009A284C" w:rsidRDefault="00CC0D78" w:rsidP="001A535C">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0C38E660" w14:textId="77777777" w:rsidR="00CC0D78" w:rsidRPr="009A284C" w:rsidRDefault="00CC0D78" w:rsidP="001A535C">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A9A9B" w14:textId="77777777" w:rsidR="00CC0D78" w:rsidRPr="009A284C" w:rsidRDefault="00CC0D78" w:rsidP="001A535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2C3A332E" w14:textId="77777777" w:rsidR="00CC0D78" w:rsidRPr="00192747" w:rsidRDefault="00CC0D78" w:rsidP="001A535C">
                  <w:pPr>
                    <w:jc w:val="center"/>
                    <w:rPr>
                      <w:highlight w:val="green"/>
                    </w:rPr>
                  </w:pPr>
                  <w:r w:rsidRPr="00192747">
                    <w:rPr>
                      <w:highlight w:val="green"/>
                    </w:rP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4FCA43C0" w14:textId="77777777" w:rsidR="00CC0D78" w:rsidRPr="00192747" w:rsidRDefault="00CC0D78" w:rsidP="001A535C">
                  <w:pPr>
                    <w:jc w:val="center"/>
                    <w:rPr>
                      <w:highlight w:val="green"/>
                    </w:rPr>
                  </w:pPr>
                </w:p>
              </w:tc>
              <w:tc>
                <w:tcPr>
                  <w:tcW w:w="562" w:type="dxa"/>
                  <w:tcBorders>
                    <w:top w:val="single" w:sz="4" w:space="0" w:color="000000"/>
                    <w:left w:val="single" w:sz="4" w:space="0" w:color="000000"/>
                    <w:bottom w:val="single" w:sz="4" w:space="0" w:color="000000"/>
                    <w:right w:val="single" w:sz="4" w:space="0" w:color="000000"/>
                  </w:tcBorders>
                </w:tcPr>
                <w:p w14:paraId="1D960700" w14:textId="77777777" w:rsidR="00CC0D78" w:rsidRPr="00192747" w:rsidRDefault="00CC0D78" w:rsidP="001A535C">
                  <w:pPr>
                    <w:jc w:val="center"/>
                    <w:rPr>
                      <w:highlight w:val="green"/>
                    </w:rPr>
                  </w:pPr>
                </w:p>
              </w:tc>
            </w:tr>
            <w:tr w:rsidR="00CC0D78" w:rsidRPr="009A284C" w14:paraId="0E828BFD" w14:textId="77777777" w:rsidTr="001A535C">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63A7E" w14:textId="77777777" w:rsidR="00CC0D78" w:rsidRPr="009A284C" w:rsidRDefault="00CC0D78" w:rsidP="001A535C">
                  <w:r w:rsidRPr="009A284C">
                    <w:t>Prezentācija</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EA0F5" w14:textId="77777777" w:rsidR="00CC0D78" w:rsidRPr="009A284C" w:rsidRDefault="00CC0D78" w:rsidP="001A535C">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19ECA" w14:textId="77777777" w:rsidR="00CC0D78" w:rsidRPr="009A284C" w:rsidRDefault="00CC0D78" w:rsidP="001A535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655F4F" w14:textId="77777777" w:rsidR="00CC0D78" w:rsidRPr="009A284C" w:rsidRDefault="00CC0D78" w:rsidP="001A535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062ED2" w14:textId="77777777" w:rsidR="00CC0D78" w:rsidRPr="009A284C" w:rsidRDefault="00CC0D78" w:rsidP="001A535C">
                  <w:pPr>
                    <w:jc w:val="center"/>
                  </w:pPr>
                  <w: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3EEEF4" w14:textId="77777777" w:rsidR="00CC0D78" w:rsidRPr="009A284C" w:rsidRDefault="00CC0D78" w:rsidP="001A535C">
                  <w:pPr>
                    <w:jc w:val="center"/>
                  </w:pPr>
                </w:p>
              </w:tc>
              <w:tc>
                <w:tcPr>
                  <w:tcW w:w="562" w:type="dxa"/>
                  <w:tcBorders>
                    <w:top w:val="single" w:sz="4" w:space="0" w:color="000000"/>
                    <w:left w:val="single" w:sz="4" w:space="0" w:color="000000"/>
                    <w:bottom w:val="single" w:sz="4" w:space="0" w:color="000000"/>
                    <w:right w:val="single" w:sz="4" w:space="0" w:color="000000"/>
                  </w:tcBorders>
                  <w:vAlign w:val="center"/>
                </w:tcPr>
                <w:p w14:paraId="6C61D71C" w14:textId="77777777" w:rsidR="00CC0D78" w:rsidRPr="009A284C" w:rsidRDefault="00CC0D78" w:rsidP="001A535C">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865086" w14:textId="77777777" w:rsidR="00CC0D78" w:rsidRPr="009A284C" w:rsidRDefault="00CC0D78" w:rsidP="001A535C">
                  <w:pPr>
                    <w:jc w:val="center"/>
                  </w:pPr>
                  <w: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3BCBE831" w14:textId="77777777" w:rsidR="00CC0D78" w:rsidRPr="00192747" w:rsidRDefault="00CC0D78" w:rsidP="001A535C">
                  <w:pPr>
                    <w:jc w:val="center"/>
                    <w:rPr>
                      <w:highlight w:val="green"/>
                    </w:rPr>
                  </w:pPr>
                  <w:r w:rsidRPr="00192747">
                    <w:rPr>
                      <w:highlight w:val="green"/>
                    </w:rPr>
                    <w:t>+</w:t>
                  </w:r>
                </w:p>
              </w:tc>
              <w:tc>
                <w:tcPr>
                  <w:tcW w:w="562" w:type="dxa"/>
                  <w:tcBorders>
                    <w:top w:val="single" w:sz="4" w:space="0" w:color="000000"/>
                    <w:left w:val="single" w:sz="4" w:space="0" w:color="000000"/>
                    <w:bottom w:val="single" w:sz="4" w:space="0" w:color="000000"/>
                    <w:right w:val="single" w:sz="4" w:space="0" w:color="000000"/>
                  </w:tcBorders>
                  <w:vAlign w:val="center"/>
                </w:tcPr>
                <w:p w14:paraId="18976C88" w14:textId="77777777" w:rsidR="00CC0D78" w:rsidRPr="00192747" w:rsidRDefault="00CC0D78" w:rsidP="001A535C">
                  <w:pPr>
                    <w:jc w:val="center"/>
                    <w:rPr>
                      <w:highlight w:val="green"/>
                    </w:rPr>
                  </w:pPr>
                  <w:r w:rsidRPr="00192747">
                    <w:rPr>
                      <w:highlight w:val="green"/>
                    </w:rPr>
                    <w:t>+</w:t>
                  </w:r>
                </w:p>
              </w:tc>
              <w:tc>
                <w:tcPr>
                  <w:tcW w:w="562" w:type="dxa"/>
                  <w:tcBorders>
                    <w:top w:val="single" w:sz="4" w:space="0" w:color="000000"/>
                    <w:left w:val="single" w:sz="4" w:space="0" w:color="000000"/>
                    <w:bottom w:val="single" w:sz="4" w:space="0" w:color="000000"/>
                    <w:right w:val="single" w:sz="4" w:space="0" w:color="000000"/>
                  </w:tcBorders>
                </w:tcPr>
                <w:p w14:paraId="042B5C5A" w14:textId="77777777" w:rsidR="00CC0D78" w:rsidRPr="00192747" w:rsidRDefault="00CC0D78" w:rsidP="001A535C">
                  <w:pPr>
                    <w:jc w:val="center"/>
                    <w:rPr>
                      <w:highlight w:val="green"/>
                    </w:rPr>
                  </w:pPr>
                </w:p>
              </w:tc>
            </w:tr>
          </w:tbl>
          <w:p w14:paraId="41413197" w14:textId="77777777" w:rsidR="00CC0D78" w:rsidRPr="00026C21" w:rsidRDefault="00CC0D78" w:rsidP="001A535C">
            <w:pPr>
              <w:textAlignment w:val="baseline"/>
              <w:rPr>
                <w:bCs w:val="0"/>
                <w:iCs w:val="0"/>
                <w:color w:val="0070C0"/>
              </w:rPr>
            </w:pPr>
          </w:p>
        </w:tc>
      </w:tr>
      <w:tr w:rsidR="00CC0D78" w:rsidRPr="00026C21" w14:paraId="2995CAEB" w14:textId="77777777" w:rsidTr="001A535C">
        <w:trPr>
          <w:jc w:val="center"/>
        </w:trPr>
        <w:tc>
          <w:tcPr>
            <w:tcW w:w="9582" w:type="dxa"/>
            <w:gridSpan w:val="2"/>
          </w:tcPr>
          <w:p w14:paraId="289CFCAA" w14:textId="77777777" w:rsidR="00CC0D78" w:rsidRPr="00026C21" w:rsidRDefault="00CC0D78" w:rsidP="001A535C">
            <w:pPr>
              <w:pStyle w:val="Nosaukumi"/>
            </w:pPr>
            <w:r w:rsidRPr="00026C21">
              <w:t>Obligāti izmantojamie informācijas avoti</w:t>
            </w:r>
          </w:p>
        </w:tc>
      </w:tr>
      <w:tr w:rsidR="00CC0D78" w:rsidRPr="00026C21" w14:paraId="2A7EA753" w14:textId="77777777" w:rsidTr="001A535C">
        <w:trPr>
          <w:jc w:val="center"/>
        </w:trPr>
        <w:tc>
          <w:tcPr>
            <w:tcW w:w="9582" w:type="dxa"/>
            <w:gridSpan w:val="2"/>
          </w:tcPr>
          <w:p w14:paraId="729665F2" w14:textId="77777777" w:rsidR="00CC0D78" w:rsidRDefault="00CC0D78" w:rsidP="001A535C">
            <w:pPr>
              <w:spacing w:before="120"/>
              <w:rPr>
                <w:rFonts w:eastAsia="Times New Roman"/>
                <w:highlight w:val="darkCyan"/>
                <w:lang w:eastAsia="en-GB"/>
              </w:rPr>
            </w:pPr>
          </w:p>
          <w:p w14:paraId="0ED1E72F" w14:textId="77777777" w:rsidR="00CC0D78" w:rsidRPr="002B6BDB" w:rsidRDefault="00CC0D78" w:rsidP="001A535C">
            <w:pPr>
              <w:spacing w:before="120"/>
              <w:rPr>
                <w:rFonts w:eastAsia="Times New Roman"/>
                <w:strike/>
                <w:highlight w:val="yellow"/>
                <w:lang w:eastAsia="en-GB"/>
              </w:rPr>
            </w:pPr>
            <w:r w:rsidRPr="002B6BDB">
              <w:rPr>
                <w:rFonts w:eastAsia="Times New Roman"/>
                <w:strike/>
                <w:highlight w:val="yellow"/>
                <w:lang w:eastAsia="en-GB"/>
              </w:rPr>
              <w:t xml:space="preserve">1. </w:t>
            </w:r>
            <w:proofErr w:type="spellStart"/>
            <w:r w:rsidRPr="002B6BDB">
              <w:rPr>
                <w:rFonts w:eastAsia="Times New Roman"/>
                <w:strike/>
                <w:highlight w:val="yellow"/>
                <w:lang w:eastAsia="en-GB"/>
              </w:rPr>
              <w:t>Boļakova</w:t>
            </w:r>
            <w:proofErr w:type="spellEnd"/>
            <w:r w:rsidRPr="002B6BDB">
              <w:rPr>
                <w:rFonts w:eastAsia="Times New Roman"/>
                <w:strike/>
                <w:highlight w:val="yellow"/>
                <w:lang w:eastAsia="en-GB"/>
              </w:rPr>
              <w:t xml:space="preserve"> I., </w:t>
            </w:r>
            <w:proofErr w:type="spellStart"/>
            <w:r w:rsidRPr="002B6BDB">
              <w:rPr>
                <w:rFonts w:eastAsia="Times New Roman"/>
                <w:strike/>
                <w:highlight w:val="yellow"/>
                <w:lang w:eastAsia="en-GB"/>
              </w:rPr>
              <w:t>Bogdanova</w:t>
            </w:r>
            <w:proofErr w:type="spellEnd"/>
            <w:r w:rsidRPr="002B6BDB">
              <w:rPr>
                <w:rFonts w:eastAsia="Times New Roman"/>
                <w:strike/>
                <w:highlight w:val="yellow"/>
                <w:lang w:eastAsia="en-GB"/>
              </w:rPr>
              <w:t xml:space="preserve"> N., </w:t>
            </w:r>
            <w:proofErr w:type="spellStart"/>
            <w:r w:rsidRPr="002B6BDB">
              <w:rPr>
                <w:rFonts w:eastAsia="Times New Roman"/>
                <w:strike/>
                <w:highlight w:val="yellow"/>
                <w:lang w:eastAsia="en-GB"/>
              </w:rPr>
              <w:t>Drozdovs</w:t>
            </w:r>
            <w:proofErr w:type="spellEnd"/>
            <w:r w:rsidRPr="002B6BDB">
              <w:rPr>
                <w:rFonts w:eastAsia="Times New Roman"/>
                <w:strike/>
                <w:highlight w:val="yellow"/>
                <w:lang w:eastAsia="en-GB"/>
              </w:rPr>
              <w:t xml:space="preserve"> P., Ignatjeva S., </w:t>
            </w:r>
            <w:proofErr w:type="spellStart"/>
            <w:r w:rsidRPr="002B6BDB">
              <w:rPr>
                <w:rFonts w:eastAsia="Times New Roman"/>
                <w:strike/>
                <w:highlight w:val="yellow"/>
                <w:lang w:eastAsia="en-GB"/>
              </w:rPr>
              <w:t>Jankoviče</w:t>
            </w:r>
            <w:proofErr w:type="spellEnd"/>
            <w:r w:rsidRPr="002B6BDB">
              <w:rPr>
                <w:rFonts w:eastAsia="Times New Roman"/>
                <w:strike/>
                <w:highlight w:val="yellow"/>
                <w:lang w:eastAsia="en-GB"/>
              </w:rPr>
              <w:t xml:space="preserve"> V., Perevalova O., Senkeviča I. (2008). Metodiskie materiāli studiju programmas “Informācijas tehnoloģijas” studentiem. Profesionālās kvalifikācijas prakses īstenošanai. DU. Informātikas katedra, 80 lpp.</w:t>
            </w:r>
          </w:p>
          <w:p w14:paraId="259EA9B4" w14:textId="77777777" w:rsidR="00CC0D78" w:rsidRPr="00192747" w:rsidRDefault="00CC0D78" w:rsidP="001A535C">
            <w:pPr>
              <w:spacing w:before="120"/>
              <w:rPr>
                <w:rFonts w:eastAsia="Times New Roman"/>
                <w:strike/>
                <w:lang w:eastAsia="en-GB"/>
              </w:rPr>
            </w:pPr>
            <w:r w:rsidRPr="002B6BDB">
              <w:rPr>
                <w:rFonts w:eastAsia="Times New Roman"/>
                <w:strike/>
                <w:highlight w:val="yellow"/>
                <w:lang w:eastAsia="en-GB"/>
              </w:rPr>
              <w:t xml:space="preserve">2. </w:t>
            </w:r>
            <w:proofErr w:type="spellStart"/>
            <w:r w:rsidRPr="002B6BDB">
              <w:rPr>
                <w:rFonts w:eastAsia="Times New Roman"/>
                <w:strike/>
                <w:highlight w:val="yellow"/>
                <w:lang w:eastAsia="en-GB"/>
              </w:rPr>
              <w:t>Boļakova</w:t>
            </w:r>
            <w:proofErr w:type="spellEnd"/>
            <w:r w:rsidRPr="002B6BDB">
              <w:rPr>
                <w:rFonts w:eastAsia="Times New Roman"/>
                <w:strike/>
                <w:highlight w:val="yellow"/>
                <w:lang w:eastAsia="en-GB"/>
              </w:rPr>
              <w:t xml:space="preserve"> I., Ignatjeva S., </w:t>
            </w:r>
            <w:proofErr w:type="spellStart"/>
            <w:r w:rsidRPr="002B6BDB">
              <w:rPr>
                <w:rFonts w:eastAsia="Times New Roman"/>
                <w:strike/>
                <w:highlight w:val="yellow"/>
                <w:lang w:eastAsia="en-GB"/>
              </w:rPr>
              <w:t>Drozdovs</w:t>
            </w:r>
            <w:proofErr w:type="spellEnd"/>
            <w:r w:rsidRPr="002B6BDB">
              <w:rPr>
                <w:rFonts w:eastAsia="Times New Roman"/>
                <w:strike/>
                <w:highlight w:val="yellow"/>
                <w:lang w:eastAsia="en-GB"/>
              </w:rPr>
              <w:t xml:space="preserve"> P., </w:t>
            </w:r>
            <w:proofErr w:type="spellStart"/>
            <w:r w:rsidRPr="002B6BDB">
              <w:rPr>
                <w:rFonts w:eastAsia="Times New Roman"/>
                <w:strike/>
                <w:highlight w:val="yellow"/>
                <w:lang w:eastAsia="en-GB"/>
              </w:rPr>
              <w:t>Bogdanova</w:t>
            </w:r>
            <w:proofErr w:type="spellEnd"/>
            <w:r w:rsidRPr="002B6BDB">
              <w:rPr>
                <w:rFonts w:eastAsia="Times New Roman"/>
                <w:strike/>
                <w:highlight w:val="yellow"/>
                <w:lang w:eastAsia="en-GB"/>
              </w:rPr>
              <w:t xml:space="preserve"> N., Senkeviča I., </w:t>
            </w:r>
            <w:proofErr w:type="spellStart"/>
            <w:r w:rsidRPr="002B6BDB">
              <w:rPr>
                <w:rFonts w:eastAsia="Times New Roman"/>
                <w:strike/>
                <w:highlight w:val="yellow"/>
                <w:lang w:eastAsia="en-GB"/>
              </w:rPr>
              <w:t>Jankoviče</w:t>
            </w:r>
            <w:proofErr w:type="spellEnd"/>
            <w:r w:rsidRPr="002B6BDB">
              <w:rPr>
                <w:rFonts w:eastAsia="Times New Roman"/>
                <w:strike/>
                <w:highlight w:val="yellow"/>
                <w:lang w:eastAsia="en-GB"/>
              </w:rPr>
              <w:t xml:space="preserve"> V., Perevalova O. (2007). Metodiskie materiāli profesionālās kvalifikācijas prakses vadītājiem. DU. Informātikas katedra, 60 lpp.</w:t>
            </w:r>
            <w:r w:rsidRPr="002B6BDB">
              <w:rPr>
                <w:rFonts w:eastAsia="Times New Roman"/>
                <w:strike/>
                <w:lang w:eastAsia="en-GB"/>
              </w:rPr>
              <w:t xml:space="preserve"> </w:t>
            </w:r>
            <w:r w:rsidRPr="002B6BDB">
              <w:rPr>
                <w:rFonts w:eastAsia="Times New Roman"/>
                <w:highlight w:val="green"/>
                <w:lang w:eastAsia="en-GB"/>
              </w:rPr>
              <w:br/>
            </w:r>
            <w:r w:rsidRPr="0058036F">
              <w:rPr>
                <w:rFonts w:eastAsia="Times New Roman"/>
                <w:highlight w:val="green"/>
                <w:lang w:eastAsia="en-GB"/>
              </w:rPr>
              <w:t xml:space="preserve">1. James </w:t>
            </w:r>
            <w:proofErr w:type="spellStart"/>
            <w:r w:rsidRPr="0058036F">
              <w:rPr>
                <w:rFonts w:eastAsia="Times New Roman"/>
                <w:highlight w:val="green"/>
                <w:lang w:eastAsia="en-GB"/>
              </w:rPr>
              <w:t>Kurose</w:t>
            </w:r>
            <w:proofErr w:type="spellEnd"/>
            <w:r w:rsidRPr="0058036F">
              <w:rPr>
                <w:rFonts w:eastAsia="Times New Roman"/>
                <w:highlight w:val="green"/>
                <w:lang w:eastAsia="en-GB"/>
              </w:rPr>
              <w:t xml:space="preserve">, </w:t>
            </w:r>
            <w:proofErr w:type="spellStart"/>
            <w:r w:rsidRPr="0058036F">
              <w:rPr>
                <w:rFonts w:eastAsia="Times New Roman"/>
                <w:highlight w:val="green"/>
                <w:lang w:eastAsia="en-GB"/>
              </w:rPr>
              <w:t>Keith</w:t>
            </w:r>
            <w:proofErr w:type="spellEnd"/>
            <w:r w:rsidRPr="0058036F">
              <w:rPr>
                <w:rFonts w:eastAsia="Times New Roman"/>
                <w:highlight w:val="green"/>
                <w:lang w:eastAsia="en-GB"/>
              </w:rPr>
              <w:t xml:space="preserve"> Ross. Computer </w:t>
            </w:r>
            <w:proofErr w:type="spellStart"/>
            <w:r w:rsidRPr="0058036F">
              <w:rPr>
                <w:rFonts w:eastAsia="Times New Roman"/>
                <w:highlight w:val="green"/>
                <w:lang w:eastAsia="en-GB"/>
              </w:rPr>
              <w:t>Networking</w:t>
            </w:r>
            <w:proofErr w:type="spellEnd"/>
            <w:r w:rsidRPr="0058036F">
              <w:rPr>
                <w:rFonts w:eastAsia="Times New Roman"/>
                <w:highlight w:val="green"/>
                <w:lang w:eastAsia="en-GB"/>
              </w:rPr>
              <w:t>, 2021.</w:t>
            </w:r>
          </w:p>
          <w:p w14:paraId="52E117A3" w14:textId="77777777" w:rsidR="00CC0D78" w:rsidRPr="0058036F" w:rsidRDefault="00CC0D78" w:rsidP="001A535C">
            <w:pPr>
              <w:rPr>
                <w:rFonts w:eastAsia="Times New Roman"/>
                <w:highlight w:val="green"/>
                <w:lang w:eastAsia="lv-LV"/>
              </w:rPr>
            </w:pPr>
            <w:r>
              <w:rPr>
                <w:rFonts w:eastAsia="Times New Roman"/>
                <w:highlight w:val="green"/>
                <w:lang w:eastAsia="lv-LV"/>
              </w:rPr>
              <w:t>2</w:t>
            </w:r>
            <w:r w:rsidRPr="0058036F">
              <w:rPr>
                <w:rFonts w:eastAsia="Times New Roman"/>
                <w:highlight w:val="green"/>
                <w:lang w:eastAsia="lv-LV"/>
              </w:rPr>
              <w:t>. Ministru kabineta noteikumi Nr.442</w:t>
            </w:r>
          </w:p>
          <w:p w14:paraId="2054995D" w14:textId="77777777" w:rsidR="00CC0D78" w:rsidRPr="0058036F" w:rsidRDefault="00CC0D78" w:rsidP="001A535C">
            <w:pPr>
              <w:rPr>
                <w:rFonts w:eastAsia="Times New Roman"/>
                <w:highlight w:val="green"/>
                <w:lang w:eastAsia="lv-LV"/>
              </w:rPr>
            </w:pPr>
            <w:r w:rsidRPr="0058036F">
              <w:rPr>
                <w:rFonts w:eastAsia="Times New Roman"/>
                <w:highlight w:val="green"/>
                <w:lang w:eastAsia="lv-LV"/>
              </w:rPr>
              <w:t>"Kārtība, kādā tiek nodrošināta informācijas un komunikācijas tehnoloģiju sistēmu atbilstība minimālajām drošības prasībām".</w:t>
            </w:r>
          </w:p>
          <w:p w14:paraId="688C53C2" w14:textId="77777777" w:rsidR="00CC0D78" w:rsidRPr="0058036F" w:rsidRDefault="00CC0D78" w:rsidP="001A535C">
            <w:pPr>
              <w:rPr>
                <w:rFonts w:eastAsia="Times New Roman"/>
                <w:highlight w:val="green"/>
                <w:lang w:eastAsia="lv-LV"/>
              </w:rPr>
            </w:pPr>
            <w:r>
              <w:rPr>
                <w:rFonts w:eastAsia="Times New Roman"/>
                <w:highlight w:val="green"/>
                <w:lang w:eastAsia="lv-LV"/>
              </w:rPr>
              <w:t>3</w:t>
            </w:r>
            <w:r w:rsidRPr="0058036F">
              <w:rPr>
                <w:rFonts w:eastAsia="Times New Roman"/>
                <w:highlight w:val="green"/>
                <w:lang w:eastAsia="lv-LV"/>
              </w:rPr>
              <w:t>. Informācijas tehnoloģiju un drošības risku pārvaldības normatīvie noteikumi</w:t>
            </w:r>
          </w:p>
          <w:p w14:paraId="6A76248C" w14:textId="77777777" w:rsidR="00CC0D78" w:rsidRPr="0058036F" w:rsidRDefault="00CC0D78" w:rsidP="001A535C">
            <w:pPr>
              <w:rPr>
                <w:rFonts w:eastAsia="Times New Roman"/>
                <w:highlight w:val="green"/>
                <w:lang w:eastAsia="lv-LV"/>
              </w:rPr>
            </w:pPr>
            <w:r>
              <w:rPr>
                <w:rFonts w:eastAsia="Times New Roman"/>
                <w:highlight w:val="green"/>
                <w:lang w:eastAsia="lv-LV"/>
              </w:rPr>
              <w:t>4</w:t>
            </w:r>
            <w:r w:rsidRPr="0058036F">
              <w:rPr>
                <w:rFonts w:eastAsia="Times New Roman"/>
                <w:highlight w:val="green"/>
                <w:lang w:eastAsia="lv-LV"/>
              </w:rPr>
              <w:t xml:space="preserve">. Esidross.lv - vietne, kurā apkopota noderīga informācija tiem, kam rūp sava un sava datora, telefona vai citu </w:t>
            </w:r>
            <w:proofErr w:type="spellStart"/>
            <w:r w:rsidRPr="0058036F">
              <w:rPr>
                <w:rFonts w:eastAsia="Times New Roman"/>
                <w:highlight w:val="green"/>
                <w:lang w:eastAsia="lv-LV"/>
              </w:rPr>
              <w:t>viedierīču</w:t>
            </w:r>
            <w:proofErr w:type="spellEnd"/>
            <w:r w:rsidRPr="0058036F">
              <w:rPr>
                <w:rFonts w:eastAsia="Times New Roman"/>
                <w:highlight w:val="green"/>
                <w:lang w:eastAsia="lv-LV"/>
              </w:rPr>
              <w:t xml:space="preserve"> drošība internetā sadaļa “</w:t>
            </w:r>
            <w:proofErr w:type="spellStart"/>
            <w:r w:rsidRPr="0058036F">
              <w:rPr>
                <w:rFonts w:eastAsia="Times New Roman"/>
                <w:highlight w:val="green"/>
                <w:lang w:eastAsia="lv-LV"/>
              </w:rPr>
              <w:t>Kiberdrošība</w:t>
            </w:r>
            <w:proofErr w:type="spellEnd"/>
            <w:r w:rsidRPr="0058036F">
              <w:rPr>
                <w:rFonts w:eastAsia="Times New Roman"/>
                <w:highlight w:val="green"/>
                <w:lang w:eastAsia="lv-LV"/>
              </w:rPr>
              <w:t xml:space="preserve"> darbavietā” </w:t>
            </w:r>
            <w:r w:rsidRPr="00192747">
              <w:rPr>
                <w:rFonts w:eastAsia="Times New Roman"/>
                <w:highlight w:val="green"/>
                <w:lang w:eastAsia="lv-LV"/>
              </w:rPr>
              <w:t>https://www.esidross.lv/kategorijas/parolize/</w:t>
            </w:r>
            <w:r w:rsidRPr="0058036F">
              <w:rPr>
                <w:rFonts w:eastAsia="Times New Roman"/>
                <w:highlight w:val="green"/>
                <w:lang w:eastAsia="lv-LV"/>
              </w:rPr>
              <w:t xml:space="preserve"> </w:t>
            </w:r>
          </w:p>
          <w:p w14:paraId="06CDAB23" w14:textId="4E5D04CF" w:rsidR="00CC0D78" w:rsidRPr="006E152D" w:rsidRDefault="00CC0D78" w:rsidP="001A535C">
            <w:pPr>
              <w:rPr>
                <w:rFonts w:eastAsia="Times New Roman"/>
                <w:highlight w:val="green"/>
                <w:lang w:eastAsia="en-GB"/>
              </w:rPr>
            </w:pPr>
            <w:r>
              <w:rPr>
                <w:rFonts w:eastAsia="Times New Roman"/>
                <w:highlight w:val="green"/>
                <w:lang w:eastAsia="lv-LV"/>
              </w:rPr>
              <w:t>5</w:t>
            </w:r>
            <w:r w:rsidRPr="0058036F">
              <w:rPr>
                <w:rFonts w:eastAsia="Times New Roman"/>
                <w:highlight w:val="green"/>
                <w:lang w:eastAsia="lv-LV"/>
              </w:rPr>
              <w:t>. CERT.LV (Informācijas tehnoloģiju drošības incidentu novēršanas institūcija) struktūrvienība, kas darbojas Latvijas Republikas Aizsardzības ministrijas pakļautībā IT drošības likuma ietvaros.:</w:t>
            </w:r>
            <w:r w:rsidRPr="0058036F">
              <w:rPr>
                <w:rFonts w:eastAsia="Times New Roman"/>
                <w:highlight w:val="green"/>
                <w:lang w:eastAsia="en-GB"/>
              </w:rPr>
              <w:br/>
            </w:r>
            <w:r>
              <w:rPr>
                <w:rFonts w:eastAsia="Times New Roman"/>
                <w:highlight w:val="green"/>
                <w:lang w:eastAsia="en-GB"/>
              </w:rPr>
              <w:t>6</w:t>
            </w:r>
            <w:r w:rsidRPr="0058036F">
              <w:rPr>
                <w:rFonts w:eastAsia="Times New Roman"/>
                <w:highlight w:val="green"/>
                <w:lang w:eastAsia="en-GB"/>
              </w:rPr>
              <w:t xml:space="preserve">. Pirmā līmeņa profesionālās studiju programmas “Informācijas tehnoloģijas” (41481) Profesionālās </w:t>
            </w:r>
            <w:r w:rsidRPr="006E152D">
              <w:rPr>
                <w:rFonts w:eastAsia="Times New Roman"/>
                <w:highlight w:val="green"/>
                <w:lang w:eastAsia="en-GB"/>
              </w:rPr>
              <w:t>kvalifikācijas prakses nolikums.</w:t>
            </w:r>
          </w:p>
          <w:p w14:paraId="51D66EA5" w14:textId="77777777" w:rsidR="00124232" w:rsidRDefault="00124232" w:rsidP="00124232">
            <w:pPr>
              <w:rPr>
                <w:rFonts w:eastAsia="Times New Roman"/>
                <w:lang w:eastAsia="en-GB"/>
              </w:rPr>
            </w:pPr>
            <w:r w:rsidRPr="006E152D">
              <w:rPr>
                <w:rFonts w:eastAsia="Times New Roman"/>
                <w:highlight w:val="green"/>
                <w:lang w:eastAsia="en-GB"/>
              </w:rPr>
              <w:t xml:space="preserve">7. 1. </w:t>
            </w:r>
            <w:proofErr w:type="spellStart"/>
            <w:r w:rsidRPr="006E152D">
              <w:rPr>
                <w:rFonts w:eastAsia="Times New Roman"/>
                <w:highlight w:val="green"/>
                <w:lang w:eastAsia="en-GB"/>
              </w:rPr>
              <w:t>Boļakova</w:t>
            </w:r>
            <w:proofErr w:type="spellEnd"/>
            <w:r w:rsidRPr="006E152D">
              <w:rPr>
                <w:rFonts w:eastAsia="Times New Roman"/>
                <w:highlight w:val="green"/>
                <w:lang w:eastAsia="en-GB"/>
              </w:rPr>
              <w:t xml:space="preserve"> I., </w:t>
            </w:r>
            <w:proofErr w:type="spellStart"/>
            <w:r w:rsidRPr="006E152D">
              <w:rPr>
                <w:rFonts w:eastAsia="Times New Roman"/>
                <w:highlight w:val="green"/>
                <w:lang w:eastAsia="en-GB"/>
              </w:rPr>
              <w:t>Bogdanova</w:t>
            </w:r>
            <w:proofErr w:type="spellEnd"/>
            <w:r w:rsidRPr="006E152D">
              <w:rPr>
                <w:rFonts w:eastAsia="Times New Roman"/>
                <w:highlight w:val="green"/>
                <w:lang w:eastAsia="en-GB"/>
              </w:rPr>
              <w:t xml:space="preserve"> N., Ignatjeva S., Perevalova O. Metodiskie materiāli studiju programmas “Informācijas tehnoloģijas” studentiem. Profesionālās kvalifikācijas prakses īstenošanai. DU. - DU iekšējā tīklā (</w:t>
            </w:r>
            <w:r w:rsidRPr="006E152D">
              <w:rPr>
                <w:rFonts w:eastAsia="Times New Roman"/>
                <w:i/>
                <w:iCs w:val="0"/>
                <w:highlight w:val="green"/>
                <w:lang w:eastAsia="en-GB"/>
              </w:rPr>
              <w:t>\\</w:t>
            </w:r>
            <w:proofErr w:type="spellStart"/>
            <w:r w:rsidRPr="006E152D">
              <w:rPr>
                <w:rFonts w:eastAsia="Times New Roman"/>
                <w:i/>
                <w:iCs w:val="0"/>
                <w:highlight w:val="green"/>
                <w:lang w:eastAsia="en-GB"/>
              </w:rPr>
              <w:t>orion</w:t>
            </w:r>
            <w:proofErr w:type="spellEnd"/>
            <w:r w:rsidRPr="006E152D">
              <w:rPr>
                <w:rFonts w:eastAsia="Times New Roman"/>
                <w:i/>
                <w:iCs w:val="0"/>
                <w:highlight w:val="green"/>
                <w:lang w:eastAsia="en-GB"/>
              </w:rPr>
              <w:t>\</w:t>
            </w:r>
            <w:proofErr w:type="spellStart"/>
            <w:r w:rsidRPr="006E152D">
              <w:rPr>
                <w:rFonts w:eastAsia="Times New Roman"/>
                <w:i/>
                <w:iCs w:val="0"/>
                <w:highlight w:val="green"/>
                <w:lang w:eastAsia="en-GB"/>
              </w:rPr>
              <w:t>showcase</w:t>
            </w:r>
            <w:proofErr w:type="spellEnd"/>
            <w:r w:rsidRPr="006E152D">
              <w:rPr>
                <w:rFonts w:eastAsia="Times New Roman"/>
                <w:i/>
                <w:iCs w:val="0"/>
                <w:highlight w:val="green"/>
                <w:lang w:eastAsia="en-GB"/>
              </w:rPr>
              <w:t xml:space="preserve">\Olga </w:t>
            </w:r>
            <w:proofErr w:type="spellStart"/>
            <w:r w:rsidRPr="006E152D">
              <w:rPr>
                <w:rFonts w:eastAsia="Times New Roman"/>
                <w:i/>
                <w:iCs w:val="0"/>
                <w:highlight w:val="green"/>
                <w:lang w:eastAsia="en-GB"/>
              </w:rPr>
              <w:t>Perevalova</w:t>
            </w:r>
            <w:proofErr w:type="spellEnd"/>
            <w:r w:rsidRPr="006E152D">
              <w:rPr>
                <w:rFonts w:eastAsia="Times New Roman"/>
                <w:i/>
                <w:iCs w:val="0"/>
                <w:highlight w:val="green"/>
                <w:lang w:eastAsia="en-GB"/>
              </w:rPr>
              <w:t>\Praksei</w:t>
            </w:r>
            <w:r w:rsidRPr="006E152D">
              <w:rPr>
                <w:rFonts w:eastAsia="Times New Roman"/>
                <w:highlight w:val="green"/>
                <w:lang w:eastAsia="en-GB"/>
              </w:rPr>
              <w:t>)</w:t>
            </w:r>
            <w:r w:rsidRPr="00D052BC">
              <w:rPr>
                <w:rFonts w:eastAsia="Times New Roman"/>
                <w:lang w:eastAsia="en-GB"/>
              </w:rPr>
              <w:t xml:space="preserve"> </w:t>
            </w:r>
          </w:p>
          <w:p w14:paraId="5164FE5A" w14:textId="2A5F8D14" w:rsidR="00124232" w:rsidRPr="002B6BDB" w:rsidRDefault="00124232" w:rsidP="001A535C">
            <w:pPr>
              <w:rPr>
                <w:rFonts w:eastAsia="Times New Roman"/>
                <w:lang w:eastAsia="lv-LV"/>
              </w:rPr>
            </w:pPr>
          </w:p>
        </w:tc>
      </w:tr>
      <w:tr w:rsidR="00CC0D78" w:rsidRPr="00026C21" w14:paraId="2BA129B3" w14:textId="77777777" w:rsidTr="001A535C">
        <w:trPr>
          <w:jc w:val="center"/>
        </w:trPr>
        <w:tc>
          <w:tcPr>
            <w:tcW w:w="9582" w:type="dxa"/>
            <w:gridSpan w:val="2"/>
          </w:tcPr>
          <w:p w14:paraId="57E5F2D1" w14:textId="77777777" w:rsidR="00CC0D78" w:rsidRPr="00026C21" w:rsidRDefault="00CC0D78" w:rsidP="001A535C">
            <w:pPr>
              <w:pStyle w:val="Nosaukumi"/>
              <w:spacing w:before="120"/>
            </w:pPr>
            <w:r w:rsidRPr="00026C21">
              <w:t>Papildus informācijas avoti</w:t>
            </w:r>
          </w:p>
        </w:tc>
      </w:tr>
      <w:tr w:rsidR="00CC0D78" w:rsidRPr="00026C21" w14:paraId="66619AE9" w14:textId="77777777" w:rsidTr="001A535C">
        <w:trPr>
          <w:jc w:val="center"/>
        </w:trPr>
        <w:tc>
          <w:tcPr>
            <w:tcW w:w="9582" w:type="dxa"/>
            <w:gridSpan w:val="2"/>
          </w:tcPr>
          <w:p w14:paraId="60C96F79" w14:textId="77777777" w:rsidR="00CC0D78" w:rsidRDefault="00CC0D78" w:rsidP="001A535C">
            <w:pPr>
              <w:spacing w:before="120"/>
              <w:rPr>
                <w:rFonts w:eastAsia="Times New Roman"/>
                <w:lang w:eastAsia="en-GB"/>
              </w:rPr>
            </w:pPr>
            <w:r w:rsidRPr="0007387F">
              <w:rPr>
                <w:rFonts w:eastAsia="Times New Roman"/>
                <w:lang w:eastAsia="en-GB"/>
              </w:rPr>
              <w:t>1.</w:t>
            </w:r>
            <w:r>
              <w:rPr>
                <w:rFonts w:eastAsia="Times New Roman"/>
                <w:lang w:eastAsia="en-GB"/>
              </w:rPr>
              <w:t xml:space="preserve"> </w:t>
            </w:r>
            <w:r w:rsidRPr="00A33AC2">
              <w:rPr>
                <w:rFonts w:eastAsia="Times New Roman"/>
                <w:strike/>
                <w:highlight w:val="yellow"/>
                <w:lang w:eastAsia="en-GB"/>
              </w:rPr>
              <w:t>Noteikumi par pirmā līmeņa profesionālās augstākās izglītības valsts standartu (LR Ministru Kabineta noteikumi Nr. 141, 20.03.2001.).</w:t>
            </w:r>
            <w:r w:rsidRPr="0007387F">
              <w:rPr>
                <w:rFonts w:eastAsia="Times New Roman"/>
                <w:lang w:eastAsia="en-GB"/>
              </w:rPr>
              <w:t xml:space="preserve"> </w:t>
            </w:r>
            <w:r w:rsidRPr="00A33AC2">
              <w:rPr>
                <w:rFonts w:eastAsia="Times New Roman"/>
                <w:highlight w:val="green"/>
                <w:lang w:eastAsia="en-GB"/>
              </w:rPr>
              <w:t>„Noteikumi par valsts profesionālās augstākās izglītības standartu” (LR Ministr</w:t>
            </w:r>
            <w:r>
              <w:rPr>
                <w:rFonts w:eastAsia="Times New Roman"/>
                <w:highlight w:val="green"/>
                <w:lang w:eastAsia="en-GB"/>
              </w:rPr>
              <w:t>u Kabineta noteikumi Nr. 305, 13</w:t>
            </w:r>
            <w:r w:rsidRPr="00A33AC2">
              <w:rPr>
                <w:rFonts w:eastAsia="Times New Roman"/>
                <w:highlight w:val="green"/>
                <w:lang w:eastAsia="en-GB"/>
              </w:rPr>
              <w:t>.06.2023.).</w:t>
            </w:r>
            <w:r w:rsidRPr="0007387F">
              <w:rPr>
                <w:rFonts w:eastAsia="Times New Roman"/>
                <w:lang w:eastAsia="en-GB"/>
              </w:rPr>
              <w:br/>
            </w:r>
            <w:r w:rsidRPr="004A19D1">
              <w:rPr>
                <w:rFonts w:eastAsia="Times New Roman"/>
                <w:strike/>
                <w:highlight w:val="yellow"/>
                <w:lang w:eastAsia="en-GB"/>
              </w:rPr>
              <w:t xml:space="preserve">2. </w:t>
            </w:r>
            <w:proofErr w:type="spellStart"/>
            <w:r w:rsidRPr="004A19D1">
              <w:rPr>
                <w:rFonts w:eastAsia="Times New Roman"/>
                <w:strike/>
                <w:highlight w:val="yellow"/>
                <w:lang w:eastAsia="en-GB"/>
              </w:rPr>
              <w:t>D.Smite</w:t>
            </w:r>
            <w:proofErr w:type="spellEnd"/>
            <w:r w:rsidRPr="004A19D1">
              <w:rPr>
                <w:rFonts w:eastAsia="Times New Roman"/>
                <w:strike/>
                <w:highlight w:val="yellow"/>
                <w:lang w:eastAsia="en-GB"/>
              </w:rPr>
              <w:t xml:space="preserve">, </w:t>
            </w:r>
            <w:proofErr w:type="spellStart"/>
            <w:r w:rsidRPr="004A19D1">
              <w:rPr>
                <w:rFonts w:eastAsia="Times New Roman"/>
                <w:strike/>
                <w:highlight w:val="yellow"/>
                <w:lang w:eastAsia="en-GB"/>
              </w:rPr>
              <w:t>D.Dosbergs</w:t>
            </w:r>
            <w:proofErr w:type="spellEnd"/>
            <w:r w:rsidRPr="004A19D1">
              <w:rPr>
                <w:rFonts w:eastAsia="Times New Roman"/>
                <w:strike/>
                <w:highlight w:val="yellow"/>
                <w:lang w:eastAsia="en-GB"/>
              </w:rPr>
              <w:t xml:space="preserve">, </w:t>
            </w:r>
            <w:proofErr w:type="spellStart"/>
            <w:r w:rsidRPr="004A19D1">
              <w:rPr>
                <w:rFonts w:eastAsia="Times New Roman"/>
                <w:strike/>
                <w:highlight w:val="yellow"/>
                <w:lang w:eastAsia="en-GB"/>
              </w:rPr>
              <w:t>J.Borzovs</w:t>
            </w:r>
            <w:proofErr w:type="spellEnd"/>
            <w:r w:rsidRPr="004A19D1">
              <w:rPr>
                <w:rFonts w:eastAsia="Times New Roman"/>
                <w:strike/>
                <w:highlight w:val="yellow"/>
                <w:lang w:eastAsia="en-GB"/>
              </w:rPr>
              <w:t xml:space="preserve">. Informācijas un komunikācijas tehnoloģijas nozares tiesību un standartu pamati, 2005, Rīga: LU Akadēmiskais apgāds, 208 lpp. </w:t>
            </w:r>
            <w:r w:rsidRPr="004A19D1">
              <w:rPr>
                <w:rFonts w:eastAsia="Times New Roman"/>
                <w:strike/>
                <w:highlight w:val="yellow"/>
                <w:lang w:eastAsia="en-GB"/>
              </w:rPr>
              <w:br/>
              <w:t>3. Juris Zommers. – Datorizēta projekta vadīšana. Rīga: Turība, 2000. 116 lpp.</w:t>
            </w:r>
            <w:r w:rsidRPr="0007387F">
              <w:rPr>
                <w:rFonts w:eastAsia="Times New Roman"/>
                <w:lang w:eastAsia="en-GB"/>
              </w:rPr>
              <w:t xml:space="preserve"> </w:t>
            </w:r>
          </w:p>
          <w:p w14:paraId="2AC65EAF" w14:textId="77777777" w:rsidR="00CC0D78" w:rsidRDefault="00CC0D78" w:rsidP="001A535C">
            <w:pPr>
              <w:spacing w:before="120"/>
              <w:rPr>
                <w:highlight w:val="green"/>
              </w:rPr>
            </w:pPr>
            <w:r>
              <w:rPr>
                <w:highlight w:val="green"/>
              </w:rPr>
              <w:t>2</w:t>
            </w:r>
            <w:r w:rsidRPr="004A19D1">
              <w:rPr>
                <w:highlight w:val="green"/>
              </w:rPr>
              <w:t xml:space="preserve">. P. </w:t>
            </w:r>
            <w:proofErr w:type="spellStart"/>
            <w:r w:rsidRPr="004A19D1">
              <w:rPr>
                <w:highlight w:val="green"/>
              </w:rPr>
              <w:t>Johannesson</w:t>
            </w:r>
            <w:proofErr w:type="spellEnd"/>
            <w:r w:rsidRPr="004A19D1">
              <w:rPr>
                <w:highlight w:val="green"/>
              </w:rPr>
              <w:t xml:space="preserve">, E. </w:t>
            </w:r>
            <w:proofErr w:type="spellStart"/>
            <w:r w:rsidRPr="004A19D1">
              <w:rPr>
                <w:highlight w:val="green"/>
              </w:rPr>
              <w:t>Perjons</w:t>
            </w:r>
            <w:proofErr w:type="spellEnd"/>
            <w:r w:rsidRPr="004A19D1">
              <w:rPr>
                <w:highlight w:val="green"/>
              </w:rPr>
              <w:t xml:space="preserve">. An </w:t>
            </w:r>
            <w:proofErr w:type="spellStart"/>
            <w:r w:rsidRPr="004A19D1">
              <w:rPr>
                <w:highlight w:val="green"/>
              </w:rPr>
              <w:t>Introduction</w:t>
            </w:r>
            <w:proofErr w:type="spellEnd"/>
            <w:r w:rsidRPr="004A19D1">
              <w:rPr>
                <w:highlight w:val="green"/>
              </w:rPr>
              <w:t xml:space="preserve"> to </w:t>
            </w:r>
            <w:proofErr w:type="spellStart"/>
            <w:r w:rsidRPr="004A19D1">
              <w:rPr>
                <w:highlight w:val="green"/>
              </w:rPr>
              <w:t>Design</w:t>
            </w:r>
            <w:proofErr w:type="spellEnd"/>
            <w:r w:rsidRPr="004A19D1">
              <w:rPr>
                <w:highlight w:val="green"/>
              </w:rPr>
              <w:t xml:space="preserve"> </w:t>
            </w:r>
            <w:proofErr w:type="spellStart"/>
            <w:r w:rsidRPr="004A19D1">
              <w:rPr>
                <w:highlight w:val="green"/>
              </w:rPr>
              <w:t>Science</w:t>
            </w:r>
            <w:proofErr w:type="spellEnd"/>
            <w:r w:rsidRPr="004A19D1">
              <w:rPr>
                <w:highlight w:val="green"/>
              </w:rPr>
              <w:t xml:space="preserve">. </w:t>
            </w:r>
            <w:proofErr w:type="spellStart"/>
            <w:r w:rsidRPr="004A19D1">
              <w:rPr>
                <w:highlight w:val="green"/>
              </w:rPr>
              <w:t>Springer</w:t>
            </w:r>
            <w:proofErr w:type="spellEnd"/>
            <w:r w:rsidRPr="004A19D1">
              <w:rPr>
                <w:highlight w:val="green"/>
              </w:rPr>
              <w:t>, 2021.</w:t>
            </w:r>
          </w:p>
          <w:p w14:paraId="172B1E5E" w14:textId="77777777" w:rsidR="00CC0D78" w:rsidRPr="00364454" w:rsidRDefault="00CC0D78" w:rsidP="001A535C">
            <w:pPr>
              <w:spacing w:before="120"/>
              <w:rPr>
                <w:highlight w:val="green"/>
              </w:rPr>
            </w:pPr>
            <w:r>
              <w:rPr>
                <w:highlight w:val="green"/>
              </w:rPr>
              <w:t>3</w:t>
            </w:r>
            <w:r w:rsidRPr="00364454">
              <w:rPr>
                <w:highlight w:val="green"/>
              </w:rPr>
              <w:t xml:space="preserve">. Operētājsistēmu tiešsaistes dokumentācijā: </w:t>
            </w:r>
          </w:p>
          <w:p w14:paraId="6C38B7DD" w14:textId="77777777" w:rsidR="00CC0D78" w:rsidRPr="00364454" w:rsidRDefault="00CC0D78" w:rsidP="001A535C">
            <w:pPr>
              <w:pStyle w:val="ListParagraph"/>
              <w:numPr>
                <w:ilvl w:val="0"/>
                <w:numId w:val="39"/>
              </w:numPr>
              <w:spacing w:before="120"/>
              <w:rPr>
                <w:color w:val="auto"/>
                <w:highlight w:val="green"/>
              </w:rPr>
            </w:pPr>
            <w:r w:rsidRPr="00364454">
              <w:rPr>
                <w:color w:val="auto"/>
                <w:highlight w:val="green"/>
              </w:rPr>
              <w:t>https://docs.microsoft.com/en-us/</w:t>
            </w:r>
          </w:p>
          <w:p w14:paraId="56F29092" w14:textId="77777777" w:rsidR="00CC0D78" w:rsidRPr="00364454" w:rsidRDefault="00CC0D78" w:rsidP="001A535C">
            <w:pPr>
              <w:pStyle w:val="ListParagraph"/>
              <w:numPr>
                <w:ilvl w:val="0"/>
                <w:numId w:val="39"/>
              </w:numPr>
              <w:spacing w:before="120"/>
              <w:rPr>
                <w:color w:val="auto"/>
                <w:highlight w:val="green"/>
              </w:rPr>
            </w:pPr>
            <w:r w:rsidRPr="00192747">
              <w:rPr>
                <w:color w:val="auto"/>
                <w:highlight w:val="green"/>
              </w:rPr>
              <w:t>https://help.ubuntu.com/</w:t>
            </w:r>
          </w:p>
          <w:p w14:paraId="32A11179" w14:textId="77777777" w:rsidR="00CC0D78" w:rsidRPr="00364454" w:rsidRDefault="00CC0D78" w:rsidP="001A535C">
            <w:pPr>
              <w:pStyle w:val="ListParagraph"/>
              <w:numPr>
                <w:ilvl w:val="0"/>
                <w:numId w:val="39"/>
              </w:numPr>
              <w:spacing w:before="120"/>
              <w:rPr>
                <w:color w:val="auto"/>
                <w:highlight w:val="green"/>
              </w:rPr>
            </w:pPr>
            <w:r w:rsidRPr="00364454">
              <w:rPr>
                <w:color w:val="auto"/>
                <w:highlight w:val="green"/>
              </w:rPr>
              <w:t>https://docs.centos.org/en-US/docs/</w:t>
            </w:r>
          </w:p>
          <w:p w14:paraId="6A2D8C6C" w14:textId="77777777" w:rsidR="00CC0D78" w:rsidRPr="006E152D" w:rsidRDefault="00CC0D78" w:rsidP="001A535C">
            <w:pPr>
              <w:pStyle w:val="ListParagraph"/>
              <w:numPr>
                <w:ilvl w:val="0"/>
                <w:numId w:val="39"/>
              </w:numPr>
              <w:spacing w:before="120"/>
              <w:rPr>
                <w:color w:val="auto"/>
              </w:rPr>
            </w:pPr>
            <w:r w:rsidRPr="00192747">
              <w:rPr>
                <w:color w:val="auto"/>
                <w:highlight w:val="green"/>
              </w:rPr>
              <w:t>https://support.apple.com/</w:t>
            </w:r>
          </w:p>
          <w:p w14:paraId="3A603105" w14:textId="0FFC37E2" w:rsidR="00124232" w:rsidRPr="006E152D" w:rsidRDefault="00124232" w:rsidP="00124232">
            <w:pPr>
              <w:rPr>
                <w:rFonts w:eastAsia="Times New Roman"/>
                <w:highlight w:val="green"/>
                <w:lang w:eastAsia="en-GB"/>
              </w:rPr>
            </w:pPr>
            <w:r w:rsidRPr="006E152D">
              <w:rPr>
                <w:rFonts w:eastAsia="Times New Roman"/>
                <w:highlight w:val="green"/>
                <w:lang w:eastAsia="en-GB"/>
              </w:rPr>
              <w:t xml:space="preserve">VISC. Profesiju standarti un profesionālās kvalifikācijas prasības. 2020. - URL: </w:t>
            </w:r>
            <w:r w:rsidRPr="006E152D">
              <w:rPr>
                <w:rFonts w:eastAsia="Times New Roman"/>
                <w:i/>
                <w:iCs w:val="0"/>
                <w:highlight w:val="green"/>
                <w:lang w:eastAsia="en-GB"/>
              </w:rPr>
              <w:t>https://www.visc.gov.lv/lv/profesiju-standarti-un-profesionalas-kvalifikacijas-prasibas</w:t>
            </w:r>
            <w:r w:rsidRPr="006E152D">
              <w:rPr>
                <w:rFonts w:eastAsia="Times New Roman"/>
                <w:highlight w:val="green"/>
                <w:lang w:eastAsia="en-GB"/>
              </w:rPr>
              <w:br/>
              <w:t xml:space="preserve">Labklājības Ministrija. Profesiju klasifikators. Aktualizēts 2023.gada 9.decembrī. - URL: </w:t>
            </w:r>
            <w:r w:rsidRPr="006E152D">
              <w:rPr>
                <w:rFonts w:eastAsia="Times New Roman"/>
                <w:i/>
                <w:iCs w:val="0"/>
                <w:highlight w:val="green"/>
                <w:lang w:eastAsia="en-GB"/>
              </w:rPr>
              <w:t>https://www.lm.gov.lv/lv/klasifikacija/profesiju-klasifikators-5/profesiju-klasifikators-aktualizets-2023gada-9decembri</w:t>
            </w:r>
          </w:p>
          <w:p w14:paraId="68282007" w14:textId="0268AF03" w:rsidR="00124232" w:rsidRPr="00192747" w:rsidRDefault="00124232" w:rsidP="00124232">
            <w:pPr>
              <w:spacing w:before="120"/>
            </w:pPr>
            <w:proofErr w:type="spellStart"/>
            <w:r w:rsidRPr="006E152D">
              <w:rPr>
                <w:rFonts w:eastAsia="Times New Roman"/>
                <w:highlight w:val="green"/>
                <w:lang w:eastAsia="en-GB"/>
              </w:rPr>
              <w:t>Nizar</w:t>
            </w:r>
            <w:proofErr w:type="spellEnd"/>
            <w:r w:rsidRPr="006E152D">
              <w:rPr>
                <w:rFonts w:eastAsia="Times New Roman"/>
                <w:highlight w:val="green"/>
                <w:lang w:eastAsia="en-GB"/>
              </w:rPr>
              <w:t xml:space="preserve"> </w:t>
            </w:r>
            <w:proofErr w:type="spellStart"/>
            <w:r w:rsidRPr="006E152D">
              <w:rPr>
                <w:rFonts w:eastAsia="Times New Roman"/>
                <w:highlight w:val="green"/>
                <w:lang w:eastAsia="en-GB"/>
              </w:rPr>
              <w:t>Abdelkafi</w:t>
            </w:r>
            <w:proofErr w:type="spellEnd"/>
            <w:r w:rsidRPr="006E152D">
              <w:rPr>
                <w:rFonts w:eastAsia="Times New Roman"/>
                <w:highlight w:val="green"/>
                <w:lang w:eastAsia="en-GB"/>
              </w:rPr>
              <w:t xml:space="preserve"> u.c. </w:t>
            </w:r>
            <w:proofErr w:type="spellStart"/>
            <w:r w:rsidRPr="006E152D">
              <w:rPr>
                <w:rFonts w:eastAsia="Times New Roman"/>
                <w:highlight w:val="green"/>
                <w:lang w:eastAsia="en-GB"/>
              </w:rPr>
              <w:t>Understanding</w:t>
            </w:r>
            <w:proofErr w:type="spellEnd"/>
            <w:r w:rsidRPr="006E152D">
              <w:rPr>
                <w:rFonts w:eastAsia="Times New Roman"/>
                <w:highlight w:val="green"/>
                <w:lang w:eastAsia="en-GB"/>
              </w:rPr>
              <w:t xml:space="preserve"> ICT </w:t>
            </w:r>
            <w:proofErr w:type="spellStart"/>
            <w:r w:rsidRPr="006E152D">
              <w:rPr>
                <w:rFonts w:eastAsia="Times New Roman"/>
                <w:highlight w:val="green"/>
                <w:lang w:eastAsia="en-GB"/>
              </w:rPr>
              <w:t>standartization</w:t>
            </w:r>
            <w:proofErr w:type="spellEnd"/>
            <w:r w:rsidRPr="006E152D">
              <w:rPr>
                <w:rFonts w:eastAsia="Times New Roman"/>
                <w:highlight w:val="green"/>
                <w:lang w:eastAsia="en-GB"/>
              </w:rPr>
              <w:t xml:space="preserve">: </w:t>
            </w:r>
            <w:proofErr w:type="spellStart"/>
            <w:r w:rsidRPr="006E152D">
              <w:rPr>
                <w:rFonts w:eastAsia="Times New Roman"/>
                <w:highlight w:val="green"/>
                <w:lang w:eastAsia="en-GB"/>
              </w:rPr>
              <w:t>Principles</w:t>
            </w:r>
            <w:proofErr w:type="spellEnd"/>
            <w:r w:rsidRPr="006E152D">
              <w:rPr>
                <w:rFonts w:eastAsia="Times New Roman"/>
                <w:highlight w:val="green"/>
                <w:lang w:eastAsia="en-GB"/>
              </w:rPr>
              <w:t xml:space="preserve"> </w:t>
            </w:r>
            <w:proofErr w:type="spellStart"/>
            <w:r w:rsidRPr="006E152D">
              <w:rPr>
                <w:rFonts w:eastAsia="Times New Roman"/>
                <w:highlight w:val="green"/>
                <w:lang w:eastAsia="en-GB"/>
              </w:rPr>
              <w:t>and</w:t>
            </w:r>
            <w:proofErr w:type="spellEnd"/>
            <w:r w:rsidRPr="006E152D">
              <w:rPr>
                <w:rFonts w:eastAsia="Times New Roman"/>
                <w:highlight w:val="green"/>
                <w:lang w:eastAsia="en-GB"/>
              </w:rPr>
              <w:t xml:space="preserve"> </w:t>
            </w:r>
            <w:proofErr w:type="spellStart"/>
            <w:r w:rsidRPr="006E152D">
              <w:rPr>
                <w:rFonts w:eastAsia="Times New Roman"/>
                <w:highlight w:val="green"/>
                <w:lang w:eastAsia="en-GB"/>
              </w:rPr>
              <w:t>praktice</w:t>
            </w:r>
            <w:proofErr w:type="spellEnd"/>
            <w:r w:rsidRPr="006E152D">
              <w:rPr>
                <w:rFonts w:eastAsia="Times New Roman"/>
                <w:highlight w:val="green"/>
                <w:lang w:eastAsia="en-GB"/>
              </w:rPr>
              <w:t xml:space="preserve">. - ETSI, 2021. - URL: </w:t>
            </w:r>
            <w:bookmarkStart w:id="0" w:name="_GoBack"/>
            <w:bookmarkEnd w:id="0"/>
            <w:r w:rsidRPr="006E152D">
              <w:rPr>
                <w:rFonts w:eastAsia="Times New Roman"/>
                <w:i/>
                <w:iCs w:val="0"/>
                <w:highlight w:val="green"/>
                <w:lang w:eastAsia="en-GB"/>
              </w:rPr>
              <w:t>https://pure.tue.nl/ws/portalfiles/portal/192511633/Slideset_Understanding_ICT_Standardization.pdf</w:t>
            </w:r>
          </w:p>
        </w:tc>
      </w:tr>
      <w:tr w:rsidR="00CC0D78" w:rsidRPr="00026C21" w14:paraId="6D18BFDC" w14:textId="77777777" w:rsidTr="001A535C">
        <w:trPr>
          <w:jc w:val="center"/>
        </w:trPr>
        <w:tc>
          <w:tcPr>
            <w:tcW w:w="9582" w:type="dxa"/>
            <w:gridSpan w:val="2"/>
          </w:tcPr>
          <w:p w14:paraId="4980CBD6" w14:textId="77777777" w:rsidR="00CC0D78" w:rsidRPr="00026C21" w:rsidRDefault="00CC0D78" w:rsidP="001A535C">
            <w:pPr>
              <w:pStyle w:val="Nosaukumi"/>
            </w:pPr>
            <w:r w:rsidRPr="00026C21">
              <w:t>Periodika un citi informācijas avoti</w:t>
            </w:r>
          </w:p>
        </w:tc>
      </w:tr>
      <w:tr w:rsidR="00CC0D78" w:rsidRPr="00026C21" w14:paraId="51877B45" w14:textId="77777777" w:rsidTr="001A535C">
        <w:trPr>
          <w:jc w:val="center"/>
        </w:trPr>
        <w:tc>
          <w:tcPr>
            <w:tcW w:w="9582" w:type="dxa"/>
            <w:gridSpan w:val="2"/>
          </w:tcPr>
          <w:p w14:paraId="69854312" w14:textId="77777777" w:rsidR="00CC0D78" w:rsidRPr="0058036F" w:rsidRDefault="00CC0D78" w:rsidP="001A535C">
            <w:pPr>
              <w:rPr>
                <w:rFonts w:eastAsia="Times New Roman"/>
                <w:highlight w:val="green"/>
                <w:lang w:eastAsia="lv-LV"/>
              </w:rPr>
            </w:pPr>
            <w:r w:rsidRPr="0058036F">
              <w:rPr>
                <w:rFonts w:eastAsia="Times New Roman"/>
                <w:highlight w:val="green"/>
                <w:lang w:eastAsia="lv-LV"/>
              </w:rPr>
              <w:t>Interneta avoti:</w:t>
            </w:r>
            <w:r w:rsidRPr="0058036F">
              <w:rPr>
                <w:rFonts w:eastAsia="Times New Roman"/>
                <w:highlight w:val="green"/>
                <w:lang w:eastAsia="lv-LV"/>
              </w:rPr>
              <w:br/>
              <w:t>1. Latvijas Drošāka interneta centrs – Sadaļa “Jaunumi”</w:t>
            </w:r>
          </w:p>
          <w:p w14:paraId="386AF5F6" w14:textId="77777777" w:rsidR="00CC0D78" w:rsidRPr="0058036F" w:rsidRDefault="00CC0D78" w:rsidP="001A535C">
            <w:pPr>
              <w:rPr>
                <w:rFonts w:eastAsia="Times New Roman"/>
                <w:highlight w:val="green"/>
                <w:lang w:eastAsia="lv-LV"/>
              </w:rPr>
            </w:pPr>
            <w:r w:rsidRPr="00192747">
              <w:rPr>
                <w:rFonts w:eastAsia="Times New Roman"/>
                <w:highlight w:val="green"/>
                <w:lang w:eastAsia="lv-LV"/>
              </w:rPr>
              <w:t>https://drossinternets.lv/lv/posts</w:t>
            </w:r>
            <w:r w:rsidRPr="0058036F">
              <w:rPr>
                <w:rFonts w:eastAsia="Times New Roman"/>
                <w:highlight w:val="green"/>
                <w:lang w:eastAsia="lv-LV"/>
              </w:rPr>
              <w:t xml:space="preserve"> </w:t>
            </w:r>
          </w:p>
          <w:p w14:paraId="7A6AB1D6" w14:textId="77777777" w:rsidR="00CC0D78" w:rsidRPr="0058036F" w:rsidRDefault="00CC0D78" w:rsidP="001A535C">
            <w:pPr>
              <w:rPr>
                <w:rFonts w:eastAsia="Times New Roman"/>
                <w:highlight w:val="green"/>
                <w:lang w:eastAsia="lv-LV"/>
              </w:rPr>
            </w:pPr>
            <w:r w:rsidRPr="0058036F">
              <w:rPr>
                <w:rFonts w:eastAsia="Times New Roman"/>
                <w:highlight w:val="green"/>
                <w:lang w:eastAsia="lv-LV"/>
              </w:rPr>
              <w:t xml:space="preserve">2. Esidross.lv - vietne, kurā apkopota noderīga informācija tiem, kam rūp sava un sava datora, telefona vai citu </w:t>
            </w:r>
            <w:proofErr w:type="spellStart"/>
            <w:r w:rsidRPr="0058036F">
              <w:rPr>
                <w:rFonts w:eastAsia="Times New Roman"/>
                <w:highlight w:val="green"/>
                <w:lang w:eastAsia="lv-LV"/>
              </w:rPr>
              <w:t>viedierīču</w:t>
            </w:r>
            <w:proofErr w:type="spellEnd"/>
            <w:r w:rsidRPr="0058036F">
              <w:rPr>
                <w:rFonts w:eastAsia="Times New Roman"/>
                <w:highlight w:val="green"/>
                <w:lang w:eastAsia="lv-LV"/>
              </w:rPr>
              <w:t xml:space="preserve"> drošība internetā. – Sadaļa “Aktivitātes”</w:t>
            </w:r>
          </w:p>
          <w:p w14:paraId="6A3545EB" w14:textId="77777777" w:rsidR="00CC0D78" w:rsidRPr="0058036F" w:rsidRDefault="00CC0D78" w:rsidP="001A535C">
            <w:pPr>
              <w:rPr>
                <w:rFonts w:eastAsia="Times New Roman"/>
                <w:highlight w:val="green"/>
                <w:lang w:eastAsia="lv-LV"/>
              </w:rPr>
            </w:pPr>
            <w:r w:rsidRPr="00192747">
              <w:rPr>
                <w:rFonts w:eastAsia="Times New Roman"/>
                <w:highlight w:val="green"/>
                <w:lang w:eastAsia="lv-LV"/>
              </w:rPr>
              <w:t>https://www.esidross.lv/kategorijas/aktivitates/</w:t>
            </w:r>
            <w:r w:rsidRPr="0058036F">
              <w:rPr>
                <w:rFonts w:eastAsia="Times New Roman"/>
                <w:highlight w:val="green"/>
                <w:lang w:eastAsia="lv-LV"/>
              </w:rPr>
              <w:t xml:space="preserve"> </w:t>
            </w:r>
          </w:p>
          <w:p w14:paraId="5F8DD6B0" w14:textId="77777777" w:rsidR="00CC0D78" w:rsidRPr="006E152D" w:rsidRDefault="00CC0D78" w:rsidP="001A535C">
            <w:pPr>
              <w:rPr>
                <w:highlight w:val="green"/>
              </w:rPr>
            </w:pPr>
            <w:r w:rsidRPr="0058036F">
              <w:rPr>
                <w:rFonts w:eastAsia="Times New Roman"/>
                <w:highlight w:val="green"/>
                <w:lang w:eastAsia="lv-LV"/>
              </w:rPr>
              <w:t xml:space="preserve">3. </w:t>
            </w:r>
            <w:r w:rsidRPr="006E152D">
              <w:rPr>
                <w:rFonts w:eastAsia="Times New Roman"/>
                <w:highlight w:val="green"/>
                <w:lang w:eastAsia="lv-LV"/>
              </w:rPr>
              <w:t xml:space="preserve">CERT.LV (Informācijas tehnoloģiju drošības incidentu novēršanas institūcija) struktūrvienība, kas darbojas Latvijas Republikas Aizsardzības ministrijas pakļautībā IT drošības likuma ietvaros. – Sadaļa “Ziņas” https://cert.lv/lv/zinas </w:t>
            </w:r>
            <w:r w:rsidRPr="006E152D">
              <w:rPr>
                <w:highlight w:val="green"/>
              </w:rPr>
              <w:t xml:space="preserve"> </w:t>
            </w:r>
          </w:p>
          <w:p w14:paraId="18C826DC" w14:textId="0BF5CE8C" w:rsidR="00124232" w:rsidRPr="00192747" w:rsidRDefault="00124232" w:rsidP="001A535C">
            <w:pPr>
              <w:rPr>
                <w:rFonts w:eastAsia="Times New Roman"/>
                <w:highlight w:val="green"/>
                <w:lang w:eastAsia="lv-LV"/>
              </w:rPr>
            </w:pPr>
            <w:r w:rsidRPr="006E152D">
              <w:rPr>
                <w:rFonts w:eastAsia="Times New Roman"/>
                <w:highlight w:val="green"/>
                <w:lang w:eastAsia="lv-LV"/>
              </w:rPr>
              <w:t xml:space="preserve">4. </w:t>
            </w:r>
            <w:r w:rsidRPr="006E152D">
              <w:rPr>
                <w:highlight w:val="green"/>
              </w:rPr>
              <w:t xml:space="preserve">2. </w:t>
            </w:r>
            <w:proofErr w:type="spellStart"/>
            <w:r w:rsidRPr="006E152D">
              <w:rPr>
                <w:highlight w:val="green"/>
              </w:rPr>
              <w:t>Last</w:t>
            </w:r>
            <w:proofErr w:type="spellEnd"/>
            <w:r w:rsidRPr="006E152D">
              <w:rPr>
                <w:highlight w:val="green"/>
              </w:rPr>
              <w:t xml:space="preserve"> JD. ICT </w:t>
            </w:r>
            <w:proofErr w:type="spellStart"/>
            <w:r w:rsidRPr="006E152D">
              <w:rPr>
                <w:highlight w:val="green"/>
              </w:rPr>
              <w:t>Law</w:t>
            </w:r>
            <w:proofErr w:type="spellEnd"/>
            <w:r w:rsidRPr="006E152D">
              <w:rPr>
                <w:highlight w:val="green"/>
              </w:rPr>
              <w:t xml:space="preserve">. - URL (2024.): </w:t>
            </w:r>
            <w:r w:rsidRPr="006E152D">
              <w:rPr>
                <w:i/>
                <w:iCs w:val="0"/>
                <w:highlight w:val="green"/>
              </w:rPr>
              <w:t>http://www.last-jd.eu/?page_id=385</w:t>
            </w:r>
          </w:p>
        </w:tc>
      </w:tr>
      <w:tr w:rsidR="00CC0D78" w:rsidRPr="00026C21" w14:paraId="33CD833A" w14:textId="77777777" w:rsidTr="001A535C">
        <w:trPr>
          <w:jc w:val="center"/>
        </w:trPr>
        <w:tc>
          <w:tcPr>
            <w:tcW w:w="9582" w:type="dxa"/>
            <w:gridSpan w:val="2"/>
          </w:tcPr>
          <w:p w14:paraId="5590EC7E" w14:textId="77777777" w:rsidR="00CC0D78" w:rsidRPr="00026C21" w:rsidRDefault="00CC0D78" w:rsidP="001A535C">
            <w:pPr>
              <w:pStyle w:val="Nosaukumi"/>
            </w:pPr>
            <w:r w:rsidRPr="00026C21">
              <w:t>Piezīmes</w:t>
            </w:r>
          </w:p>
        </w:tc>
      </w:tr>
      <w:tr w:rsidR="00CC0D78" w:rsidRPr="00026C21" w14:paraId="503EC918" w14:textId="77777777" w:rsidTr="001A535C">
        <w:trPr>
          <w:jc w:val="center"/>
        </w:trPr>
        <w:tc>
          <w:tcPr>
            <w:tcW w:w="9582" w:type="dxa"/>
            <w:gridSpan w:val="2"/>
          </w:tcPr>
          <w:p w14:paraId="6E301FA9" w14:textId="77777777" w:rsidR="00CC0D78" w:rsidRDefault="00CC0D78" w:rsidP="001A535C">
            <w:pPr>
              <w:rPr>
                <w:rFonts w:eastAsia="Times New Roman"/>
                <w:lang w:eastAsia="en-GB"/>
              </w:rPr>
            </w:pPr>
            <w:r>
              <w:rPr>
                <w:rFonts w:eastAsia="Times New Roman"/>
                <w:lang w:eastAsia="en-GB"/>
              </w:rPr>
              <w:t>P</w:t>
            </w:r>
            <w:r w:rsidRPr="006F0D41">
              <w:rPr>
                <w:rFonts w:eastAsia="Times New Roman"/>
                <w:lang w:eastAsia="en-GB"/>
              </w:rPr>
              <w:t>irmā</w:t>
            </w:r>
            <w:r w:rsidRPr="009A284C">
              <w:rPr>
                <w:rFonts w:eastAsia="Times New Roman"/>
                <w:lang w:eastAsia="en-GB"/>
              </w:rPr>
              <w:t xml:space="preserve"> līmeņa profesionālās augstākās izglītības studiju programmas „Informācijas tehnoloģijas” studiju kurss.</w:t>
            </w:r>
            <w:r>
              <w:rPr>
                <w:rFonts w:eastAsia="Times New Roman"/>
                <w:lang w:eastAsia="en-GB"/>
              </w:rPr>
              <w:t xml:space="preserve"> </w:t>
            </w:r>
          </w:p>
          <w:p w14:paraId="473B7D32" w14:textId="77777777" w:rsidR="00CC0D78" w:rsidRPr="00026C21" w:rsidRDefault="00CC0D78" w:rsidP="001A535C">
            <w:pPr>
              <w:rPr>
                <w:color w:val="0070C0"/>
              </w:rPr>
            </w:pPr>
            <w:r w:rsidRPr="009A284C">
              <w:t>Kurss tiek docēts latviešu valodā.</w:t>
            </w:r>
          </w:p>
        </w:tc>
      </w:tr>
    </w:tbl>
    <w:p w14:paraId="13B58712" w14:textId="77777777" w:rsidR="00CC0D78" w:rsidRPr="00026C21" w:rsidRDefault="00CC0D78" w:rsidP="00CC0D78"/>
    <w:p w14:paraId="0DD08B31" w14:textId="77777777" w:rsidR="00360579" w:rsidRPr="00CC0D78" w:rsidRDefault="00360579" w:rsidP="00CC0D78"/>
    <w:sectPr w:rsidR="00360579" w:rsidRPr="00CC0D78"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7D342" w14:textId="77777777" w:rsidR="00D76F0A" w:rsidRDefault="00D76F0A" w:rsidP="001B4907">
      <w:r>
        <w:separator/>
      </w:r>
    </w:p>
  </w:endnote>
  <w:endnote w:type="continuationSeparator" w:id="0">
    <w:p w14:paraId="168946BF" w14:textId="77777777" w:rsidR="00D76F0A" w:rsidRDefault="00D76F0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156D8" w14:textId="77777777" w:rsidR="00D76F0A" w:rsidRDefault="00D76F0A" w:rsidP="001B4907">
      <w:r>
        <w:separator/>
      </w:r>
    </w:p>
  </w:footnote>
  <w:footnote w:type="continuationSeparator" w:id="0">
    <w:p w14:paraId="1193F954" w14:textId="77777777" w:rsidR="00D76F0A" w:rsidRDefault="00D76F0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85162" w14:textId="77777777" w:rsidR="007B1FB4" w:rsidRDefault="00D76F0A" w:rsidP="007534EA">
    <w:pPr>
      <w:pStyle w:val="Header"/>
    </w:pPr>
  </w:p>
  <w:p w14:paraId="5C46DB04" w14:textId="77777777" w:rsidR="007B1FB4" w:rsidRPr="007B1FB4" w:rsidRDefault="00D76F0A" w:rsidP="007534EA">
    <w:pPr>
      <w:pStyle w:val="Header"/>
    </w:pPr>
  </w:p>
  <w:p w14:paraId="254D0E0F" w14:textId="77777777" w:rsidR="00982C4A" w:rsidRPr="00D66CC2" w:rsidRDefault="00D76F0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1A1541C"/>
    <w:multiLevelType w:val="hybridMultilevel"/>
    <w:tmpl w:val="E06293E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0"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BC71E3A"/>
    <w:multiLevelType w:val="hybridMultilevel"/>
    <w:tmpl w:val="8D72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2"/>
  </w:num>
  <w:num w:numId="4">
    <w:abstractNumId w:val="23"/>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6"/>
  </w:num>
  <w:num w:numId="13">
    <w:abstractNumId w:val="37"/>
  </w:num>
  <w:num w:numId="14">
    <w:abstractNumId w:val="10"/>
  </w:num>
  <w:num w:numId="15">
    <w:abstractNumId w:val="12"/>
  </w:num>
  <w:num w:numId="16">
    <w:abstractNumId w:val="13"/>
  </w:num>
  <w:num w:numId="17">
    <w:abstractNumId w:val="21"/>
  </w:num>
  <w:num w:numId="18">
    <w:abstractNumId w:val="27"/>
  </w:num>
  <w:num w:numId="19">
    <w:abstractNumId w:val="26"/>
  </w:num>
  <w:num w:numId="20">
    <w:abstractNumId w:val="33"/>
  </w:num>
  <w:num w:numId="21">
    <w:abstractNumId w:val="34"/>
  </w:num>
  <w:num w:numId="22">
    <w:abstractNumId w:val="36"/>
  </w:num>
  <w:num w:numId="23">
    <w:abstractNumId w:val="15"/>
  </w:num>
  <w:num w:numId="24">
    <w:abstractNumId w:val="31"/>
  </w:num>
  <w:num w:numId="25">
    <w:abstractNumId w:val="24"/>
  </w:num>
  <w:num w:numId="26">
    <w:abstractNumId w:val="4"/>
  </w:num>
  <w:num w:numId="27">
    <w:abstractNumId w:val="3"/>
  </w:num>
  <w:num w:numId="28">
    <w:abstractNumId w:val="25"/>
  </w:num>
  <w:num w:numId="29">
    <w:abstractNumId w:val="18"/>
  </w:num>
  <w:num w:numId="30">
    <w:abstractNumId w:val="28"/>
  </w:num>
  <w:num w:numId="31">
    <w:abstractNumId w:val="29"/>
  </w:num>
  <w:num w:numId="32">
    <w:abstractNumId w:val="19"/>
  </w:num>
  <w:num w:numId="33">
    <w:abstractNumId w:val="5"/>
  </w:num>
  <w:num w:numId="34">
    <w:abstractNumId w:val="17"/>
  </w:num>
  <w:num w:numId="35">
    <w:abstractNumId w:val="11"/>
  </w:num>
  <w:num w:numId="36">
    <w:abstractNumId w:val="20"/>
  </w:num>
  <w:num w:numId="37">
    <w:abstractNumId w:val="35"/>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C0F08"/>
    <w:rsid w:val="000C39F3"/>
    <w:rsid w:val="00124232"/>
    <w:rsid w:val="001420E9"/>
    <w:rsid w:val="0016513A"/>
    <w:rsid w:val="001B4907"/>
    <w:rsid w:val="00244E4B"/>
    <w:rsid w:val="00360579"/>
    <w:rsid w:val="003C2FFF"/>
    <w:rsid w:val="003E46DC"/>
    <w:rsid w:val="004861BB"/>
    <w:rsid w:val="005025FB"/>
    <w:rsid w:val="0056659C"/>
    <w:rsid w:val="0057175D"/>
    <w:rsid w:val="005A5C45"/>
    <w:rsid w:val="005D0936"/>
    <w:rsid w:val="00612290"/>
    <w:rsid w:val="006214C8"/>
    <w:rsid w:val="006321B5"/>
    <w:rsid w:val="006E152D"/>
    <w:rsid w:val="006F6BF0"/>
    <w:rsid w:val="00791E37"/>
    <w:rsid w:val="00815E87"/>
    <w:rsid w:val="00875ADC"/>
    <w:rsid w:val="00877E76"/>
    <w:rsid w:val="008D4CBD"/>
    <w:rsid w:val="008F5EB7"/>
    <w:rsid w:val="00946F0E"/>
    <w:rsid w:val="00987573"/>
    <w:rsid w:val="009A284C"/>
    <w:rsid w:val="009E42B8"/>
    <w:rsid w:val="00A214BA"/>
    <w:rsid w:val="00A268F8"/>
    <w:rsid w:val="00A32D23"/>
    <w:rsid w:val="00A65099"/>
    <w:rsid w:val="00B13E94"/>
    <w:rsid w:val="00B357AB"/>
    <w:rsid w:val="00B82CA6"/>
    <w:rsid w:val="00BB1076"/>
    <w:rsid w:val="00BC05DC"/>
    <w:rsid w:val="00CC0D78"/>
    <w:rsid w:val="00CE67D9"/>
    <w:rsid w:val="00D070BC"/>
    <w:rsid w:val="00D76F0A"/>
    <w:rsid w:val="00EC04D7"/>
    <w:rsid w:val="00F04F8C"/>
    <w:rsid w:val="00F22054"/>
    <w:rsid w:val="00F813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36FDD"/>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53335">
      <w:bodyDiv w:val="1"/>
      <w:marLeft w:val="0"/>
      <w:marRight w:val="0"/>
      <w:marTop w:val="0"/>
      <w:marBottom w:val="0"/>
      <w:divBdr>
        <w:top w:val="none" w:sz="0" w:space="0" w:color="auto"/>
        <w:left w:val="none" w:sz="0" w:space="0" w:color="auto"/>
        <w:bottom w:val="none" w:sz="0" w:space="0" w:color="auto"/>
        <w:right w:val="none" w:sz="0" w:space="0" w:color="auto"/>
      </w:divBdr>
    </w:div>
    <w:div w:id="353776276">
      <w:bodyDiv w:val="1"/>
      <w:marLeft w:val="0"/>
      <w:marRight w:val="0"/>
      <w:marTop w:val="0"/>
      <w:marBottom w:val="0"/>
      <w:divBdr>
        <w:top w:val="none" w:sz="0" w:space="0" w:color="auto"/>
        <w:left w:val="none" w:sz="0" w:space="0" w:color="auto"/>
        <w:bottom w:val="none" w:sz="0" w:space="0" w:color="auto"/>
        <w:right w:val="none" w:sz="0" w:space="0" w:color="auto"/>
      </w:divBdr>
    </w:div>
    <w:div w:id="150281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54D39-1C34-4708-A7CA-ACEDEC27D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9</cp:revision>
  <dcterms:created xsi:type="dcterms:W3CDTF">2023-03-31T13:18:00Z</dcterms:created>
  <dcterms:modified xsi:type="dcterms:W3CDTF">2024-03-07T11:31:00Z</dcterms:modified>
</cp:coreProperties>
</file>