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80F7C" w14:textId="4068684D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</w:t>
      </w:r>
      <w:r w:rsidR="000A2D46">
        <w:rPr>
          <w:b/>
        </w:rPr>
        <w:t xml:space="preserve"> </w:t>
      </w:r>
      <w:r w:rsidRPr="00026C21">
        <w:rPr>
          <w:b/>
        </w:rPr>
        <w:t>UNIVERSITĀTES</w:t>
      </w:r>
    </w:p>
    <w:p w14:paraId="16E6D587" w14:textId="7593D9F5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</w:t>
      </w:r>
      <w:r w:rsidR="000A2D46">
        <w:rPr>
          <w:b/>
        </w:rPr>
        <w:t xml:space="preserve"> </w:t>
      </w:r>
      <w:r w:rsidRPr="00026C21">
        <w:rPr>
          <w:b/>
        </w:rPr>
        <w:t>KURSA</w:t>
      </w:r>
      <w:r w:rsidR="000A2D46">
        <w:rPr>
          <w:b/>
        </w:rPr>
        <w:t xml:space="preserve"> </w:t>
      </w:r>
      <w:r w:rsidRPr="00026C21">
        <w:rPr>
          <w:b/>
        </w:rPr>
        <w:t>APRAKSTS</w:t>
      </w:r>
    </w:p>
    <w:p w14:paraId="309A487A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67EA3E23" w14:textId="77777777" w:rsidTr="001A6313">
        <w:trPr>
          <w:jc w:val="center"/>
        </w:trPr>
        <w:tc>
          <w:tcPr>
            <w:tcW w:w="4639" w:type="dxa"/>
          </w:tcPr>
          <w:p w14:paraId="29DB3F26" w14:textId="3F97FB1E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</w:t>
            </w:r>
            <w:r w:rsidR="000A2D46">
              <w:t xml:space="preserve"> </w:t>
            </w:r>
            <w:r w:rsidRPr="00026C21">
              <w:t>kursa</w:t>
            </w:r>
            <w:r w:rsidR="000A2D46">
              <w:t xml:space="preserve"> </w:t>
            </w:r>
            <w:r w:rsidRPr="00026C21">
              <w:t>nosaukums</w:t>
            </w:r>
          </w:p>
        </w:tc>
        <w:tc>
          <w:tcPr>
            <w:tcW w:w="4943" w:type="dxa"/>
          </w:tcPr>
          <w:p w14:paraId="5B124B93" w14:textId="560199A9" w:rsidR="001B4907" w:rsidRPr="00026C21" w:rsidRDefault="004640AA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4640AA">
              <w:rPr>
                <w:rFonts w:eastAsia="Times New Roman"/>
                <w:b/>
                <w:i/>
                <w:color w:val="336666"/>
                <w:lang w:eastAsia="en-GB"/>
              </w:rPr>
              <w:t>Nozares tiesību pamati, standarti un tiesiskās attiecības</w:t>
            </w:r>
          </w:p>
        </w:tc>
      </w:tr>
      <w:tr w:rsidR="001B4907" w:rsidRPr="00026C21" w14:paraId="65FB4DB6" w14:textId="77777777" w:rsidTr="001A6313">
        <w:trPr>
          <w:jc w:val="center"/>
        </w:trPr>
        <w:tc>
          <w:tcPr>
            <w:tcW w:w="4639" w:type="dxa"/>
          </w:tcPr>
          <w:p w14:paraId="205EA899" w14:textId="4D9B29F7" w:rsidR="001B4907" w:rsidRPr="00026C21" w:rsidRDefault="001B4907" w:rsidP="001A6313">
            <w:pPr>
              <w:pStyle w:val="Nosaukumi"/>
            </w:pPr>
            <w:r w:rsidRPr="00026C21">
              <w:t>Studiju</w:t>
            </w:r>
            <w:r w:rsidR="000A2D46">
              <w:t xml:space="preserve"> </w:t>
            </w:r>
            <w:r w:rsidRPr="00026C21">
              <w:t>kursa</w:t>
            </w:r>
            <w:r w:rsidR="000A2D46">
              <w:t xml:space="preserve"> </w:t>
            </w:r>
            <w:r w:rsidRPr="00026C21">
              <w:t>kods</w:t>
            </w:r>
            <w:r w:rsidR="000A2D46">
              <w:t xml:space="preserve"> </w:t>
            </w:r>
            <w:r w:rsidRPr="00026C21">
              <w:t>(DUIS)</w:t>
            </w:r>
          </w:p>
        </w:tc>
        <w:tc>
          <w:tcPr>
            <w:tcW w:w="4943" w:type="dxa"/>
            <w:vAlign w:val="center"/>
          </w:tcPr>
          <w:p w14:paraId="6A76ADED" w14:textId="1670CAB4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09700C02" w14:textId="77777777" w:rsidTr="001A6313">
        <w:trPr>
          <w:jc w:val="center"/>
        </w:trPr>
        <w:tc>
          <w:tcPr>
            <w:tcW w:w="4639" w:type="dxa"/>
          </w:tcPr>
          <w:p w14:paraId="74E13F8B" w14:textId="776DDDF7" w:rsidR="001B4907" w:rsidRPr="00026C21" w:rsidRDefault="001B4907" w:rsidP="001A6313">
            <w:pPr>
              <w:pStyle w:val="Nosaukumi"/>
            </w:pPr>
            <w:r w:rsidRPr="00026C21">
              <w:t>Zinātnes</w:t>
            </w:r>
            <w:r w:rsidR="000A2D46">
              <w:t xml:space="preserve"> </w:t>
            </w:r>
            <w:r w:rsidRPr="00026C21">
              <w:t>nozare</w:t>
            </w:r>
          </w:p>
        </w:tc>
        <w:tc>
          <w:tcPr>
            <w:tcW w:w="4943" w:type="dxa"/>
          </w:tcPr>
          <w:p w14:paraId="004F9E14" w14:textId="001D1ADC" w:rsidR="001B4907" w:rsidRPr="00026C21" w:rsidRDefault="001B4907" w:rsidP="001A6313">
            <w:pPr>
              <w:snapToGrid w:val="0"/>
            </w:pPr>
          </w:p>
        </w:tc>
      </w:tr>
      <w:tr w:rsidR="001B4907" w:rsidRPr="00026C21" w14:paraId="36C67009" w14:textId="77777777" w:rsidTr="001A6313">
        <w:trPr>
          <w:jc w:val="center"/>
        </w:trPr>
        <w:tc>
          <w:tcPr>
            <w:tcW w:w="4639" w:type="dxa"/>
          </w:tcPr>
          <w:p w14:paraId="2A8958AF" w14:textId="2BBDCFA5" w:rsidR="001B4907" w:rsidRPr="00026C21" w:rsidRDefault="001B4907" w:rsidP="001A6313">
            <w:pPr>
              <w:pStyle w:val="Nosaukumi"/>
            </w:pPr>
            <w:r w:rsidRPr="00026C21">
              <w:t>Kursa</w:t>
            </w:r>
            <w:r w:rsidR="000A2D46">
              <w:t xml:space="preserve"> </w:t>
            </w:r>
            <w:r w:rsidRPr="00026C21">
              <w:t>līmenis</w:t>
            </w:r>
          </w:p>
        </w:tc>
        <w:tc>
          <w:tcPr>
            <w:tcW w:w="4943" w:type="dxa"/>
            <w:shd w:val="clear" w:color="auto" w:fill="auto"/>
          </w:tcPr>
          <w:p w14:paraId="721BFD04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406ECD55" w14:textId="77777777" w:rsidTr="001A6313">
        <w:trPr>
          <w:jc w:val="center"/>
        </w:trPr>
        <w:tc>
          <w:tcPr>
            <w:tcW w:w="4639" w:type="dxa"/>
          </w:tcPr>
          <w:p w14:paraId="75C4E8F3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1E29B0C2" w14:textId="77777777" w:rsidR="001B4907" w:rsidRPr="00026C21" w:rsidRDefault="00017450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039B28B5" w14:textId="77777777" w:rsidTr="001A6313">
        <w:trPr>
          <w:jc w:val="center"/>
        </w:trPr>
        <w:tc>
          <w:tcPr>
            <w:tcW w:w="4639" w:type="dxa"/>
          </w:tcPr>
          <w:p w14:paraId="75C7FAF6" w14:textId="72C08364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</w:t>
            </w:r>
            <w:r w:rsidR="000A2D46">
              <w:t xml:space="preserve"> </w:t>
            </w:r>
            <w:r w:rsidRPr="00026C21">
              <w:t>kredītpunkti</w:t>
            </w:r>
          </w:p>
        </w:tc>
        <w:tc>
          <w:tcPr>
            <w:tcW w:w="4943" w:type="dxa"/>
          </w:tcPr>
          <w:p w14:paraId="13F39B58" w14:textId="77777777" w:rsidR="001B4907" w:rsidRPr="00026C21" w:rsidRDefault="00017450" w:rsidP="001A6313">
            <w:r>
              <w:t>3</w:t>
            </w:r>
          </w:p>
        </w:tc>
      </w:tr>
      <w:tr w:rsidR="001B4907" w:rsidRPr="00026C21" w14:paraId="66D38D8A" w14:textId="77777777" w:rsidTr="001A6313">
        <w:trPr>
          <w:jc w:val="center"/>
        </w:trPr>
        <w:tc>
          <w:tcPr>
            <w:tcW w:w="4639" w:type="dxa"/>
          </w:tcPr>
          <w:p w14:paraId="727561E5" w14:textId="2D50D451" w:rsidR="001B4907" w:rsidRPr="00026C21" w:rsidRDefault="001B4907" w:rsidP="001A6313">
            <w:pPr>
              <w:pStyle w:val="Nosaukumi"/>
            </w:pPr>
            <w:r w:rsidRPr="00026C21">
              <w:t>Kopējais</w:t>
            </w:r>
            <w:r w:rsidR="000A2D46">
              <w:t xml:space="preserve"> </w:t>
            </w:r>
            <w:r w:rsidRPr="00026C21">
              <w:t>kontaktstundu</w:t>
            </w:r>
            <w:r w:rsidR="000A2D46">
              <w:t xml:space="preserve"> </w:t>
            </w:r>
            <w:r w:rsidRPr="00026C21">
              <w:t>skaits</w:t>
            </w:r>
          </w:p>
        </w:tc>
        <w:tc>
          <w:tcPr>
            <w:tcW w:w="4943" w:type="dxa"/>
            <w:vAlign w:val="center"/>
          </w:tcPr>
          <w:p w14:paraId="1C398C99" w14:textId="77777777" w:rsidR="001B4907" w:rsidRPr="00026C21" w:rsidRDefault="00017450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2EF45181" w14:textId="77777777" w:rsidTr="001A6313">
        <w:trPr>
          <w:jc w:val="center"/>
        </w:trPr>
        <w:tc>
          <w:tcPr>
            <w:tcW w:w="4639" w:type="dxa"/>
          </w:tcPr>
          <w:p w14:paraId="5CE9DDAB" w14:textId="59887A39" w:rsidR="001B4907" w:rsidRPr="00026C21" w:rsidRDefault="001B4907" w:rsidP="001A6313">
            <w:pPr>
              <w:pStyle w:val="Nosaukumi2"/>
            </w:pPr>
            <w:r w:rsidRPr="00026C21">
              <w:t>Lekciju</w:t>
            </w:r>
            <w:r w:rsidR="000A2D46">
              <w:t xml:space="preserve"> </w:t>
            </w:r>
            <w:r w:rsidRPr="00026C21">
              <w:t>stundu</w:t>
            </w:r>
            <w:r w:rsidR="000A2D46">
              <w:t xml:space="preserve"> </w:t>
            </w:r>
            <w:r w:rsidRPr="00026C21">
              <w:t>skaits</w:t>
            </w:r>
          </w:p>
        </w:tc>
        <w:tc>
          <w:tcPr>
            <w:tcW w:w="4943" w:type="dxa"/>
          </w:tcPr>
          <w:p w14:paraId="12E9D09A" w14:textId="77777777" w:rsidR="001B4907" w:rsidRPr="00026C21" w:rsidRDefault="00017450" w:rsidP="001A6313">
            <w:r>
              <w:t>32</w:t>
            </w:r>
          </w:p>
        </w:tc>
      </w:tr>
      <w:tr w:rsidR="001B4907" w:rsidRPr="00026C21" w14:paraId="3EB690D7" w14:textId="77777777" w:rsidTr="001A6313">
        <w:trPr>
          <w:jc w:val="center"/>
        </w:trPr>
        <w:tc>
          <w:tcPr>
            <w:tcW w:w="4639" w:type="dxa"/>
          </w:tcPr>
          <w:p w14:paraId="6DE7861F" w14:textId="118698E9" w:rsidR="001B4907" w:rsidRPr="00026C21" w:rsidRDefault="001B4907" w:rsidP="001A6313">
            <w:pPr>
              <w:pStyle w:val="Nosaukumi2"/>
            </w:pPr>
            <w:r w:rsidRPr="00026C21">
              <w:t>Semināru</w:t>
            </w:r>
            <w:r w:rsidR="000A2D46">
              <w:t xml:space="preserve"> </w:t>
            </w:r>
            <w:r w:rsidRPr="00026C21">
              <w:t>stundu</w:t>
            </w:r>
            <w:r w:rsidR="000A2D46">
              <w:t xml:space="preserve"> </w:t>
            </w:r>
            <w:r w:rsidRPr="00026C21">
              <w:t>skaits</w:t>
            </w:r>
          </w:p>
        </w:tc>
        <w:tc>
          <w:tcPr>
            <w:tcW w:w="4943" w:type="dxa"/>
          </w:tcPr>
          <w:p w14:paraId="66113F4E" w14:textId="77777777" w:rsidR="001B4907" w:rsidRPr="00026C21" w:rsidRDefault="001B4907" w:rsidP="001A6313"/>
        </w:tc>
      </w:tr>
      <w:tr w:rsidR="001B4907" w:rsidRPr="00026C21" w14:paraId="4F04A612" w14:textId="77777777" w:rsidTr="001A6313">
        <w:trPr>
          <w:jc w:val="center"/>
        </w:trPr>
        <w:tc>
          <w:tcPr>
            <w:tcW w:w="4639" w:type="dxa"/>
          </w:tcPr>
          <w:p w14:paraId="7CDF6B75" w14:textId="664B1C95" w:rsidR="001B4907" w:rsidRPr="00026C21" w:rsidRDefault="001B4907" w:rsidP="001A6313">
            <w:pPr>
              <w:pStyle w:val="Nosaukumi2"/>
            </w:pPr>
            <w:r w:rsidRPr="00026C21">
              <w:t>Praktisko</w:t>
            </w:r>
            <w:r w:rsidR="000A2D46">
              <w:t xml:space="preserve"> </w:t>
            </w:r>
            <w:r w:rsidRPr="00026C21">
              <w:t>darbu</w:t>
            </w:r>
            <w:r w:rsidR="000A2D46">
              <w:t xml:space="preserve"> </w:t>
            </w:r>
            <w:r w:rsidRPr="00026C21">
              <w:t>stundu</w:t>
            </w:r>
            <w:r w:rsidR="000A2D46">
              <w:t xml:space="preserve"> </w:t>
            </w:r>
            <w:r w:rsidRPr="00026C21">
              <w:t>skaits</w:t>
            </w:r>
          </w:p>
        </w:tc>
        <w:tc>
          <w:tcPr>
            <w:tcW w:w="4943" w:type="dxa"/>
          </w:tcPr>
          <w:p w14:paraId="222A622A" w14:textId="77777777" w:rsidR="001B4907" w:rsidRPr="00026C21" w:rsidRDefault="001B4907" w:rsidP="001A6313"/>
        </w:tc>
      </w:tr>
      <w:tr w:rsidR="001B4907" w:rsidRPr="00026C21" w14:paraId="769ADB5D" w14:textId="77777777" w:rsidTr="001A6313">
        <w:trPr>
          <w:jc w:val="center"/>
        </w:trPr>
        <w:tc>
          <w:tcPr>
            <w:tcW w:w="4639" w:type="dxa"/>
          </w:tcPr>
          <w:p w14:paraId="0063DEF4" w14:textId="797BDB77" w:rsidR="001B4907" w:rsidRPr="00026C21" w:rsidRDefault="001B4907" w:rsidP="001A6313">
            <w:pPr>
              <w:pStyle w:val="Nosaukumi2"/>
            </w:pPr>
            <w:r w:rsidRPr="00026C21">
              <w:t>Laboratorijas</w:t>
            </w:r>
            <w:r w:rsidR="000A2D46">
              <w:t xml:space="preserve"> </w:t>
            </w:r>
            <w:r w:rsidRPr="00026C21">
              <w:t>darbu</w:t>
            </w:r>
            <w:r w:rsidR="000A2D46">
              <w:t xml:space="preserve"> </w:t>
            </w:r>
            <w:r w:rsidRPr="00026C21">
              <w:t>stundu</w:t>
            </w:r>
            <w:r w:rsidR="000A2D46">
              <w:t xml:space="preserve"> </w:t>
            </w:r>
            <w:r w:rsidRPr="00026C21">
              <w:t>skaits</w:t>
            </w:r>
          </w:p>
        </w:tc>
        <w:tc>
          <w:tcPr>
            <w:tcW w:w="4943" w:type="dxa"/>
          </w:tcPr>
          <w:p w14:paraId="126CE506" w14:textId="77777777" w:rsidR="001B4907" w:rsidRPr="00026C21" w:rsidRDefault="001B4907" w:rsidP="001A6313"/>
        </w:tc>
      </w:tr>
      <w:tr w:rsidR="001B4907" w:rsidRPr="00026C21" w14:paraId="76B6D699" w14:textId="77777777" w:rsidTr="001A6313">
        <w:trPr>
          <w:jc w:val="center"/>
        </w:trPr>
        <w:tc>
          <w:tcPr>
            <w:tcW w:w="4639" w:type="dxa"/>
          </w:tcPr>
          <w:p w14:paraId="2DDE723B" w14:textId="0E0E1EE5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</w:t>
            </w:r>
            <w:r w:rsidR="000A2D46">
              <w:rPr>
                <w:lang w:eastAsia="lv-LV"/>
              </w:rPr>
              <w:t xml:space="preserve"> </w:t>
            </w:r>
            <w:r w:rsidRPr="00026C21">
              <w:rPr>
                <w:lang w:eastAsia="lv-LV"/>
              </w:rPr>
              <w:t>patstāvīgā</w:t>
            </w:r>
            <w:r w:rsidR="000A2D46">
              <w:rPr>
                <w:lang w:eastAsia="lv-LV"/>
              </w:rPr>
              <w:t xml:space="preserve"> </w:t>
            </w:r>
            <w:r w:rsidRPr="00026C21">
              <w:rPr>
                <w:lang w:eastAsia="lv-LV"/>
              </w:rPr>
              <w:t>darba</w:t>
            </w:r>
            <w:r w:rsidR="000A2D46">
              <w:rPr>
                <w:lang w:eastAsia="lv-LV"/>
              </w:rPr>
              <w:t xml:space="preserve"> </w:t>
            </w:r>
            <w:r w:rsidRPr="00026C21">
              <w:rPr>
                <w:lang w:eastAsia="lv-LV"/>
              </w:rPr>
              <w:t>stundu</w:t>
            </w:r>
            <w:r w:rsidR="000A2D46">
              <w:rPr>
                <w:lang w:eastAsia="lv-LV"/>
              </w:rPr>
              <w:t xml:space="preserve"> </w:t>
            </w:r>
            <w:r w:rsidRPr="00026C21">
              <w:rPr>
                <w:lang w:eastAsia="lv-LV"/>
              </w:rPr>
              <w:t>skaits</w:t>
            </w:r>
          </w:p>
        </w:tc>
        <w:tc>
          <w:tcPr>
            <w:tcW w:w="4943" w:type="dxa"/>
            <w:vAlign w:val="center"/>
          </w:tcPr>
          <w:p w14:paraId="49D11F9E" w14:textId="2642983F" w:rsidR="001B4907" w:rsidRPr="00026C21" w:rsidRDefault="002751E6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268D9FCE" w14:textId="77777777" w:rsidTr="001A6313">
        <w:trPr>
          <w:jc w:val="center"/>
        </w:trPr>
        <w:tc>
          <w:tcPr>
            <w:tcW w:w="9582" w:type="dxa"/>
            <w:gridSpan w:val="2"/>
          </w:tcPr>
          <w:p w14:paraId="5F53A27E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68FF2F45" w14:textId="77777777" w:rsidTr="001A6313">
        <w:trPr>
          <w:jc w:val="center"/>
        </w:trPr>
        <w:tc>
          <w:tcPr>
            <w:tcW w:w="9582" w:type="dxa"/>
            <w:gridSpan w:val="2"/>
          </w:tcPr>
          <w:p w14:paraId="2238681F" w14:textId="50898BB4" w:rsidR="001B4907" w:rsidRPr="00026C21" w:rsidRDefault="001B4907" w:rsidP="001A6313">
            <w:pPr>
              <w:pStyle w:val="Nosaukumi"/>
            </w:pPr>
            <w:r w:rsidRPr="00026C21">
              <w:t>Kursa</w:t>
            </w:r>
            <w:r w:rsidR="000A2D46">
              <w:t xml:space="preserve"> </w:t>
            </w:r>
            <w:r w:rsidRPr="00026C21">
              <w:t>autors(-i)</w:t>
            </w:r>
          </w:p>
        </w:tc>
      </w:tr>
      <w:tr w:rsidR="008D4CBD" w:rsidRPr="00026C21" w14:paraId="50B0090E" w14:textId="77777777" w:rsidTr="001A6313">
        <w:trPr>
          <w:jc w:val="center"/>
        </w:trPr>
        <w:tc>
          <w:tcPr>
            <w:tcW w:w="9582" w:type="dxa"/>
            <w:gridSpan w:val="2"/>
          </w:tcPr>
          <w:p w14:paraId="20C56B3F" w14:textId="52CF87C2" w:rsidR="008D4CBD" w:rsidRPr="00026C21" w:rsidRDefault="002751E6" w:rsidP="008D4CBD">
            <w:r w:rsidRPr="00481022">
              <w:rPr>
                <w:rFonts w:eastAsia="Times New Roman"/>
                <w:lang w:eastAsia="en-GB"/>
              </w:rPr>
              <w:t>Mg.sc.comp.,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lekt.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Andris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Vagalis</w:t>
            </w:r>
          </w:p>
        </w:tc>
      </w:tr>
      <w:tr w:rsidR="008D4CBD" w:rsidRPr="00026C21" w14:paraId="32CD4996" w14:textId="77777777" w:rsidTr="001A6313">
        <w:trPr>
          <w:jc w:val="center"/>
        </w:trPr>
        <w:tc>
          <w:tcPr>
            <w:tcW w:w="9582" w:type="dxa"/>
            <w:gridSpan w:val="2"/>
          </w:tcPr>
          <w:p w14:paraId="0C584EA2" w14:textId="5CB087CC" w:rsidR="008D4CBD" w:rsidRPr="00026C21" w:rsidRDefault="008D4CBD" w:rsidP="008D4CBD">
            <w:pPr>
              <w:pStyle w:val="Nosaukumi"/>
            </w:pPr>
            <w:r w:rsidRPr="00026C21">
              <w:t>Kursa</w:t>
            </w:r>
            <w:r w:rsidR="000A2D46">
              <w:t xml:space="preserve"> </w:t>
            </w:r>
            <w:r w:rsidRPr="00026C21">
              <w:t>docētājs(-i)</w:t>
            </w:r>
          </w:p>
        </w:tc>
      </w:tr>
      <w:tr w:rsidR="008D4CBD" w:rsidRPr="00026C21" w14:paraId="1B4168AB" w14:textId="77777777" w:rsidTr="001A6313">
        <w:trPr>
          <w:jc w:val="center"/>
        </w:trPr>
        <w:tc>
          <w:tcPr>
            <w:tcW w:w="9582" w:type="dxa"/>
            <w:gridSpan w:val="2"/>
          </w:tcPr>
          <w:p w14:paraId="088CC3D5" w14:textId="71805DEA" w:rsidR="008D4CBD" w:rsidRPr="00026C21" w:rsidRDefault="00017450" w:rsidP="008D4CBD">
            <w:r w:rsidRPr="00481022">
              <w:rPr>
                <w:rFonts w:eastAsia="Times New Roman"/>
                <w:lang w:eastAsia="en-GB"/>
              </w:rPr>
              <w:t>Dr.phys.,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doc.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Svetlana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Ignatjeva</w:t>
            </w:r>
            <w:r w:rsidRPr="00481022">
              <w:rPr>
                <w:rFonts w:eastAsia="Times New Roman"/>
                <w:lang w:eastAsia="en-GB"/>
              </w:rPr>
              <w:br/>
              <w:t>Mg.sc.comp.,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lekt.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Andris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Vagalis</w:t>
            </w:r>
          </w:p>
        </w:tc>
      </w:tr>
      <w:tr w:rsidR="008D4CBD" w:rsidRPr="00026C21" w14:paraId="7538F810" w14:textId="77777777" w:rsidTr="001A6313">
        <w:trPr>
          <w:jc w:val="center"/>
        </w:trPr>
        <w:tc>
          <w:tcPr>
            <w:tcW w:w="9582" w:type="dxa"/>
            <w:gridSpan w:val="2"/>
          </w:tcPr>
          <w:p w14:paraId="37593AFE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597C928C" w14:textId="77777777" w:rsidTr="001A6313">
        <w:trPr>
          <w:jc w:val="center"/>
        </w:trPr>
        <w:tc>
          <w:tcPr>
            <w:tcW w:w="9582" w:type="dxa"/>
            <w:gridSpan w:val="2"/>
          </w:tcPr>
          <w:p w14:paraId="25917D31" w14:textId="77777777" w:rsidR="008D4CBD" w:rsidRPr="00026C21" w:rsidRDefault="008D4CBD" w:rsidP="008D4CBD">
            <w:pPr>
              <w:snapToGrid w:val="0"/>
            </w:pPr>
          </w:p>
        </w:tc>
      </w:tr>
      <w:tr w:rsidR="008D4CBD" w:rsidRPr="00026C21" w14:paraId="257C5F73" w14:textId="77777777" w:rsidTr="001A6313">
        <w:trPr>
          <w:jc w:val="center"/>
        </w:trPr>
        <w:tc>
          <w:tcPr>
            <w:tcW w:w="9582" w:type="dxa"/>
            <w:gridSpan w:val="2"/>
          </w:tcPr>
          <w:p w14:paraId="1B0EE538" w14:textId="4D4101AB" w:rsidR="008D4CBD" w:rsidRPr="00026C21" w:rsidRDefault="008D4CBD" w:rsidP="008D4CBD">
            <w:pPr>
              <w:pStyle w:val="Nosaukumi"/>
            </w:pPr>
            <w:r w:rsidRPr="00026C21">
              <w:t>Studiju</w:t>
            </w:r>
            <w:r w:rsidR="000A2D46">
              <w:t xml:space="preserve"> </w:t>
            </w:r>
            <w:r w:rsidRPr="00026C21">
              <w:t>kursa</w:t>
            </w:r>
            <w:r w:rsidR="000A2D46">
              <w:t xml:space="preserve"> </w:t>
            </w:r>
            <w:r w:rsidRPr="00026C21">
              <w:t>anotācija</w:t>
            </w:r>
            <w:r w:rsidR="000A2D46">
              <w:t xml:space="preserve"> </w:t>
            </w:r>
          </w:p>
        </w:tc>
      </w:tr>
      <w:tr w:rsidR="008D4CBD" w:rsidRPr="00026C21" w14:paraId="2FB85345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2F668AE8" w14:textId="6AC463DA" w:rsidR="00017450" w:rsidRDefault="00017450" w:rsidP="00026C21">
            <w:pPr>
              <w:snapToGrid w:val="0"/>
              <w:rPr>
                <w:color w:val="0070C0"/>
              </w:rPr>
            </w:pPr>
            <w:r w:rsidRPr="00481022">
              <w:rPr>
                <w:rFonts w:eastAsia="Times New Roman"/>
                <w:lang w:eastAsia="en-GB"/>
              </w:rPr>
              <w:t>Kurss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ir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paredzēts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profesionālās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augstākās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izglītības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bakalaura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studiju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programmas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„Informācijas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tehnoloģijas”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studentiem.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Studiju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kursa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mērķis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ir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sniegt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studējošiem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zināšanas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par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programmatūras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izstrādes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tiesiskās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kvalitātes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vadības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aspektiem.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Iepazīstināt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ar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autortiesību,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patentiesību</w:t>
            </w:r>
            <w:proofErr w:type="spellEnd"/>
            <w:r w:rsidRPr="00481022">
              <w:rPr>
                <w:rFonts w:eastAsia="Times New Roman"/>
                <w:lang w:eastAsia="en-GB"/>
              </w:rPr>
              <w:t>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fizisko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personu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datu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atklātības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normatīvo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regulējumu,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kā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arī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noziedzīgiem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nodarījumiem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sistēmas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drošības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sfērā.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Teorētiskais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kurss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tiek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apgūts,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ņemot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vērā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studējošo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darba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specifiku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nākotnē.</w:t>
            </w:r>
          </w:p>
          <w:p w14:paraId="0BEBAEBE" w14:textId="610CEFB7" w:rsidR="008D4CBD" w:rsidRPr="002751E6" w:rsidRDefault="008D4CBD" w:rsidP="00026C21">
            <w:pPr>
              <w:snapToGrid w:val="0"/>
            </w:pPr>
            <w:r w:rsidRPr="002751E6">
              <w:t>KURSA</w:t>
            </w:r>
            <w:r w:rsidR="000A2D46" w:rsidRPr="002751E6">
              <w:t xml:space="preserve"> </w:t>
            </w:r>
            <w:r w:rsidRPr="002751E6">
              <w:t>MĒRĶIS:</w:t>
            </w:r>
            <w:r w:rsidR="000A2D46" w:rsidRPr="002751E6">
              <w:t xml:space="preserve"> </w:t>
            </w:r>
          </w:p>
          <w:p w14:paraId="6B9B54EF" w14:textId="45750E70" w:rsidR="008D4CBD" w:rsidRPr="002751E6" w:rsidRDefault="003F7CA7" w:rsidP="00026C21">
            <w:r w:rsidRPr="002751E6">
              <w:t>Sniegt informāciju un praktiskas iemaņas saistībā ar programmatūras izstrādes un lietošanas tiesiskajiem aspektiem.</w:t>
            </w:r>
          </w:p>
          <w:p w14:paraId="41165195" w14:textId="36B7BC20" w:rsidR="008D4CBD" w:rsidRPr="002751E6" w:rsidRDefault="008D4CBD" w:rsidP="00026C21">
            <w:pPr>
              <w:suppressAutoHyphens/>
              <w:autoSpaceDE/>
              <w:autoSpaceDN/>
              <w:adjustRightInd/>
              <w:jc w:val="both"/>
            </w:pPr>
            <w:r w:rsidRPr="002751E6">
              <w:t>KURSA</w:t>
            </w:r>
            <w:r w:rsidR="000A2D46" w:rsidRPr="002751E6">
              <w:t xml:space="preserve"> </w:t>
            </w:r>
            <w:r w:rsidRPr="002751E6">
              <w:t>UZDEVUMI:</w:t>
            </w:r>
            <w:r w:rsidR="000A2D46" w:rsidRPr="002751E6">
              <w:t xml:space="preserve"> </w:t>
            </w:r>
          </w:p>
          <w:p w14:paraId="41B8DE82" w14:textId="07AD7889" w:rsidR="003F7CA7" w:rsidRPr="002751E6" w:rsidRDefault="003F7CA7" w:rsidP="003F7CA7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2751E6">
              <w:rPr>
                <w:color w:val="auto"/>
              </w:rPr>
              <w:t xml:space="preserve">Izpētīt ar IT </w:t>
            </w:r>
            <w:proofErr w:type="spellStart"/>
            <w:r w:rsidRPr="002751E6">
              <w:rPr>
                <w:color w:val="auto"/>
              </w:rPr>
              <w:t>norari</w:t>
            </w:r>
            <w:proofErr w:type="spellEnd"/>
            <w:r w:rsidRPr="002751E6">
              <w:rPr>
                <w:color w:val="auto"/>
              </w:rPr>
              <w:t xml:space="preserve"> </w:t>
            </w:r>
            <w:proofErr w:type="spellStart"/>
            <w:r w:rsidRPr="002751E6">
              <w:rPr>
                <w:color w:val="auto"/>
              </w:rPr>
              <w:t>saistītoes</w:t>
            </w:r>
            <w:proofErr w:type="spellEnd"/>
            <w:r w:rsidRPr="002751E6">
              <w:rPr>
                <w:color w:val="auto"/>
              </w:rPr>
              <w:t xml:space="preserve"> standartus un to ietekmi uz programmatūras kvalitāti;</w:t>
            </w:r>
          </w:p>
          <w:p w14:paraId="798718C2" w14:textId="73313527" w:rsidR="008D4CBD" w:rsidRPr="002751E6" w:rsidRDefault="003F7CA7" w:rsidP="003F7CA7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auto"/>
              </w:rPr>
            </w:pPr>
            <w:r w:rsidRPr="002751E6">
              <w:rPr>
                <w:color w:val="auto"/>
              </w:rPr>
              <w:t>Sniegt zināšanas par IT jomas juridiskajiem aspektiem;</w:t>
            </w:r>
          </w:p>
          <w:p w14:paraId="1044853E" w14:textId="3B6D1249" w:rsidR="003F7CA7" w:rsidRPr="003F7CA7" w:rsidRDefault="003F7CA7" w:rsidP="003F7CA7">
            <w:pPr>
              <w:pStyle w:val="ListParagraph"/>
              <w:numPr>
                <w:ilvl w:val="0"/>
                <w:numId w:val="38"/>
              </w:numPr>
              <w:suppressAutoHyphens/>
              <w:jc w:val="both"/>
              <w:rPr>
                <w:color w:val="0070C0"/>
              </w:rPr>
            </w:pPr>
            <w:r w:rsidRPr="002751E6">
              <w:rPr>
                <w:color w:val="auto"/>
              </w:rPr>
              <w:t>Apgūt izstrādes dokumentācijas izstrādes iemaņas izmantojot standartus.</w:t>
            </w:r>
          </w:p>
        </w:tc>
      </w:tr>
      <w:tr w:rsidR="008D4CBD" w:rsidRPr="00026C21" w14:paraId="5E8B27A4" w14:textId="77777777" w:rsidTr="001A6313">
        <w:trPr>
          <w:jc w:val="center"/>
        </w:trPr>
        <w:tc>
          <w:tcPr>
            <w:tcW w:w="9582" w:type="dxa"/>
            <w:gridSpan w:val="2"/>
          </w:tcPr>
          <w:p w14:paraId="4D5F5D4D" w14:textId="7217CBED" w:rsidR="008D4CBD" w:rsidRPr="00026C21" w:rsidRDefault="008D4CBD" w:rsidP="008D4CBD">
            <w:pPr>
              <w:pStyle w:val="Nosaukumi"/>
            </w:pPr>
            <w:r w:rsidRPr="00026C21">
              <w:t>Studiju</w:t>
            </w:r>
            <w:r w:rsidR="000A2D46">
              <w:t xml:space="preserve"> </w:t>
            </w:r>
            <w:r w:rsidRPr="00026C21">
              <w:t>kursa</w:t>
            </w:r>
            <w:r w:rsidR="000A2D46">
              <w:t xml:space="preserve"> </w:t>
            </w:r>
            <w:r w:rsidRPr="00026C21">
              <w:t>kalendārais</w:t>
            </w:r>
            <w:r w:rsidR="000A2D46">
              <w:t xml:space="preserve"> </w:t>
            </w:r>
            <w:r w:rsidRPr="00026C21">
              <w:t>plāns</w:t>
            </w:r>
          </w:p>
        </w:tc>
      </w:tr>
      <w:tr w:rsidR="008D4CBD" w:rsidRPr="00026C21" w14:paraId="79EB1EB9" w14:textId="77777777" w:rsidTr="001A6313">
        <w:trPr>
          <w:jc w:val="center"/>
        </w:trPr>
        <w:tc>
          <w:tcPr>
            <w:tcW w:w="9582" w:type="dxa"/>
            <w:gridSpan w:val="2"/>
          </w:tcPr>
          <w:p w14:paraId="1B7CA229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07A1880E" w14:textId="42A8C0A9" w:rsidR="008D4CBD" w:rsidRPr="002751E6" w:rsidRDefault="008D4CBD" w:rsidP="00026C21">
            <w:pPr>
              <w:ind w:left="34"/>
              <w:jc w:val="both"/>
              <w:rPr>
                <w:i/>
                <w:lang w:eastAsia="ko-KR"/>
              </w:rPr>
            </w:pPr>
            <w:r w:rsidRPr="002751E6">
              <w:rPr>
                <w:i/>
                <w:lang w:eastAsia="ko-KR"/>
              </w:rPr>
              <w:t>L</w:t>
            </w:r>
            <w:r w:rsidR="000A2D46" w:rsidRPr="002751E6">
              <w:rPr>
                <w:i/>
                <w:lang w:eastAsia="ko-KR"/>
              </w:rPr>
              <w:t xml:space="preserve"> </w:t>
            </w:r>
            <w:r w:rsidRPr="002751E6">
              <w:rPr>
                <w:i/>
                <w:lang w:eastAsia="ko-KR"/>
              </w:rPr>
              <w:t>-</w:t>
            </w:r>
            <w:r w:rsidR="000A2D46" w:rsidRPr="002751E6">
              <w:rPr>
                <w:i/>
                <w:lang w:eastAsia="ko-KR"/>
              </w:rPr>
              <w:t xml:space="preserve">  </w:t>
            </w:r>
            <w:r w:rsidRPr="002751E6">
              <w:rPr>
                <w:i/>
                <w:lang w:eastAsia="ko-KR"/>
              </w:rPr>
              <w:t>lekcija</w:t>
            </w:r>
          </w:p>
          <w:p w14:paraId="6D25AB29" w14:textId="3177CA7B" w:rsidR="003D0E46" w:rsidRDefault="00017450" w:rsidP="003D0E46">
            <w:pPr>
              <w:spacing w:after="160" w:line="259" w:lineRule="auto"/>
              <w:ind w:left="34"/>
              <w:rPr>
                <w:rFonts w:eastAsia="Times New Roman"/>
                <w:lang w:eastAsia="en-GB"/>
              </w:rPr>
            </w:pPr>
            <w:r w:rsidRPr="00481022">
              <w:rPr>
                <w:rFonts w:eastAsia="Times New Roman"/>
                <w:lang w:eastAsia="en-GB"/>
              </w:rPr>
              <w:t>Kursa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struktūra: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lekcijas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32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</w:r>
            <w:r w:rsidRPr="00481022">
              <w:rPr>
                <w:rFonts w:eastAsia="Times New Roman"/>
                <w:lang w:eastAsia="en-GB"/>
              </w:rPr>
              <w:br/>
              <w:t>Lekciju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tēmas: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1.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Kvalitātes</w:t>
            </w:r>
            <w:r w:rsidR="003F7CA7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="003F7CA7">
              <w:rPr>
                <w:rFonts w:eastAsia="Times New Roman"/>
                <w:lang w:eastAsia="en-GB"/>
              </w:rPr>
              <w:t>parvaldības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sistēma,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standarti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ISO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CMM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2.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Programminženierijas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standartu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sistēma</w:t>
            </w:r>
            <w:r w:rsidR="003D0E46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Programmatūras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dokumentācija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</w:r>
            <w:r w:rsidR="003D0E46">
              <w:rPr>
                <w:rFonts w:eastAsia="Times New Roman"/>
                <w:lang w:eastAsia="en-GB"/>
              </w:rPr>
              <w:t>3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Datorprogrammas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koda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noformēšana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br/>
              <w:t>4.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Programmatūras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prasību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specifikācija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(PPS)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3D0E46">
              <w:rPr>
                <w:rFonts w:eastAsia="Times New Roman"/>
                <w:lang w:eastAsia="en-GB"/>
              </w:rPr>
              <w:br/>
              <w:t>5.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Programmatūras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projektējuma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apraksts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(PPA)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</w:r>
            <w:r w:rsidR="003D0E46">
              <w:rPr>
                <w:rFonts w:eastAsia="Times New Roman"/>
                <w:lang w:eastAsia="en-GB"/>
              </w:rPr>
              <w:lastRenderedPageBreak/>
              <w:t>6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Lietotāja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dokumentācija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</w:r>
            <w:r w:rsidR="003D0E46">
              <w:rPr>
                <w:rFonts w:eastAsia="Times New Roman"/>
                <w:lang w:eastAsia="en-GB"/>
              </w:rPr>
              <w:t>7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Dokumenti.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Elektroniskie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dokumenti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ciparparaksts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3D0E46">
              <w:rPr>
                <w:rFonts w:eastAsia="Times New Roman"/>
                <w:lang w:eastAsia="en-GB"/>
              </w:rPr>
              <w:br/>
              <w:t>8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Intelektuālā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īpašuma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pamati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</w:r>
            <w:r w:rsidR="003D0E46">
              <w:rPr>
                <w:rFonts w:eastAsia="Times New Roman"/>
                <w:lang w:eastAsia="en-GB"/>
              </w:rPr>
              <w:t>9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Autortiesības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</w:t>
            </w:r>
            <w:r w:rsidRPr="00481022">
              <w:rPr>
                <w:rFonts w:eastAsia="Times New Roman"/>
                <w:lang w:eastAsia="en-GB"/>
              </w:rPr>
              <w:t>atentu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  <w:t>1</w:t>
            </w:r>
            <w:r w:rsidR="003D0E46">
              <w:rPr>
                <w:rFonts w:eastAsia="Times New Roman"/>
                <w:lang w:eastAsia="en-GB"/>
              </w:rPr>
              <w:t>0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Programmatūras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</w:t>
            </w:r>
            <w:r w:rsidRPr="00481022">
              <w:rPr>
                <w:rFonts w:eastAsia="Times New Roman"/>
                <w:lang w:eastAsia="en-GB"/>
              </w:rPr>
              <w:t>atubāzu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  <w:t>1</w:t>
            </w:r>
            <w:r w:rsidR="003D0E46">
              <w:rPr>
                <w:rFonts w:eastAsia="Times New Roman"/>
                <w:lang w:eastAsia="en-GB"/>
              </w:rPr>
              <w:t>1</w:t>
            </w:r>
            <w:r w:rsidRPr="00481022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pieejamība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Latvijas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Republikas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normatīvajos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tiesību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aktos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  <w:t>12.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pieejamība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starptautiskajos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tiesību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aktos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  <w:t>13.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Fizisko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personu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datu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</w:t>
            </w:r>
            <w:r w:rsidR="003D0E46">
              <w:rPr>
                <w:rFonts w:eastAsia="Times New Roman"/>
                <w:lang w:eastAsia="en-GB"/>
              </w:rPr>
              <w:t>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Vispārējā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datu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aizsardzības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regula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14.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Kibernoziegumi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3D0E46">
              <w:rPr>
                <w:rFonts w:eastAsia="Times New Roman"/>
                <w:lang w:eastAsia="en-GB"/>
              </w:rPr>
              <w:br/>
              <w:t>15.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Darba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tiesības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br/>
              <w:t>16.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Ergonomika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darbā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ar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datoru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(L2).</w:t>
            </w:r>
          </w:p>
          <w:p w14:paraId="29609970" w14:textId="240C67EE" w:rsidR="00017450" w:rsidRPr="003D0E46" w:rsidRDefault="00017450" w:rsidP="003D0E46">
            <w:pPr>
              <w:spacing w:after="160" w:line="259" w:lineRule="auto"/>
              <w:ind w:left="34"/>
              <w:rPr>
                <w:rFonts w:eastAsia="Times New Roman"/>
                <w:lang w:eastAsia="en-GB"/>
              </w:rPr>
            </w:pPr>
            <w:r w:rsidRPr="00481022">
              <w:rPr>
                <w:rFonts w:eastAsia="Times New Roman"/>
                <w:lang w:eastAsia="en-GB"/>
              </w:rPr>
              <w:t>Studējošo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patstāvīgais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darbs: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gatavošanās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lekcijām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(neskaidru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jautājumu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sagatavošana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par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iepriekš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izskatītajiem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tematiem;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gatavošanās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diskusijām);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br/>
            </w:r>
            <w:r w:rsidR="003D0E46" w:rsidRPr="00481022">
              <w:rPr>
                <w:rFonts w:eastAsia="Times New Roman"/>
                <w:lang w:eastAsia="en-GB"/>
              </w:rPr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PPS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 w:rsidRPr="00481022">
              <w:rPr>
                <w:rFonts w:eastAsia="Times New Roman"/>
                <w:lang w:eastAsia="en-GB"/>
              </w:rPr>
              <w:t>izstrāde</w:t>
            </w:r>
            <w:r w:rsidR="003D0E46">
              <w:rPr>
                <w:rFonts w:eastAsia="Times New Roman"/>
                <w:lang w:eastAsia="en-GB"/>
              </w:rPr>
              <w:t>;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gatavošanās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ieskaites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3D0E46">
              <w:rPr>
                <w:rFonts w:eastAsia="Times New Roman"/>
                <w:lang w:eastAsia="en-GB"/>
              </w:rPr>
              <w:t>darbam</w:t>
            </w:r>
            <w:r w:rsidRPr="00481022">
              <w:rPr>
                <w:rFonts w:eastAsia="Times New Roman"/>
                <w:lang w:eastAsia="en-GB"/>
              </w:rPr>
              <w:t>.</w:t>
            </w:r>
          </w:p>
        </w:tc>
      </w:tr>
      <w:tr w:rsidR="008D4CBD" w:rsidRPr="00026C21" w14:paraId="332FE723" w14:textId="77777777" w:rsidTr="001A6313">
        <w:trPr>
          <w:jc w:val="center"/>
        </w:trPr>
        <w:tc>
          <w:tcPr>
            <w:tcW w:w="9582" w:type="dxa"/>
            <w:gridSpan w:val="2"/>
          </w:tcPr>
          <w:p w14:paraId="4C069285" w14:textId="795E0516" w:rsidR="008D4CBD" w:rsidRPr="00026C21" w:rsidRDefault="008D4CBD" w:rsidP="008D4CBD">
            <w:pPr>
              <w:pStyle w:val="Nosaukumi"/>
            </w:pPr>
            <w:r w:rsidRPr="00026C21">
              <w:lastRenderedPageBreak/>
              <w:t>Studiju</w:t>
            </w:r>
            <w:r w:rsidR="000A2D46">
              <w:t xml:space="preserve"> </w:t>
            </w:r>
            <w:r w:rsidRPr="00026C21">
              <w:t>rezultāti</w:t>
            </w:r>
          </w:p>
        </w:tc>
      </w:tr>
      <w:tr w:rsidR="008D4CBD" w:rsidRPr="00026C21" w14:paraId="5EC3688F" w14:textId="77777777" w:rsidTr="001A6313">
        <w:trPr>
          <w:jc w:val="center"/>
        </w:trPr>
        <w:tc>
          <w:tcPr>
            <w:tcW w:w="9582" w:type="dxa"/>
            <w:gridSpan w:val="2"/>
          </w:tcPr>
          <w:p w14:paraId="4FC2F5FE" w14:textId="01B4CF8F" w:rsidR="00017450" w:rsidRDefault="00017450" w:rsidP="00026C2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 w:rsidRPr="00481022">
              <w:rPr>
                <w:lang w:eastAsia="en-GB"/>
              </w:rPr>
              <w:t>Sekmīgi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apgūstot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šo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kursu,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studējošie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izprot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programmatūras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izstrādes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tiesiskās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un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kvalitātes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vadības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aspektus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un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parāda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svarīgāko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jēdzienu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un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likumsakarību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izpratni.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Studējošie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strādā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ar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normatīvo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bāzi: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meklē,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analizē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un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vērtē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Latvijas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Republikas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un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starptautiskos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normatīvos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aktus,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atlasa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atbilstošajai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situācijai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nepieciešamos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normatīvos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aktus.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Identificē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minimāli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nepieciešamu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programmatūras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izstrādes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dokumentu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komplektu.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Argumentēti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diskutē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par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aktuāliem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jautājumiem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informācijas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tehnoloģiju</w:t>
            </w:r>
            <w:r w:rsidR="000A2D46">
              <w:rPr>
                <w:lang w:eastAsia="en-GB"/>
              </w:rPr>
              <w:t xml:space="preserve"> </w:t>
            </w:r>
            <w:r w:rsidRPr="00481022">
              <w:rPr>
                <w:lang w:eastAsia="en-GB"/>
              </w:rPr>
              <w:t>jomā.</w:t>
            </w:r>
          </w:p>
          <w:p w14:paraId="0563E7AB" w14:textId="77777777" w:rsidR="008D4CBD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ZINĀŠANAS:</w:t>
            </w:r>
          </w:p>
          <w:p w14:paraId="64BB4F27" w14:textId="5D33F609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1.</w:t>
            </w:r>
            <w:r w:rsidR="00661EBC" w:rsidRPr="002751E6">
              <w:rPr>
                <w:color w:val="auto"/>
              </w:rPr>
              <w:t xml:space="preserve"> Zina IT jomas darbību reglamentējošos standartus un normatīvos aktus;</w:t>
            </w:r>
          </w:p>
          <w:p w14:paraId="00D888AD" w14:textId="513FD199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2.</w:t>
            </w:r>
            <w:r w:rsidR="00661EBC" w:rsidRPr="002751E6">
              <w:rPr>
                <w:color w:val="auto"/>
              </w:rPr>
              <w:t xml:space="preserve"> Zina dokumentu klasifikāciju, to autentiskuma un uzticamības atribūtus;</w:t>
            </w:r>
          </w:p>
          <w:p w14:paraId="0E0011D8" w14:textId="77777777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PRASMES:</w:t>
            </w:r>
          </w:p>
          <w:p w14:paraId="33B93967" w14:textId="5DD46B03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3.</w:t>
            </w:r>
            <w:r w:rsidR="00661EBC" w:rsidRPr="002751E6">
              <w:rPr>
                <w:color w:val="auto"/>
              </w:rPr>
              <w:t xml:space="preserve"> Prot analizēt, lietot un sagatavot programmatūras izstrādes un uzturēšanas dokumentāciju;</w:t>
            </w:r>
          </w:p>
          <w:p w14:paraId="63DBF0A8" w14:textId="32E2140C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4.</w:t>
            </w:r>
            <w:r w:rsidR="00661EBC" w:rsidRPr="002751E6">
              <w:rPr>
                <w:color w:val="auto"/>
              </w:rPr>
              <w:t xml:space="preserve"> </w:t>
            </w:r>
            <w:r w:rsidR="00F52325" w:rsidRPr="002751E6">
              <w:rPr>
                <w:color w:val="auto"/>
              </w:rPr>
              <w:t>Spēj identificēt intelektuālā īpašuma tiesību riskus un risināt ar tiem saistītās problēmas;</w:t>
            </w:r>
          </w:p>
          <w:p w14:paraId="2627F238" w14:textId="11C2B235" w:rsidR="00F52325" w:rsidRPr="002751E6" w:rsidRDefault="00F52325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 xml:space="preserve">5. </w:t>
            </w:r>
            <w:r w:rsidR="0054585C" w:rsidRPr="002751E6">
              <w:rPr>
                <w:color w:val="auto"/>
              </w:rPr>
              <w:t>Prot veidot un izmantot dokumentus ar ciparparakstu;</w:t>
            </w:r>
          </w:p>
          <w:p w14:paraId="07AC4320" w14:textId="4A3E81C6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KOMPETENCE:</w:t>
            </w:r>
            <w:r w:rsidR="000A2D46" w:rsidRPr="002751E6">
              <w:rPr>
                <w:color w:val="auto"/>
              </w:rPr>
              <w:t xml:space="preserve"> </w:t>
            </w:r>
          </w:p>
          <w:p w14:paraId="39E95606" w14:textId="151C1DFA" w:rsidR="00026C21" w:rsidRPr="002751E6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2751E6">
              <w:rPr>
                <w:color w:val="auto"/>
              </w:rPr>
              <w:t>6.</w:t>
            </w:r>
            <w:r w:rsidR="00387C9A" w:rsidRPr="002751E6">
              <w:rPr>
                <w:color w:val="auto"/>
              </w:rPr>
              <w:t xml:space="preserve"> Spēj prasmīgi izvērtēt, risināt un novērst ar intelektuālā īpašum</w:t>
            </w:r>
            <w:r w:rsidR="0054585C" w:rsidRPr="002751E6">
              <w:rPr>
                <w:color w:val="auto"/>
              </w:rPr>
              <w:t>a izmantošanu</w:t>
            </w:r>
            <w:r w:rsidR="00387C9A" w:rsidRPr="002751E6">
              <w:rPr>
                <w:color w:val="auto"/>
              </w:rPr>
              <w:t xml:space="preserve"> saistīt</w:t>
            </w:r>
            <w:r w:rsidR="0054585C" w:rsidRPr="002751E6">
              <w:rPr>
                <w:color w:val="auto"/>
              </w:rPr>
              <w:t>o</w:t>
            </w:r>
            <w:r w:rsidR="00387C9A" w:rsidRPr="002751E6">
              <w:rPr>
                <w:color w:val="auto"/>
              </w:rPr>
              <w:t xml:space="preserve">s </w:t>
            </w:r>
            <w:r w:rsidR="0054585C" w:rsidRPr="002751E6">
              <w:rPr>
                <w:color w:val="auto"/>
              </w:rPr>
              <w:t>jautājumus</w:t>
            </w:r>
            <w:r w:rsidR="00387C9A" w:rsidRPr="002751E6">
              <w:rPr>
                <w:color w:val="auto"/>
              </w:rPr>
              <w:t>.</w:t>
            </w:r>
          </w:p>
          <w:p w14:paraId="4795F421" w14:textId="3448EE95" w:rsidR="00026C21" w:rsidRPr="00026C21" w:rsidRDefault="00387C9A" w:rsidP="0054585C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 w:rsidRPr="002751E6">
              <w:rPr>
                <w:color w:val="auto"/>
              </w:rPr>
              <w:t>7. Lieto standartus un normatīvos aktus programmatūras izstrādes procesā</w:t>
            </w:r>
            <w:r w:rsidR="0054585C" w:rsidRPr="002751E6">
              <w:rPr>
                <w:color w:val="auto"/>
              </w:rPr>
              <w:t>, darba vides iekārtošanā</w:t>
            </w:r>
            <w:r w:rsidRPr="002751E6">
              <w:rPr>
                <w:color w:val="auto"/>
              </w:rPr>
              <w:t>.</w:t>
            </w:r>
          </w:p>
        </w:tc>
      </w:tr>
      <w:tr w:rsidR="008D4CBD" w:rsidRPr="00026C21" w14:paraId="5154BEEF" w14:textId="77777777" w:rsidTr="001A6313">
        <w:trPr>
          <w:jc w:val="center"/>
        </w:trPr>
        <w:tc>
          <w:tcPr>
            <w:tcW w:w="9582" w:type="dxa"/>
            <w:gridSpan w:val="2"/>
          </w:tcPr>
          <w:p w14:paraId="098F163C" w14:textId="008C30A4" w:rsidR="008D4CBD" w:rsidRPr="00026C21" w:rsidRDefault="008D4CBD" w:rsidP="008D4CBD">
            <w:pPr>
              <w:pStyle w:val="Nosaukumi"/>
            </w:pPr>
            <w:r w:rsidRPr="00026C21">
              <w:t>Studējošo</w:t>
            </w:r>
            <w:r w:rsidR="000A2D46">
              <w:t xml:space="preserve"> </w:t>
            </w:r>
            <w:r w:rsidRPr="00026C21">
              <w:t>patstāvīgo</w:t>
            </w:r>
            <w:r w:rsidR="000A2D46">
              <w:t xml:space="preserve"> </w:t>
            </w:r>
            <w:r w:rsidRPr="00026C21">
              <w:t>darbu</w:t>
            </w:r>
            <w:r w:rsidR="000A2D46">
              <w:t xml:space="preserve"> </w:t>
            </w:r>
            <w:r w:rsidRPr="00026C21">
              <w:t>organizācijas</w:t>
            </w:r>
            <w:r w:rsidR="000A2D46">
              <w:t xml:space="preserve"> </w:t>
            </w:r>
            <w:r w:rsidRPr="00026C21">
              <w:t>un</w:t>
            </w:r>
            <w:r w:rsidR="000A2D46">
              <w:t xml:space="preserve"> </w:t>
            </w:r>
            <w:r w:rsidRPr="00026C21">
              <w:t>uzdevumu</w:t>
            </w:r>
            <w:r w:rsidR="000A2D46">
              <w:t xml:space="preserve"> </w:t>
            </w:r>
            <w:r w:rsidRPr="00026C21">
              <w:t>raksturojums</w:t>
            </w:r>
          </w:p>
        </w:tc>
      </w:tr>
      <w:tr w:rsidR="00026C21" w:rsidRPr="00026C21" w14:paraId="616F4BFB" w14:textId="77777777" w:rsidTr="001A6313">
        <w:trPr>
          <w:jc w:val="center"/>
        </w:trPr>
        <w:tc>
          <w:tcPr>
            <w:tcW w:w="9582" w:type="dxa"/>
            <w:gridSpan w:val="2"/>
          </w:tcPr>
          <w:p w14:paraId="3B2DA713" w14:textId="1C301B13" w:rsidR="00026C21" w:rsidRPr="00026C21" w:rsidRDefault="00A439A0" w:rsidP="00DF49CD">
            <w:pPr>
              <w:spacing w:after="160" w:line="259" w:lineRule="auto"/>
            </w:pPr>
            <w:r w:rsidRPr="00481022">
              <w:rPr>
                <w:rFonts w:eastAsia="Times New Roman"/>
                <w:lang w:eastAsia="en-GB"/>
              </w:rPr>
              <w:t>Studējošo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patstāvīgais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darbs: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-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gatavošanās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lekcijām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(neskaidru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jautājumu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sagatavošana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par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iepriekš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izskatītajiem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tematiem;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gatavošanās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diskusijām);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br/>
            </w:r>
            <w:r w:rsidRPr="00481022">
              <w:rPr>
                <w:rFonts w:eastAsia="Times New Roman"/>
                <w:lang w:eastAsia="en-GB"/>
              </w:rPr>
              <w:t>-</w:t>
            </w:r>
            <w:r>
              <w:rPr>
                <w:rFonts w:eastAsia="Times New Roman"/>
                <w:lang w:eastAsia="en-GB"/>
              </w:rPr>
              <w:t xml:space="preserve"> PPS </w:t>
            </w:r>
            <w:r w:rsidRPr="00481022">
              <w:rPr>
                <w:rFonts w:eastAsia="Times New Roman"/>
                <w:lang w:eastAsia="en-GB"/>
              </w:rPr>
              <w:t>izstrāde</w:t>
            </w:r>
            <w:r>
              <w:rPr>
                <w:rFonts w:eastAsia="Times New Roman"/>
                <w:lang w:eastAsia="en-GB"/>
              </w:rPr>
              <w:t xml:space="preserve">; </w:t>
            </w:r>
            <w:r w:rsidRPr="00481022">
              <w:rPr>
                <w:rFonts w:eastAsia="Times New Roman"/>
                <w:lang w:eastAsia="en-GB"/>
              </w:rPr>
              <w:br/>
              <w:t>-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gatavošanās</w:t>
            </w:r>
            <w:r>
              <w:rPr>
                <w:rFonts w:eastAsia="Times New Roman"/>
                <w:lang w:eastAsia="en-GB"/>
              </w:rPr>
              <w:t xml:space="preserve"> ieskaites darbam</w:t>
            </w:r>
            <w:r w:rsidRPr="00481022">
              <w:rPr>
                <w:rFonts w:eastAsia="Times New Roman"/>
                <w:lang w:eastAsia="en-GB"/>
              </w:rPr>
              <w:t>.</w:t>
            </w:r>
          </w:p>
        </w:tc>
      </w:tr>
      <w:tr w:rsidR="008D4CBD" w:rsidRPr="00026C21" w14:paraId="1E0C64F8" w14:textId="77777777" w:rsidTr="001A6313">
        <w:trPr>
          <w:jc w:val="center"/>
        </w:trPr>
        <w:tc>
          <w:tcPr>
            <w:tcW w:w="9582" w:type="dxa"/>
            <w:gridSpan w:val="2"/>
          </w:tcPr>
          <w:p w14:paraId="05C2D259" w14:textId="37991504" w:rsidR="008D4CBD" w:rsidRPr="00026C21" w:rsidRDefault="008D4CBD" w:rsidP="008D4CBD">
            <w:pPr>
              <w:pStyle w:val="Nosaukumi"/>
            </w:pPr>
            <w:r w:rsidRPr="00026C21">
              <w:t>Prasības</w:t>
            </w:r>
            <w:r w:rsidR="000A2D46">
              <w:t xml:space="preserve"> </w:t>
            </w:r>
            <w:r w:rsidRPr="00026C21">
              <w:t>kredītpunktu</w:t>
            </w:r>
            <w:r w:rsidR="000A2D46">
              <w:t xml:space="preserve"> </w:t>
            </w:r>
            <w:r w:rsidRPr="00026C21">
              <w:t>iegūšanai</w:t>
            </w:r>
          </w:p>
        </w:tc>
      </w:tr>
      <w:tr w:rsidR="008D4CBD" w:rsidRPr="00026C21" w14:paraId="7EE79E97" w14:textId="77777777" w:rsidTr="001A6313">
        <w:trPr>
          <w:jc w:val="center"/>
        </w:trPr>
        <w:tc>
          <w:tcPr>
            <w:tcW w:w="9582" w:type="dxa"/>
            <w:gridSpan w:val="2"/>
          </w:tcPr>
          <w:p w14:paraId="5C8A4041" w14:textId="77777777" w:rsidR="008D4CBD" w:rsidRDefault="008D4CBD" w:rsidP="008D4CBD">
            <w:pPr>
              <w:rPr>
                <w:color w:val="0070C0"/>
              </w:rPr>
            </w:pPr>
          </w:p>
          <w:p w14:paraId="3ECFE65D" w14:textId="55395FC6" w:rsidR="00026C21" w:rsidRDefault="00017450" w:rsidP="008D4CBD">
            <w:pPr>
              <w:rPr>
                <w:color w:val="0070C0"/>
              </w:rPr>
            </w:pPr>
            <w:r w:rsidRPr="00481022">
              <w:rPr>
                <w:rFonts w:eastAsia="Times New Roman"/>
                <w:lang w:eastAsia="en-GB"/>
              </w:rPr>
              <w:t>Diferencētā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ieskaite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</w:r>
            <w:r w:rsidR="0054585C">
              <w:rPr>
                <w:rFonts w:eastAsia="Times New Roman"/>
                <w:lang w:eastAsia="en-GB"/>
              </w:rPr>
              <w:t xml:space="preserve">1. </w:t>
            </w:r>
            <w:proofErr w:type="spellStart"/>
            <w:r w:rsidR="0054585C" w:rsidRPr="00481022">
              <w:rPr>
                <w:rFonts w:eastAsia="Times New Roman"/>
                <w:lang w:eastAsia="en-GB"/>
              </w:rPr>
              <w:t>starppārbaudījums</w:t>
            </w:r>
            <w:proofErr w:type="spellEnd"/>
            <w:r w:rsidR="0054585C">
              <w:rPr>
                <w:rFonts w:eastAsia="Times New Roman"/>
                <w:lang w:eastAsia="en-GB"/>
              </w:rPr>
              <w:t xml:space="preserve"> </w:t>
            </w:r>
            <w:r w:rsidR="0054585C" w:rsidRPr="00481022">
              <w:rPr>
                <w:rFonts w:eastAsia="Times New Roman"/>
                <w:lang w:eastAsia="en-GB"/>
              </w:rPr>
              <w:t>–</w:t>
            </w:r>
            <w:r w:rsidR="0054585C">
              <w:rPr>
                <w:rFonts w:eastAsia="Times New Roman"/>
                <w:lang w:eastAsia="en-GB"/>
              </w:rPr>
              <w:t xml:space="preserve"> Kontroldarbs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–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20%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</w:r>
            <w:r w:rsidR="0054585C">
              <w:rPr>
                <w:rFonts w:eastAsia="Times New Roman"/>
                <w:lang w:eastAsia="en-GB"/>
              </w:rPr>
              <w:lastRenderedPageBreak/>
              <w:t>2.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starppārbaudījums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–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661EBC">
              <w:rPr>
                <w:rFonts w:eastAsia="Times New Roman"/>
                <w:lang w:eastAsia="en-GB"/>
              </w:rPr>
              <w:t>PPS izstrāde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30%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br/>
              <w:t>Kursa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pārbaudījums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–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ieskaite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50%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Pārbaudījums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(rakstveida</w:t>
            </w:r>
            <w:r w:rsidR="00661EBC">
              <w:rPr>
                <w:rFonts w:eastAsia="Times New Roman"/>
                <w:lang w:eastAsia="en-GB"/>
              </w:rPr>
              <w:t xml:space="preserve"> vai tiešsaistes</w:t>
            </w:r>
            <w:r w:rsidRPr="00481022">
              <w:rPr>
                <w:rFonts w:eastAsia="Times New Roman"/>
                <w:lang w:eastAsia="en-GB"/>
              </w:rPr>
              <w:t>)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tests</w:t>
            </w:r>
          </w:p>
          <w:p w14:paraId="057D6938" w14:textId="77777777" w:rsidR="00026C21" w:rsidRPr="00026C21" w:rsidRDefault="00026C21" w:rsidP="008D4CBD">
            <w:pPr>
              <w:rPr>
                <w:color w:val="0070C0"/>
              </w:rPr>
            </w:pPr>
          </w:p>
          <w:p w14:paraId="373A4AD5" w14:textId="12FA95F5" w:rsidR="008D4CBD" w:rsidRPr="002751E6" w:rsidRDefault="008D4CBD" w:rsidP="008D4CBD">
            <w:r w:rsidRPr="002751E6">
              <w:t>STUDIJU</w:t>
            </w:r>
            <w:r w:rsidR="000A2D46" w:rsidRPr="002751E6">
              <w:t xml:space="preserve"> </w:t>
            </w:r>
            <w:r w:rsidRPr="002751E6">
              <w:t>REZULTĀTU</w:t>
            </w:r>
            <w:r w:rsidR="000A2D46" w:rsidRPr="002751E6">
              <w:t xml:space="preserve"> </w:t>
            </w:r>
            <w:r w:rsidRPr="002751E6">
              <w:t>VĒRTĒŠANAS</w:t>
            </w:r>
            <w:r w:rsidR="000A2D46" w:rsidRPr="002751E6">
              <w:t xml:space="preserve"> </w:t>
            </w:r>
            <w:r w:rsidRPr="002751E6">
              <w:t>KRITĒRIJI</w:t>
            </w:r>
          </w:p>
          <w:p w14:paraId="52559DC7" w14:textId="77777777" w:rsidR="008D4CBD" w:rsidRPr="002751E6" w:rsidRDefault="008D4CBD" w:rsidP="008D4CBD"/>
          <w:p w14:paraId="3992B150" w14:textId="54F080A9" w:rsidR="008D4CBD" w:rsidRPr="002751E6" w:rsidRDefault="008D4CBD" w:rsidP="008D4CBD">
            <w:pPr>
              <w:rPr>
                <w:rFonts w:eastAsia="Times New Roman"/>
              </w:rPr>
            </w:pPr>
            <w:r w:rsidRPr="002751E6">
              <w:t>Studiju</w:t>
            </w:r>
            <w:r w:rsidR="000A2D46" w:rsidRPr="002751E6">
              <w:t xml:space="preserve"> </w:t>
            </w:r>
            <w:r w:rsidRPr="002751E6">
              <w:t>kursa</w:t>
            </w:r>
            <w:r w:rsidR="000A2D46" w:rsidRPr="002751E6">
              <w:t xml:space="preserve"> </w:t>
            </w:r>
            <w:r w:rsidRPr="002751E6">
              <w:t>apguve</w:t>
            </w:r>
            <w:r w:rsidR="000A2D46" w:rsidRPr="002751E6">
              <w:t xml:space="preserve"> </w:t>
            </w:r>
            <w:r w:rsidRPr="002751E6">
              <w:t>tā</w:t>
            </w:r>
            <w:r w:rsidR="000A2D46" w:rsidRPr="002751E6">
              <w:t xml:space="preserve"> </w:t>
            </w:r>
            <w:r w:rsidRPr="002751E6">
              <w:t>noslēgumā</w:t>
            </w:r>
            <w:r w:rsidR="000A2D46" w:rsidRPr="002751E6">
              <w:t xml:space="preserve"> </w:t>
            </w:r>
            <w:r w:rsidRPr="002751E6">
              <w:t>tiek</w:t>
            </w:r>
            <w:r w:rsidR="000A2D46" w:rsidRPr="002751E6">
              <w:t xml:space="preserve"> </w:t>
            </w:r>
            <w:r w:rsidRPr="002751E6">
              <w:t>vērtēta</w:t>
            </w:r>
            <w:r w:rsidR="000A2D46" w:rsidRPr="002751E6">
              <w:t xml:space="preserve"> </w:t>
            </w:r>
            <w:r w:rsidRPr="002751E6">
              <w:t>10</w:t>
            </w:r>
            <w:r w:rsidR="000A2D46" w:rsidRPr="002751E6">
              <w:t xml:space="preserve"> </w:t>
            </w:r>
            <w:r w:rsidRPr="002751E6">
              <w:t>ballu</w:t>
            </w:r>
            <w:r w:rsidR="000A2D46" w:rsidRPr="002751E6">
              <w:t xml:space="preserve"> </w:t>
            </w:r>
            <w:r w:rsidRPr="002751E6">
              <w:t>skalā</w:t>
            </w:r>
            <w:r w:rsidR="000A2D46" w:rsidRPr="002751E6">
              <w:t xml:space="preserve"> </w:t>
            </w:r>
            <w:r w:rsidRPr="002751E6">
              <w:t>saskaņā</w:t>
            </w:r>
            <w:r w:rsidR="000A2D46" w:rsidRPr="002751E6">
              <w:t xml:space="preserve"> </w:t>
            </w:r>
            <w:r w:rsidRPr="002751E6">
              <w:t>ar</w:t>
            </w:r>
            <w:r w:rsidR="000A2D46" w:rsidRPr="002751E6">
              <w:t xml:space="preserve"> </w:t>
            </w:r>
            <w:r w:rsidRPr="002751E6">
              <w:t>Latvijas</w:t>
            </w:r>
            <w:r w:rsidR="000A2D46" w:rsidRPr="002751E6">
              <w:t xml:space="preserve"> </w:t>
            </w:r>
            <w:r w:rsidRPr="002751E6">
              <w:t>Republikas</w:t>
            </w:r>
            <w:r w:rsidR="000A2D46" w:rsidRPr="002751E6">
              <w:t xml:space="preserve">  </w:t>
            </w:r>
            <w:r w:rsidRPr="002751E6">
              <w:t>normatīvajiem</w:t>
            </w:r>
            <w:r w:rsidR="000A2D46" w:rsidRPr="002751E6">
              <w:t xml:space="preserve"> </w:t>
            </w:r>
            <w:r w:rsidRPr="002751E6">
              <w:t>aktiem</w:t>
            </w:r>
            <w:r w:rsidR="000A2D46" w:rsidRPr="002751E6">
              <w:t xml:space="preserve"> </w:t>
            </w:r>
            <w:r w:rsidRPr="002751E6">
              <w:t>un</w:t>
            </w:r>
            <w:r w:rsidR="000A2D46" w:rsidRPr="002751E6">
              <w:t xml:space="preserve"> </w:t>
            </w:r>
            <w:r w:rsidRPr="002751E6">
              <w:t>atbilstoši</w:t>
            </w:r>
            <w:r w:rsidR="000A2D46" w:rsidRPr="002751E6">
              <w:t xml:space="preserve"> </w:t>
            </w:r>
            <w:r w:rsidRPr="002751E6">
              <w:t>"Nolikumam</w:t>
            </w:r>
            <w:r w:rsidR="000A2D46" w:rsidRPr="002751E6">
              <w:t xml:space="preserve"> </w:t>
            </w:r>
            <w:r w:rsidRPr="002751E6">
              <w:t>par</w:t>
            </w:r>
            <w:r w:rsidR="000A2D46" w:rsidRPr="002751E6">
              <w:t xml:space="preserve"> </w:t>
            </w:r>
            <w:r w:rsidRPr="002751E6">
              <w:t>studijām</w:t>
            </w:r>
            <w:r w:rsidR="000A2D46" w:rsidRPr="002751E6">
              <w:t xml:space="preserve"> </w:t>
            </w:r>
            <w:r w:rsidRPr="002751E6">
              <w:t>Daugavpils</w:t>
            </w:r>
            <w:r w:rsidR="000A2D46" w:rsidRPr="002751E6">
              <w:t xml:space="preserve"> </w:t>
            </w:r>
            <w:r w:rsidRPr="002751E6">
              <w:t>Universitātē"</w:t>
            </w:r>
            <w:r w:rsidR="000A2D46" w:rsidRPr="002751E6">
              <w:t xml:space="preserve"> </w:t>
            </w:r>
            <w:r w:rsidRPr="002751E6">
              <w:t>(apstiprināts</w:t>
            </w:r>
            <w:r w:rsidR="000A2D46" w:rsidRPr="002751E6">
              <w:t xml:space="preserve"> </w:t>
            </w:r>
            <w:r w:rsidRPr="002751E6">
              <w:t>DU</w:t>
            </w:r>
            <w:r w:rsidR="000A2D46" w:rsidRPr="002751E6">
              <w:t xml:space="preserve"> </w:t>
            </w:r>
            <w:r w:rsidRPr="002751E6">
              <w:t>Senāta</w:t>
            </w:r>
            <w:r w:rsidR="000A2D46" w:rsidRPr="002751E6">
              <w:t xml:space="preserve"> </w:t>
            </w:r>
            <w:r w:rsidRPr="002751E6">
              <w:t>sēdē</w:t>
            </w:r>
            <w:r w:rsidR="000A2D46" w:rsidRPr="002751E6">
              <w:t xml:space="preserve"> </w:t>
            </w:r>
            <w:r w:rsidRPr="002751E6">
              <w:t>17.12.2018.,</w:t>
            </w:r>
            <w:r w:rsidR="000A2D46" w:rsidRPr="002751E6">
              <w:t xml:space="preserve">  </w:t>
            </w:r>
            <w:r w:rsidRPr="002751E6">
              <w:t>protokols</w:t>
            </w:r>
            <w:r w:rsidR="000A2D46" w:rsidRPr="002751E6">
              <w:t xml:space="preserve"> </w:t>
            </w:r>
            <w:r w:rsidRPr="002751E6">
              <w:t>Nr.</w:t>
            </w:r>
            <w:r w:rsidR="000A2D46" w:rsidRPr="002751E6">
              <w:t xml:space="preserve"> </w:t>
            </w:r>
            <w:r w:rsidRPr="002751E6">
              <w:t>15),</w:t>
            </w:r>
            <w:r w:rsidR="000A2D46" w:rsidRPr="002751E6">
              <w:t xml:space="preserve"> </w:t>
            </w:r>
            <w:r w:rsidRPr="002751E6">
              <w:t>vadoties</w:t>
            </w:r>
            <w:r w:rsidR="000A2D46" w:rsidRPr="002751E6">
              <w:t xml:space="preserve"> </w:t>
            </w:r>
            <w:r w:rsidRPr="002751E6">
              <w:t>pēc</w:t>
            </w:r>
            <w:r w:rsidR="000A2D46" w:rsidRPr="002751E6">
              <w:t xml:space="preserve"> </w:t>
            </w:r>
            <w:r w:rsidRPr="002751E6">
              <w:t>šādiem</w:t>
            </w:r>
            <w:r w:rsidR="000A2D46" w:rsidRPr="002751E6">
              <w:t xml:space="preserve"> </w:t>
            </w:r>
            <w:r w:rsidRPr="002751E6">
              <w:t>kritērijiem:</w:t>
            </w:r>
            <w:r w:rsidR="000A2D46" w:rsidRPr="002751E6">
              <w:t xml:space="preserve"> </w:t>
            </w:r>
            <w:r w:rsidRPr="002751E6">
              <w:t>iegūto</w:t>
            </w:r>
            <w:r w:rsidR="000A2D46" w:rsidRPr="002751E6">
              <w:t xml:space="preserve"> </w:t>
            </w:r>
            <w:r w:rsidRPr="002751E6">
              <w:t>zināšanu</w:t>
            </w:r>
            <w:r w:rsidR="000A2D46" w:rsidRPr="002751E6">
              <w:t xml:space="preserve"> </w:t>
            </w:r>
            <w:r w:rsidRPr="002751E6">
              <w:t>apjoms</w:t>
            </w:r>
            <w:r w:rsidR="000A2D46" w:rsidRPr="002751E6">
              <w:t xml:space="preserve"> </w:t>
            </w:r>
            <w:r w:rsidRPr="002751E6">
              <w:t>un</w:t>
            </w:r>
            <w:r w:rsidR="000A2D46" w:rsidRPr="002751E6">
              <w:t xml:space="preserve"> </w:t>
            </w:r>
            <w:r w:rsidRPr="002751E6">
              <w:t>kvalitāte,</w:t>
            </w:r>
            <w:r w:rsidR="000A2D46" w:rsidRPr="002751E6">
              <w:t xml:space="preserve"> </w:t>
            </w:r>
            <w:r w:rsidRPr="002751E6">
              <w:t>iegūtās</w:t>
            </w:r>
            <w:r w:rsidR="000A2D46" w:rsidRPr="002751E6">
              <w:t xml:space="preserve"> </w:t>
            </w:r>
            <w:r w:rsidRPr="002751E6">
              <w:t>prasmes</w:t>
            </w:r>
            <w:r w:rsidR="000A2D46" w:rsidRPr="002751E6">
              <w:t xml:space="preserve"> </w:t>
            </w:r>
            <w:r w:rsidRPr="002751E6">
              <w:t>un</w:t>
            </w:r>
            <w:r w:rsidR="000A2D46" w:rsidRPr="002751E6">
              <w:t xml:space="preserve"> </w:t>
            </w:r>
            <w:r w:rsidRPr="002751E6">
              <w:t>kompetence</w:t>
            </w:r>
            <w:r w:rsidR="000A2D46" w:rsidRPr="002751E6">
              <w:t xml:space="preserve"> </w:t>
            </w:r>
            <w:r w:rsidRPr="002751E6">
              <w:t>atbilstoši</w:t>
            </w:r>
            <w:r w:rsidR="000A2D46" w:rsidRPr="002751E6">
              <w:t xml:space="preserve"> </w:t>
            </w:r>
            <w:r w:rsidRPr="002751E6">
              <w:t>plānotajiem</w:t>
            </w:r>
            <w:r w:rsidR="000A2D46" w:rsidRPr="002751E6">
              <w:t xml:space="preserve"> </w:t>
            </w:r>
            <w:r w:rsidRPr="002751E6">
              <w:t>studiju</w:t>
            </w:r>
            <w:r w:rsidR="000A2D46" w:rsidRPr="002751E6">
              <w:t xml:space="preserve"> </w:t>
            </w:r>
            <w:r w:rsidRPr="002751E6">
              <w:t>rezultātiem.</w:t>
            </w:r>
            <w:r w:rsidR="000A2D46" w:rsidRPr="002751E6">
              <w:t xml:space="preserve"> </w:t>
            </w:r>
          </w:p>
          <w:p w14:paraId="4BA9119E" w14:textId="77777777" w:rsidR="008D4CBD" w:rsidRPr="002751E6" w:rsidRDefault="008D4CBD" w:rsidP="008D4CBD"/>
          <w:p w14:paraId="3015C626" w14:textId="77777777" w:rsidR="008D4CBD" w:rsidRPr="002751E6" w:rsidRDefault="008D4CBD" w:rsidP="008D4CBD"/>
          <w:p w14:paraId="4E5F5AEC" w14:textId="59E51F0E" w:rsidR="008D4CBD" w:rsidRPr="002751E6" w:rsidRDefault="008D4CBD" w:rsidP="008D4CBD">
            <w:r w:rsidRPr="002751E6">
              <w:t>STUDIJU</w:t>
            </w:r>
            <w:r w:rsidR="000A2D46" w:rsidRPr="002751E6">
              <w:t xml:space="preserve"> </w:t>
            </w:r>
            <w:r w:rsidRPr="002751E6">
              <w:t>REZULTĀTU</w:t>
            </w:r>
            <w:r w:rsidR="000A2D46" w:rsidRPr="002751E6">
              <w:t xml:space="preserve"> </w:t>
            </w:r>
            <w:r w:rsidRPr="002751E6">
              <w:t>VĒRTĒŠANA</w:t>
            </w:r>
          </w:p>
          <w:p w14:paraId="3B2FF5A3" w14:textId="77777777" w:rsidR="008D4CBD" w:rsidRPr="002751E6" w:rsidRDefault="008D4CBD" w:rsidP="008D4CBD"/>
          <w:tbl>
            <w:tblPr>
              <w:tblW w:w="664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  <w:gridCol w:w="562"/>
            </w:tblGrid>
            <w:tr w:rsidR="002751E6" w:rsidRPr="002751E6" w14:paraId="67BF141D" w14:textId="3F63B8A1" w:rsidTr="00560E60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EF4941" w14:textId="082CB5ED" w:rsidR="0054585C" w:rsidRPr="002751E6" w:rsidRDefault="0054585C" w:rsidP="008D4CBD">
                  <w:pPr>
                    <w:jc w:val="center"/>
                  </w:pPr>
                  <w:r w:rsidRPr="002751E6">
                    <w:t>Pārbaudījumu veidi</w:t>
                  </w:r>
                </w:p>
              </w:tc>
              <w:tc>
                <w:tcPr>
                  <w:tcW w:w="3925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FAEDFBD" w14:textId="21E8A6F5" w:rsidR="0054585C" w:rsidRPr="002751E6" w:rsidRDefault="0054585C" w:rsidP="008D4CBD">
                  <w:pPr>
                    <w:jc w:val="center"/>
                  </w:pPr>
                  <w:r w:rsidRPr="002751E6">
                    <w:t>Studiju rezultāti</w:t>
                  </w:r>
                </w:p>
              </w:tc>
            </w:tr>
            <w:tr w:rsidR="002751E6" w:rsidRPr="002751E6" w14:paraId="0BF4616B" w14:textId="22CA3B0A" w:rsidTr="0054585C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73971F" w14:textId="77777777" w:rsidR="0054585C" w:rsidRPr="002751E6" w:rsidRDefault="0054585C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793A07" w14:textId="77777777" w:rsidR="0054585C" w:rsidRPr="002751E6" w:rsidRDefault="0054585C" w:rsidP="008D4CBD">
                  <w:pPr>
                    <w:jc w:val="center"/>
                  </w:pPr>
                  <w:r w:rsidRPr="002751E6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B42078" w14:textId="77777777" w:rsidR="0054585C" w:rsidRPr="002751E6" w:rsidRDefault="0054585C" w:rsidP="008D4CBD">
                  <w:pPr>
                    <w:jc w:val="center"/>
                  </w:pPr>
                  <w:r w:rsidRPr="002751E6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74E743D" w14:textId="77777777" w:rsidR="0054585C" w:rsidRPr="002751E6" w:rsidRDefault="0054585C" w:rsidP="008D4CBD">
                  <w:pPr>
                    <w:jc w:val="center"/>
                  </w:pPr>
                  <w:r w:rsidRPr="002751E6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CDF710" w14:textId="77777777" w:rsidR="0054585C" w:rsidRPr="002751E6" w:rsidRDefault="0054585C" w:rsidP="008D4CBD">
                  <w:pPr>
                    <w:jc w:val="center"/>
                  </w:pPr>
                  <w:r w:rsidRPr="002751E6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8C15C6" w14:textId="77777777" w:rsidR="0054585C" w:rsidRPr="002751E6" w:rsidRDefault="0054585C" w:rsidP="008D4CBD">
                  <w:pPr>
                    <w:jc w:val="center"/>
                  </w:pPr>
                  <w:r w:rsidRPr="002751E6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2C3B87" w14:textId="77777777" w:rsidR="0054585C" w:rsidRPr="002751E6" w:rsidRDefault="0054585C" w:rsidP="008D4CBD">
                  <w:pPr>
                    <w:jc w:val="center"/>
                  </w:pPr>
                  <w:r w:rsidRPr="002751E6"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47BF55" w14:textId="0C216D57" w:rsidR="0054585C" w:rsidRPr="002751E6" w:rsidRDefault="0054585C" w:rsidP="008D4CBD">
                  <w:pPr>
                    <w:jc w:val="center"/>
                  </w:pPr>
                  <w:r w:rsidRPr="002751E6">
                    <w:t>7.</w:t>
                  </w:r>
                </w:p>
              </w:tc>
            </w:tr>
            <w:tr w:rsidR="002751E6" w:rsidRPr="002751E6" w14:paraId="24531499" w14:textId="3283EB68" w:rsidTr="0054585C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4A0244" w14:textId="77777777" w:rsidR="0054585C" w:rsidRPr="002751E6" w:rsidRDefault="0054585C" w:rsidP="008D4CBD">
                  <w:r w:rsidRPr="002751E6">
                    <w:t>1.starppārbaudījums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45AD9D" w14:textId="72B6BAA3" w:rsidR="0054585C" w:rsidRPr="002751E6" w:rsidRDefault="0054585C" w:rsidP="008D4CBD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2241BD" w14:textId="6722EF9B" w:rsidR="0054585C" w:rsidRPr="002751E6" w:rsidRDefault="0054585C" w:rsidP="008D4CBD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0EA77" w14:textId="77777777" w:rsidR="0054585C" w:rsidRPr="002751E6" w:rsidRDefault="0054585C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6FCC57" w14:textId="77777777" w:rsidR="0054585C" w:rsidRPr="002751E6" w:rsidRDefault="0054585C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FF2235" w14:textId="6AACCFF4" w:rsidR="0054585C" w:rsidRPr="002751E6" w:rsidRDefault="0054585C" w:rsidP="008D4CBD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D04E26" w14:textId="77777777" w:rsidR="0054585C" w:rsidRPr="002751E6" w:rsidRDefault="0054585C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EAD238" w14:textId="77777777" w:rsidR="0054585C" w:rsidRPr="002751E6" w:rsidRDefault="0054585C" w:rsidP="008D4CBD">
                  <w:pPr>
                    <w:jc w:val="center"/>
                  </w:pPr>
                </w:p>
              </w:tc>
            </w:tr>
            <w:tr w:rsidR="002751E6" w:rsidRPr="002751E6" w14:paraId="23C2B875" w14:textId="108F753B" w:rsidTr="0054585C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49F0C0" w14:textId="77777777" w:rsidR="0054585C" w:rsidRPr="002751E6" w:rsidRDefault="0054585C" w:rsidP="00026C21">
                  <w:r w:rsidRPr="002751E6">
                    <w:t>2.starppārbaudījums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A5ADF3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0EFF98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704C86" w14:textId="424EF8D5" w:rsidR="0054585C" w:rsidRPr="002751E6" w:rsidRDefault="0054585C" w:rsidP="00026C21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349681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7ECD4B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96AEF6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910577" w14:textId="77777777" w:rsidR="0054585C" w:rsidRPr="002751E6" w:rsidRDefault="0054585C" w:rsidP="00026C21">
                  <w:pPr>
                    <w:jc w:val="center"/>
                  </w:pPr>
                </w:p>
              </w:tc>
            </w:tr>
            <w:tr w:rsidR="002751E6" w:rsidRPr="002751E6" w14:paraId="1E881E25" w14:textId="588B8670" w:rsidTr="0054585C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2B36FA" w14:textId="22E446A9" w:rsidR="0054585C" w:rsidRPr="002751E6" w:rsidRDefault="0054585C" w:rsidP="00026C21">
                  <w:r w:rsidRPr="002751E6">
                    <w:t>Kursa 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E8B977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1FB6E4" w14:textId="3F7B6C0E" w:rsidR="0054585C" w:rsidRPr="002751E6" w:rsidRDefault="0054585C" w:rsidP="00026C21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B81490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F9AC28" w14:textId="7CED2CC0" w:rsidR="0054585C" w:rsidRPr="002751E6" w:rsidRDefault="0054585C" w:rsidP="00026C21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4E5E30" w14:textId="77777777" w:rsidR="0054585C" w:rsidRPr="002751E6" w:rsidRDefault="0054585C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80213F" w14:textId="6CF5A311" w:rsidR="0054585C" w:rsidRPr="002751E6" w:rsidRDefault="0054585C" w:rsidP="00026C21">
                  <w:pPr>
                    <w:jc w:val="center"/>
                  </w:pPr>
                  <w:r w:rsidRPr="002751E6">
                    <w:t>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B15937" w14:textId="267DB452" w:rsidR="0054585C" w:rsidRPr="002751E6" w:rsidRDefault="0054585C" w:rsidP="00026C21">
                  <w:pPr>
                    <w:jc w:val="center"/>
                  </w:pPr>
                  <w:r w:rsidRPr="002751E6">
                    <w:t>X</w:t>
                  </w:r>
                </w:p>
              </w:tc>
            </w:tr>
          </w:tbl>
          <w:p w14:paraId="66F92404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47FFC9D5" w14:textId="77777777" w:rsidTr="001A6313">
        <w:trPr>
          <w:jc w:val="center"/>
        </w:trPr>
        <w:tc>
          <w:tcPr>
            <w:tcW w:w="9582" w:type="dxa"/>
            <w:gridSpan w:val="2"/>
          </w:tcPr>
          <w:p w14:paraId="16BC11B3" w14:textId="0FB54FA7" w:rsidR="008D4CBD" w:rsidRPr="00026C21" w:rsidRDefault="008D4CBD" w:rsidP="008D4CBD">
            <w:pPr>
              <w:pStyle w:val="Nosaukumi"/>
            </w:pPr>
            <w:r w:rsidRPr="00026C21">
              <w:lastRenderedPageBreak/>
              <w:t>Kursa</w:t>
            </w:r>
            <w:r w:rsidR="000A2D46">
              <w:t xml:space="preserve"> </w:t>
            </w:r>
            <w:r w:rsidRPr="00026C21">
              <w:t>saturs</w:t>
            </w:r>
          </w:p>
        </w:tc>
      </w:tr>
      <w:tr w:rsidR="00026C21" w:rsidRPr="00026C21" w14:paraId="07811E3A" w14:textId="77777777" w:rsidTr="001A6313">
        <w:trPr>
          <w:jc w:val="center"/>
        </w:trPr>
        <w:tc>
          <w:tcPr>
            <w:tcW w:w="9582" w:type="dxa"/>
            <w:gridSpan w:val="2"/>
          </w:tcPr>
          <w:p w14:paraId="3AEEC6FF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7554FD93" w14:textId="67E8BE53" w:rsidR="00026C21" w:rsidRPr="00026C21" w:rsidRDefault="00017450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  <w:r w:rsidRPr="00481022">
              <w:rPr>
                <w:rFonts w:eastAsia="Times New Roman"/>
                <w:lang w:eastAsia="en-GB"/>
              </w:rPr>
              <w:t>Programmatūras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izstrādes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tiesiskās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kvalitātes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vadības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aspekti.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Autortiesību,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patentiesību</w:t>
            </w:r>
            <w:proofErr w:type="spellEnd"/>
            <w:r w:rsidRPr="00481022">
              <w:rPr>
                <w:rFonts w:eastAsia="Times New Roman"/>
                <w:lang w:eastAsia="en-GB"/>
              </w:rPr>
              <w:t>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fizisko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personu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datu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un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atklātības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normatīvais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regulējums.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Noziedzīgie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nodarījumi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sistēmas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drošības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sfērā.</w:t>
            </w:r>
          </w:p>
          <w:p w14:paraId="5890E18B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49297620" w14:textId="7C0027FB" w:rsidR="00026C21" w:rsidRPr="002751E6" w:rsidRDefault="00026C21" w:rsidP="00026C21">
            <w:pPr>
              <w:ind w:left="34"/>
              <w:jc w:val="both"/>
              <w:rPr>
                <w:i/>
                <w:lang w:eastAsia="ko-KR"/>
              </w:rPr>
            </w:pPr>
            <w:r w:rsidRPr="002751E6">
              <w:rPr>
                <w:i/>
                <w:lang w:eastAsia="ko-KR"/>
              </w:rPr>
              <w:t>L</w:t>
            </w:r>
            <w:r w:rsidR="000A2D46" w:rsidRPr="002751E6">
              <w:rPr>
                <w:i/>
                <w:lang w:eastAsia="ko-KR"/>
              </w:rPr>
              <w:t xml:space="preserve"> </w:t>
            </w:r>
            <w:r w:rsidRPr="002751E6">
              <w:rPr>
                <w:i/>
                <w:lang w:eastAsia="ko-KR"/>
              </w:rPr>
              <w:t>-</w:t>
            </w:r>
            <w:r w:rsidR="000A2D46" w:rsidRPr="002751E6">
              <w:rPr>
                <w:i/>
                <w:lang w:eastAsia="ko-KR"/>
              </w:rPr>
              <w:t xml:space="preserve">  </w:t>
            </w:r>
            <w:r w:rsidRPr="002751E6">
              <w:rPr>
                <w:i/>
                <w:lang w:eastAsia="ko-KR"/>
              </w:rPr>
              <w:t>lekcija</w:t>
            </w:r>
          </w:p>
          <w:p w14:paraId="658DAF0B" w14:textId="03953581" w:rsidR="00661EBC" w:rsidRPr="00026C21" w:rsidRDefault="00661EBC" w:rsidP="00026C21">
            <w:pPr>
              <w:spacing w:after="160" w:line="259" w:lineRule="auto"/>
              <w:ind w:left="34"/>
              <w:rPr>
                <w:color w:val="0070C0"/>
              </w:rPr>
            </w:pPr>
            <w:r w:rsidRPr="00481022">
              <w:rPr>
                <w:rFonts w:eastAsia="Times New Roman"/>
                <w:lang w:eastAsia="en-GB"/>
              </w:rPr>
              <w:t>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Kvalitātes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sistēma,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standarti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ISO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un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CMM</w:t>
            </w:r>
            <w:r>
              <w:rPr>
                <w:rFonts w:eastAsia="Times New Roman"/>
                <w:lang w:eastAsia="en-GB"/>
              </w:rPr>
              <w:t xml:space="preserve"> (L2); </w:t>
            </w:r>
            <w:r w:rsidRPr="00481022">
              <w:rPr>
                <w:rFonts w:eastAsia="Times New Roman"/>
                <w:lang w:eastAsia="en-GB"/>
              </w:rPr>
              <w:br/>
              <w:t>2.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Programminženierijas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standartu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sistēma</w:t>
            </w:r>
            <w:r>
              <w:rPr>
                <w:rFonts w:eastAsia="Times New Roman"/>
                <w:lang w:eastAsia="en-GB"/>
              </w:rPr>
              <w:t xml:space="preserve">. </w:t>
            </w:r>
            <w:r w:rsidRPr="00481022">
              <w:rPr>
                <w:rFonts w:eastAsia="Times New Roman"/>
                <w:lang w:eastAsia="en-GB"/>
              </w:rPr>
              <w:t>Programmatūras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dokumentācija</w:t>
            </w:r>
            <w:r>
              <w:rPr>
                <w:rFonts w:eastAsia="Times New Roman"/>
                <w:lang w:eastAsia="en-GB"/>
              </w:rPr>
              <w:t xml:space="preserve"> (L2); </w:t>
            </w:r>
            <w:r w:rsidRPr="00481022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3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Datorprogrammas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koda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noformēšana</w:t>
            </w:r>
            <w:r>
              <w:rPr>
                <w:rFonts w:eastAsia="Times New Roman"/>
                <w:lang w:eastAsia="en-GB"/>
              </w:rPr>
              <w:t xml:space="preserve"> (L2); </w:t>
            </w:r>
            <w:r>
              <w:rPr>
                <w:rFonts w:eastAsia="Times New Roman"/>
                <w:lang w:eastAsia="en-GB"/>
              </w:rPr>
              <w:br/>
              <w:t>4. Programmatūras prasību specifikācija (PPS) (L2);</w:t>
            </w:r>
            <w:r>
              <w:rPr>
                <w:rFonts w:eastAsia="Times New Roman"/>
                <w:lang w:eastAsia="en-GB"/>
              </w:rPr>
              <w:br/>
              <w:t>5. Programmatūras projektējuma apraksts (PPA) (L2);</w:t>
            </w:r>
            <w:r w:rsidRPr="00481022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6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Lietotāja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dokumentācija</w:t>
            </w:r>
            <w:r>
              <w:rPr>
                <w:rFonts w:eastAsia="Times New Roman"/>
                <w:lang w:eastAsia="en-GB"/>
              </w:rPr>
              <w:t>(L2);</w:t>
            </w:r>
            <w:r w:rsidRPr="00481022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7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Dokumenti. </w:t>
            </w:r>
            <w:r w:rsidRPr="00481022">
              <w:rPr>
                <w:rFonts w:eastAsia="Times New Roman"/>
                <w:lang w:eastAsia="en-GB"/>
              </w:rPr>
              <w:t>Elektroniskie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dokumenti</w:t>
            </w:r>
            <w:r>
              <w:rPr>
                <w:rFonts w:eastAsia="Times New Roman"/>
                <w:lang w:eastAsia="en-GB"/>
              </w:rPr>
              <w:t xml:space="preserve"> un ciparparaksts (L2);</w:t>
            </w:r>
            <w:r>
              <w:rPr>
                <w:rFonts w:eastAsia="Times New Roman"/>
                <w:lang w:eastAsia="en-GB"/>
              </w:rPr>
              <w:br/>
              <w:t>8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Intelektuālā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īpašuma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pamati</w:t>
            </w:r>
            <w:r>
              <w:rPr>
                <w:rFonts w:eastAsia="Times New Roman"/>
                <w:lang w:eastAsia="en-GB"/>
              </w:rPr>
              <w:t xml:space="preserve"> (L2);</w:t>
            </w:r>
            <w:r w:rsidRPr="00481022">
              <w:rPr>
                <w:rFonts w:eastAsia="Times New Roman"/>
                <w:lang w:eastAsia="en-GB"/>
              </w:rPr>
              <w:br/>
            </w:r>
            <w:r>
              <w:rPr>
                <w:rFonts w:eastAsia="Times New Roman"/>
                <w:lang w:eastAsia="en-GB"/>
              </w:rPr>
              <w:t>9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Autortiesības</w:t>
            </w:r>
            <w:r>
              <w:rPr>
                <w:rFonts w:eastAsia="Times New Roman"/>
                <w:lang w:eastAsia="en-GB"/>
              </w:rPr>
              <w:t xml:space="preserve"> un p</w:t>
            </w:r>
            <w:r w:rsidRPr="00481022">
              <w:rPr>
                <w:rFonts w:eastAsia="Times New Roman"/>
                <w:lang w:eastAsia="en-GB"/>
              </w:rPr>
              <w:t>atentu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tiesības</w:t>
            </w:r>
            <w:r>
              <w:rPr>
                <w:rFonts w:eastAsia="Times New Roman"/>
                <w:lang w:eastAsia="en-GB"/>
              </w:rPr>
              <w:t xml:space="preserve"> (L2);</w:t>
            </w:r>
            <w:r w:rsidRPr="00481022">
              <w:rPr>
                <w:rFonts w:eastAsia="Times New Roman"/>
                <w:lang w:eastAsia="en-GB"/>
              </w:rPr>
              <w:br/>
              <w:t>1</w:t>
            </w:r>
            <w:r>
              <w:rPr>
                <w:rFonts w:eastAsia="Times New Roman"/>
                <w:lang w:eastAsia="en-GB"/>
              </w:rPr>
              <w:t>0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Programmatūras un d</w:t>
            </w:r>
            <w:r w:rsidRPr="00481022">
              <w:rPr>
                <w:rFonts w:eastAsia="Times New Roman"/>
                <w:lang w:eastAsia="en-GB"/>
              </w:rPr>
              <w:t>atubāzu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</w:t>
            </w:r>
            <w:r>
              <w:rPr>
                <w:rFonts w:eastAsia="Times New Roman"/>
                <w:lang w:eastAsia="en-GB"/>
              </w:rPr>
              <w:t xml:space="preserve"> (L2);</w:t>
            </w:r>
            <w:r w:rsidRPr="00481022">
              <w:rPr>
                <w:rFonts w:eastAsia="Times New Roman"/>
                <w:lang w:eastAsia="en-GB"/>
              </w:rPr>
              <w:br/>
              <w:t>1</w:t>
            </w:r>
            <w:r>
              <w:rPr>
                <w:rFonts w:eastAsia="Times New Roman"/>
                <w:lang w:eastAsia="en-GB"/>
              </w:rPr>
              <w:t>1</w:t>
            </w:r>
            <w:r w:rsidRPr="00481022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pieejamība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Latvijas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Republikas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normatīvajos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tiesību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aktos</w:t>
            </w:r>
            <w:r>
              <w:rPr>
                <w:rFonts w:eastAsia="Times New Roman"/>
                <w:lang w:eastAsia="en-GB"/>
              </w:rPr>
              <w:t xml:space="preserve"> (L2);</w:t>
            </w:r>
            <w:r w:rsidRPr="00481022">
              <w:rPr>
                <w:rFonts w:eastAsia="Times New Roman"/>
                <w:lang w:eastAsia="en-GB"/>
              </w:rPr>
              <w:br/>
              <w:t>12.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Informācijas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pieejamība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starptautiskajos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tiesību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aktos</w:t>
            </w:r>
            <w:r>
              <w:rPr>
                <w:rFonts w:eastAsia="Times New Roman"/>
                <w:lang w:eastAsia="en-GB"/>
              </w:rPr>
              <w:t xml:space="preserve"> (L2);</w:t>
            </w:r>
            <w:r w:rsidRPr="00481022">
              <w:rPr>
                <w:rFonts w:eastAsia="Times New Roman"/>
                <w:lang w:eastAsia="en-GB"/>
              </w:rPr>
              <w:br/>
              <w:t>13.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Fizisko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personu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datu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aizsardzība</w:t>
            </w:r>
            <w:r>
              <w:rPr>
                <w:rFonts w:eastAsia="Times New Roman"/>
                <w:lang w:eastAsia="en-GB"/>
              </w:rPr>
              <w:t xml:space="preserve">. Vispārējā datu aizsardzības regula (L2); </w:t>
            </w:r>
            <w:r w:rsidRPr="00481022">
              <w:rPr>
                <w:rFonts w:eastAsia="Times New Roman"/>
                <w:lang w:eastAsia="en-GB"/>
              </w:rPr>
              <w:br/>
              <w:t>14.</w:t>
            </w:r>
            <w:r>
              <w:rPr>
                <w:rFonts w:eastAsia="Times New Roman"/>
                <w:lang w:eastAsia="en-GB"/>
              </w:rPr>
              <w:t xml:space="preserve"> Kibernoziegumi (L2);</w:t>
            </w:r>
            <w:r>
              <w:rPr>
                <w:rFonts w:eastAsia="Times New Roman"/>
                <w:lang w:eastAsia="en-GB"/>
              </w:rPr>
              <w:br/>
              <w:t xml:space="preserve">15. Darba tiesības (L2); </w:t>
            </w:r>
            <w:r>
              <w:rPr>
                <w:rFonts w:eastAsia="Times New Roman"/>
                <w:lang w:eastAsia="en-GB"/>
              </w:rPr>
              <w:br/>
              <w:t>16. Ergonomika darbā ar datoru (L2).</w:t>
            </w:r>
          </w:p>
        </w:tc>
      </w:tr>
      <w:tr w:rsidR="008D4CBD" w:rsidRPr="00026C21" w14:paraId="3A8D3447" w14:textId="77777777" w:rsidTr="001A6313">
        <w:trPr>
          <w:jc w:val="center"/>
        </w:trPr>
        <w:tc>
          <w:tcPr>
            <w:tcW w:w="9582" w:type="dxa"/>
            <w:gridSpan w:val="2"/>
          </w:tcPr>
          <w:p w14:paraId="7F7159C1" w14:textId="2F9D37F4" w:rsidR="008D4CBD" w:rsidRPr="00026C21" w:rsidRDefault="008D4CBD" w:rsidP="008D4CBD">
            <w:pPr>
              <w:pStyle w:val="Nosaukumi"/>
            </w:pPr>
            <w:r w:rsidRPr="00026C21">
              <w:t>Obligāti</w:t>
            </w:r>
            <w:r w:rsidR="000A2D46">
              <w:t xml:space="preserve"> </w:t>
            </w:r>
            <w:r w:rsidRPr="00026C21">
              <w:t>izmantojamie</w:t>
            </w:r>
            <w:r w:rsidR="000A2D46">
              <w:t xml:space="preserve"> </w:t>
            </w:r>
            <w:r w:rsidRPr="00026C21">
              <w:t>informācijas</w:t>
            </w:r>
            <w:r w:rsidR="000A2D46">
              <w:t xml:space="preserve"> </w:t>
            </w:r>
            <w:r w:rsidRPr="00026C21">
              <w:t>avoti</w:t>
            </w:r>
          </w:p>
        </w:tc>
      </w:tr>
      <w:tr w:rsidR="00026C21" w:rsidRPr="00026C21" w14:paraId="2821B0CB" w14:textId="77777777" w:rsidTr="001A6313">
        <w:trPr>
          <w:jc w:val="center"/>
        </w:trPr>
        <w:tc>
          <w:tcPr>
            <w:tcW w:w="9582" w:type="dxa"/>
            <w:gridSpan w:val="2"/>
          </w:tcPr>
          <w:p w14:paraId="79863E8F" w14:textId="77777777" w:rsidR="00624E6A" w:rsidRPr="00624E6A" w:rsidRDefault="00017450" w:rsidP="00624E6A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lang w:eastAsia="en-GB"/>
              </w:rPr>
            </w:pPr>
            <w:r w:rsidRPr="00624E6A">
              <w:rPr>
                <w:lang w:eastAsia="en-GB"/>
              </w:rPr>
              <w:t>Darja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Šmite,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Dainis</w:t>
            </w:r>
            <w:r w:rsidR="000A2D46" w:rsidRPr="00624E6A">
              <w:rPr>
                <w:lang w:eastAsia="en-GB"/>
              </w:rPr>
              <w:t xml:space="preserve"> </w:t>
            </w:r>
            <w:proofErr w:type="spellStart"/>
            <w:r w:rsidRPr="00624E6A">
              <w:rPr>
                <w:lang w:eastAsia="en-GB"/>
              </w:rPr>
              <w:t>Dosbergs</w:t>
            </w:r>
            <w:proofErr w:type="spellEnd"/>
            <w:r w:rsidRPr="00624E6A">
              <w:rPr>
                <w:lang w:eastAsia="en-GB"/>
              </w:rPr>
              <w:t>,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Juris</w:t>
            </w:r>
            <w:r w:rsidR="000A2D46" w:rsidRPr="00624E6A">
              <w:rPr>
                <w:lang w:eastAsia="en-GB"/>
              </w:rPr>
              <w:t xml:space="preserve"> </w:t>
            </w:r>
            <w:proofErr w:type="spellStart"/>
            <w:r w:rsidRPr="00624E6A">
              <w:rPr>
                <w:lang w:eastAsia="en-GB"/>
              </w:rPr>
              <w:t>Borzovs</w:t>
            </w:r>
            <w:proofErr w:type="spellEnd"/>
            <w:r w:rsidRPr="00624E6A">
              <w:rPr>
                <w:lang w:eastAsia="en-GB"/>
              </w:rPr>
              <w:t>.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Informācijas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un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komunikācijas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tehnoloģiju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nozares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tiesību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un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standartu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pamati.</w:t>
            </w:r>
          </w:p>
          <w:p w14:paraId="561B68AD" w14:textId="4B855873" w:rsidR="00017450" w:rsidRDefault="00017450" w:rsidP="00624E6A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lang w:eastAsia="en-GB"/>
              </w:rPr>
            </w:pPr>
            <w:r w:rsidRPr="00624E6A">
              <w:rPr>
                <w:lang w:eastAsia="en-GB"/>
              </w:rPr>
              <w:t>Autoru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kolektīvs,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Mg.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Jur.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LU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doktoranta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Ulda</w:t>
            </w:r>
            <w:r w:rsidR="000A2D46" w:rsidRPr="00624E6A">
              <w:rPr>
                <w:lang w:eastAsia="en-GB"/>
              </w:rPr>
              <w:t xml:space="preserve"> </w:t>
            </w:r>
            <w:proofErr w:type="spellStart"/>
            <w:r w:rsidRPr="00624E6A">
              <w:rPr>
                <w:lang w:eastAsia="en-GB"/>
              </w:rPr>
              <w:t>Ķiņa</w:t>
            </w:r>
            <w:proofErr w:type="spellEnd"/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juridiskā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redakcijā.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Informācijas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un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komunikāciju</w:t>
            </w:r>
            <w:r w:rsidR="000A2D46" w:rsidRPr="00624E6A">
              <w:rPr>
                <w:lang w:eastAsia="en-GB"/>
              </w:rPr>
              <w:t xml:space="preserve"> </w:t>
            </w:r>
            <w:r w:rsidRPr="00624E6A">
              <w:rPr>
                <w:lang w:eastAsia="en-GB"/>
              </w:rPr>
              <w:t>tiesības.</w:t>
            </w:r>
            <w:r w:rsidR="000A2D46" w:rsidRPr="00624E6A">
              <w:rPr>
                <w:lang w:eastAsia="en-GB"/>
              </w:rPr>
              <w:t xml:space="preserve"> </w:t>
            </w:r>
          </w:p>
          <w:p w14:paraId="02A95567" w14:textId="41C5EDDA" w:rsidR="00624E6A" w:rsidRPr="00624E6A" w:rsidRDefault="00624E6A" w:rsidP="00624E6A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highlight w:val="yellow"/>
                <w:lang w:eastAsia="en-GB"/>
              </w:rPr>
            </w:pPr>
            <w:r w:rsidRPr="00624E6A">
              <w:rPr>
                <w:highlight w:val="yellow"/>
                <w:lang w:eastAsia="en-GB"/>
              </w:rPr>
              <w:t xml:space="preserve">Krimināllikums (30.12.2023), </w:t>
            </w:r>
            <w:hyperlink r:id="rId8" w:history="1">
              <w:r w:rsidRPr="00624E6A">
                <w:rPr>
                  <w:rStyle w:val="Hyperlink"/>
                  <w:highlight w:val="yellow"/>
                  <w:lang w:eastAsia="en-GB"/>
                </w:rPr>
                <w:t>https://likumi.lv/ta/id/88966-kriminallikums</w:t>
              </w:r>
            </w:hyperlink>
            <w:r w:rsidRPr="00624E6A">
              <w:rPr>
                <w:highlight w:val="yellow"/>
                <w:lang w:eastAsia="en-GB"/>
              </w:rPr>
              <w:t xml:space="preserve"> </w:t>
            </w:r>
          </w:p>
          <w:p w14:paraId="38D2D02F" w14:textId="46686476" w:rsidR="00026C21" w:rsidRPr="00624E6A" w:rsidRDefault="00624E6A" w:rsidP="00624E6A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highlight w:val="yellow"/>
                <w:lang w:eastAsia="en-GB"/>
              </w:rPr>
            </w:pPr>
            <w:r w:rsidRPr="00624E6A">
              <w:rPr>
                <w:highlight w:val="yellow"/>
                <w:lang w:eastAsia="en-GB"/>
              </w:rPr>
              <w:lastRenderedPageBreak/>
              <w:t>A</w:t>
            </w:r>
            <w:r w:rsidR="00017450" w:rsidRPr="00624E6A">
              <w:rPr>
                <w:highlight w:val="yellow"/>
                <w:lang w:eastAsia="en-GB"/>
              </w:rPr>
              <w:t>utortiesību</w:t>
            </w:r>
            <w:r w:rsidR="000A2D46" w:rsidRPr="00624E6A">
              <w:rPr>
                <w:highlight w:val="yellow"/>
                <w:lang w:eastAsia="en-GB"/>
              </w:rPr>
              <w:t xml:space="preserve"> </w:t>
            </w:r>
            <w:r w:rsidR="00017450" w:rsidRPr="00624E6A">
              <w:rPr>
                <w:highlight w:val="yellow"/>
                <w:lang w:eastAsia="en-GB"/>
              </w:rPr>
              <w:t>likums.</w:t>
            </w:r>
            <w:r w:rsidRPr="00624E6A">
              <w:rPr>
                <w:highlight w:val="yellow"/>
                <w:lang w:eastAsia="en-GB"/>
              </w:rPr>
              <w:t xml:space="preserve"> (05.04.2023), </w:t>
            </w:r>
            <w:hyperlink r:id="rId9" w:history="1">
              <w:r w:rsidRPr="00624E6A">
                <w:rPr>
                  <w:rStyle w:val="Hyperlink"/>
                  <w:highlight w:val="yellow"/>
                  <w:lang w:eastAsia="en-GB"/>
                </w:rPr>
                <w:t>https://likumi.lv/ta/id/5138-autortiesibu-likums</w:t>
              </w:r>
            </w:hyperlink>
            <w:r w:rsidRPr="00624E6A">
              <w:rPr>
                <w:highlight w:val="yellow"/>
                <w:lang w:eastAsia="en-GB"/>
              </w:rPr>
              <w:t xml:space="preserve"> </w:t>
            </w:r>
          </w:p>
          <w:p w14:paraId="748B895D" w14:textId="2A3579ED" w:rsidR="00661EBC" w:rsidRPr="00026C21" w:rsidRDefault="00661EBC" w:rsidP="00624E6A">
            <w:pPr>
              <w:pStyle w:val="ListParagraph"/>
              <w:numPr>
                <w:ilvl w:val="0"/>
                <w:numId w:val="39"/>
              </w:numPr>
              <w:spacing w:after="160" w:line="259" w:lineRule="auto"/>
            </w:pPr>
            <w:r w:rsidRPr="00624E6A">
              <w:rPr>
                <w:highlight w:val="yellow"/>
              </w:rPr>
              <w:t>Darba likums.</w:t>
            </w:r>
            <w:r w:rsidR="00624E6A" w:rsidRPr="00624E6A">
              <w:rPr>
                <w:highlight w:val="yellow"/>
              </w:rPr>
              <w:t xml:space="preserve"> (25.11.2022), </w:t>
            </w:r>
            <w:hyperlink r:id="rId10" w:history="1">
              <w:r w:rsidR="00624E6A" w:rsidRPr="00624E6A">
                <w:rPr>
                  <w:rStyle w:val="Hyperlink"/>
                  <w:highlight w:val="yellow"/>
                </w:rPr>
                <w:t>https://likumi.lv/ta/id/26019-darba-likums</w:t>
              </w:r>
            </w:hyperlink>
            <w:r w:rsidR="00624E6A">
              <w:t xml:space="preserve"> </w:t>
            </w:r>
          </w:p>
        </w:tc>
      </w:tr>
      <w:tr w:rsidR="008D4CBD" w:rsidRPr="00026C21" w14:paraId="15492684" w14:textId="77777777" w:rsidTr="001A6313">
        <w:trPr>
          <w:jc w:val="center"/>
        </w:trPr>
        <w:tc>
          <w:tcPr>
            <w:tcW w:w="9582" w:type="dxa"/>
            <w:gridSpan w:val="2"/>
          </w:tcPr>
          <w:p w14:paraId="2F8826E7" w14:textId="3860D20C" w:rsidR="008D4CBD" w:rsidRPr="00026C21" w:rsidRDefault="008D4CBD" w:rsidP="008D4CBD">
            <w:pPr>
              <w:pStyle w:val="Nosaukumi"/>
            </w:pPr>
            <w:r w:rsidRPr="00026C21">
              <w:lastRenderedPageBreak/>
              <w:t>Papildus</w:t>
            </w:r>
            <w:r w:rsidR="000A2D46">
              <w:t xml:space="preserve"> </w:t>
            </w:r>
            <w:r w:rsidRPr="00026C21">
              <w:t>informācijas</w:t>
            </w:r>
            <w:r w:rsidR="000A2D46">
              <w:t xml:space="preserve"> </w:t>
            </w:r>
            <w:r w:rsidRPr="00026C21">
              <w:t>avoti</w:t>
            </w:r>
          </w:p>
        </w:tc>
      </w:tr>
      <w:tr w:rsidR="00026C21" w:rsidRPr="00026C21" w14:paraId="59E80FC9" w14:textId="77777777" w:rsidTr="001A6313">
        <w:trPr>
          <w:jc w:val="center"/>
        </w:trPr>
        <w:tc>
          <w:tcPr>
            <w:tcW w:w="9582" w:type="dxa"/>
            <w:gridSpan w:val="2"/>
          </w:tcPr>
          <w:p w14:paraId="32574B14" w14:textId="33166589" w:rsidR="00026C21" w:rsidRPr="00026C21" w:rsidRDefault="00017450" w:rsidP="00026C21">
            <w:pPr>
              <w:spacing w:after="160" w:line="259" w:lineRule="auto"/>
            </w:pPr>
            <w:r w:rsidRPr="00481022">
              <w:rPr>
                <w:rFonts w:eastAsia="Times New Roman"/>
                <w:lang w:eastAsia="en-GB"/>
              </w:rPr>
              <w:t>1.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D.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Ince</w:t>
            </w:r>
            <w:proofErr w:type="spellEnd"/>
            <w:r w:rsidRPr="00481022">
              <w:rPr>
                <w:rFonts w:eastAsia="Times New Roman"/>
                <w:lang w:eastAsia="en-GB"/>
              </w:rPr>
              <w:t>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Software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Quality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Assurance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-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Student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Introduction</w:t>
            </w:r>
            <w:proofErr w:type="spellEnd"/>
            <w:r w:rsidRPr="00481022">
              <w:rPr>
                <w:rFonts w:eastAsia="Times New Roman"/>
                <w:lang w:eastAsia="en-GB"/>
              </w:rPr>
              <w:t>,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McGraw-Hill,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1995</w:t>
            </w:r>
          </w:p>
        </w:tc>
      </w:tr>
      <w:tr w:rsidR="008D4CBD" w:rsidRPr="00026C21" w14:paraId="79787F35" w14:textId="77777777" w:rsidTr="001A6313">
        <w:trPr>
          <w:jc w:val="center"/>
        </w:trPr>
        <w:tc>
          <w:tcPr>
            <w:tcW w:w="9582" w:type="dxa"/>
            <w:gridSpan w:val="2"/>
          </w:tcPr>
          <w:p w14:paraId="36B283D6" w14:textId="41CB059B" w:rsidR="008D4CBD" w:rsidRPr="00026C21" w:rsidRDefault="008D4CBD" w:rsidP="008D4CBD">
            <w:pPr>
              <w:pStyle w:val="Nosaukumi"/>
            </w:pPr>
            <w:r w:rsidRPr="00026C21">
              <w:t>Periodika</w:t>
            </w:r>
            <w:r w:rsidR="000A2D46">
              <w:t xml:space="preserve"> </w:t>
            </w:r>
            <w:r w:rsidRPr="00026C21">
              <w:t>un</w:t>
            </w:r>
            <w:r w:rsidR="000A2D46">
              <w:t xml:space="preserve"> </w:t>
            </w:r>
            <w:r w:rsidRPr="00026C21">
              <w:t>citi</w:t>
            </w:r>
            <w:r w:rsidR="000A2D46">
              <w:t xml:space="preserve"> </w:t>
            </w:r>
            <w:r w:rsidRPr="00026C21">
              <w:t>informācijas</w:t>
            </w:r>
            <w:r w:rsidR="000A2D46">
              <w:t xml:space="preserve"> </w:t>
            </w:r>
            <w:r w:rsidRPr="00026C21">
              <w:t>avoti</w:t>
            </w:r>
          </w:p>
        </w:tc>
      </w:tr>
      <w:tr w:rsidR="00026C21" w:rsidRPr="00026C21" w14:paraId="21A577DC" w14:textId="77777777" w:rsidTr="001A6313">
        <w:trPr>
          <w:jc w:val="center"/>
        </w:trPr>
        <w:tc>
          <w:tcPr>
            <w:tcW w:w="9582" w:type="dxa"/>
            <w:gridSpan w:val="2"/>
          </w:tcPr>
          <w:p w14:paraId="1EB5059F" w14:textId="70525771" w:rsidR="00026C21" w:rsidRPr="00026C21" w:rsidRDefault="00017450" w:rsidP="00026C21">
            <w:pPr>
              <w:spacing w:after="160" w:line="259" w:lineRule="auto"/>
            </w:pPr>
            <w:proofErr w:type="spellStart"/>
            <w:r w:rsidRPr="00481022">
              <w:rPr>
                <w:rFonts w:eastAsia="Times New Roman"/>
                <w:lang w:eastAsia="en-GB"/>
              </w:rPr>
              <w:t>Fundamentals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of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Branch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Legislation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and</w:t>
            </w:r>
            <w:proofErr w:type="spellEnd"/>
            <w:r w:rsidR="000A2D46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481022">
              <w:rPr>
                <w:rFonts w:eastAsia="Times New Roman"/>
                <w:lang w:eastAsia="en-GB"/>
              </w:rPr>
              <w:t>Standards</w:t>
            </w:r>
            <w:proofErr w:type="spellEnd"/>
          </w:p>
        </w:tc>
      </w:tr>
      <w:tr w:rsidR="008D4CBD" w:rsidRPr="00026C21" w14:paraId="21616BA1" w14:textId="77777777" w:rsidTr="001A6313">
        <w:trPr>
          <w:jc w:val="center"/>
        </w:trPr>
        <w:tc>
          <w:tcPr>
            <w:tcW w:w="9582" w:type="dxa"/>
            <w:gridSpan w:val="2"/>
          </w:tcPr>
          <w:p w14:paraId="63F3F741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3F43BBFF" w14:textId="77777777" w:rsidTr="001A6313">
        <w:trPr>
          <w:jc w:val="center"/>
        </w:trPr>
        <w:tc>
          <w:tcPr>
            <w:tcW w:w="9582" w:type="dxa"/>
            <w:gridSpan w:val="2"/>
          </w:tcPr>
          <w:p w14:paraId="316AD25C" w14:textId="7B313C87" w:rsidR="00026C21" w:rsidRPr="00026C21" w:rsidRDefault="00017450" w:rsidP="008D4CBD">
            <w:pPr>
              <w:rPr>
                <w:bCs w:val="0"/>
                <w:color w:val="0070C0"/>
              </w:rPr>
            </w:pPr>
            <w:r w:rsidRPr="00481022">
              <w:rPr>
                <w:rFonts w:eastAsia="Times New Roman"/>
                <w:lang w:eastAsia="en-GB"/>
              </w:rPr>
              <w:t>Profesionālās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augstākās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izglītības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bakalaura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studiju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programmas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„Info</w:t>
            </w:r>
            <w:r>
              <w:rPr>
                <w:rFonts w:eastAsia="Times New Roman"/>
                <w:lang w:eastAsia="en-GB"/>
              </w:rPr>
              <w:t>rmācijas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="002751E6">
              <w:rPr>
                <w:rFonts w:eastAsia="Times New Roman"/>
                <w:lang w:eastAsia="en-GB"/>
              </w:rPr>
              <w:t xml:space="preserve">tehnoloģijas” </w:t>
            </w:r>
            <w:r w:rsidRPr="00481022">
              <w:rPr>
                <w:rFonts w:eastAsia="Times New Roman"/>
                <w:lang w:eastAsia="en-GB"/>
              </w:rPr>
              <w:t>studiju</w:t>
            </w:r>
            <w:r w:rsidR="000A2D46">
              <w:rPr>
                <w:rFonts w:eastAsia="Times New Roman"/>
                <w:lang w:eastAsia="en-GB"/>
              </w:rPr>
              <w:t xml:space="preserve"> </w:t>
            </w:r>
            <w:r w:rsidRPr="00481022">
              <w:rPr>
                <w:rFonts w:eastAsia="Times New Roman"/>
                <w:lang w:eastAsia="en-GB"/>
              </w:rPr>
              <w:t>kurss</w:t>
            </w:r>
            <w:r w:rsidR="000A2D46">
              <w:rPr>
                <w:bCs w:val="0"/>
                <w:color w:val="0070C0"/>
              </w:rPr>
              <w:t xml:space="preserve"> </w:t>
            </w:r>
          </w:p>
          <w:p w14:paraId="6A14E936" w14:textId="12CBC82D" w:rsidR="008D4CBD" w:rsidRPr="00026C21" w:rsidRDefault="008D4CBD" w:rsidP="008D4CBD">
            <w:pPr>
              <w:rPr>
                <w:color w:val="0070C0"/>
              </w:rPr>
            </w:pPr>
            <w:r w:rsidRPr="002751E6">
              <w:t>Kurss</w:t>
            </w:r>
            <w:r w:rsidR="000A2D46" w:rsidRPr="002751E6">
              <w:t xml:space="preserve"> </w:t>
            </w:r>
            <w:r w:rsidRPr="002751E6">
              <w:t>tiek</w:t>
            </w:r>
            <w:r w:rsidR="000A2D46" w:rsidRPr="002751E6">
              <w:t xml:space="preserve"> </w:t>
            </w:r>
            <w:r w:rsidRPr="002751E6">
              <w:t>docēts</w:t>
            </w:r>
            <w:r w:rsidR="000A2D46" w:rsidRPr="002751E6">
              <w:t xml:space="preserve"> </w:t>
            </w:r>
            <w:r w:rsidRPr="002751E6">
              <w:t>latviešu</w:t>
            </w:r>
            <w:r w:rsidR="000A2D46" w:rsidRPr="002751E6">
              <w:t xml:space="preserve"> </w:t>
            </w:r>
            <w:r w:rsidRPr="002751E6">
              <w:t>valodā.</w:t>
            </w:r>
          </w:p>
        </w:tc>
      </w:tr>
    </w:tbl>
    <w:p w14:paraId="248FF763" w14:textId="77777777" w:rsidR="001B4907" w:rsidRPr="00026C21" w:rsidRDefault="001B4907" w:rsidP="001B4907"/>
    <w:p w14:paraId="42124AF6" w14:textId="77777777" w:rsidR="001B4907" w:rsidRPr="00026C21" w:rsidRDefault="001B4907" w:rsidP="001B4907"/>
    <w:p w14:paraId="52D28978" w14:textId="77777777" w:rsidR="00360579" w:rsidRPr="00026C21" w:rsidRDefault="00360579"/>
    <w:sectPr w:rsidR="00360579" w:rsidRPr="00026C21" w:rsidSect="003A4609">
      <w:headerReference w:type="default" r:id="rId11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02CE" w14:textId="77777777" w:rsidR="003A4609" w:rsidRDefault="003A4609" w:rsidP="001B4907">
      <w:r>
        <w:separator/>
      </w:r>
    </w:p>
  </w:endnote>
  <w:endnote w:type="continuationSeparator" w:id="0">
    <w:p w14:paraId="6E8A5B62" w14:textId="77777777" w:rsidR="003A4609" w:rsidRDefault="003A460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97FA" w14:textId="77777777" w:rsidR="003A4609" w:rsidRDefault="003A4609" w:rsidP="001B4907">
      <w:r>
        <w:separator/>
      </w:r>
    </w:p>
  </w:footnote>
  <w:footnote w:type="continuationSeparator" w:id="0">
    <w:p w14:paraId="6447A644" w14:textId="77777777" w:rsidR="003A4609" w:rsidRDefault="003A460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9FE0" w14:textId="77777777" w:rsidR="00000000" w:rsidRDefault="00000000" w:rsidP="007534EA">
    <w:pPr>
      <w:pStyle w:val="Header"/>
    </w:pPr>
  </w:p>
  <w:p w14:paraId="39DA1A35" w14:textId="77777777" w:rsidR="00000000" w:rsidRPr="007B1FB4" w:rsidRDefault="00000000" w:rsidP="007534EA">
    <w:pPr>
      <w:pStyle w:val="Header"/>
    </w:pPr>
  </w:p>
  <w:p w14:paraId="7F2C482E" w14:textId="77777777" w:rsidR="00000000" w:rsidRPr="00D66CC2" w:rsidRDefault="000000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D5A395A"/>
    <w:multiLevelType w:val="hybridMultilevel"/>
    <w:tmpl w:val="D7383228"/>
    <w:lvl w:ilvl="0" w:tplc="A2121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0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1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5" w15:restartNumberingAfterBreak="0">
    <w:nsid w:val="50261A17"/>
    <w:multiLevelType w:val="hybridMultilevel"/>
    <w:tmpl w:val="4EB87D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1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7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84727755">
    <w:abstractNumId w:val="32"/>
  </w:num>
  <w:num w:numId="2" w16cid:durableId="1109199522">
    <w:abstractNumId w:val="8"/>
  </w:num>
  <w:num w:numId="3" w16cid:durableId="2141847563">
    <w:abstractNumId w:val="22"/>
  </w:num>
  <w:num w:numId="4" w16cid:durableId="484513494">
    <w:abstractNumId w:val="23"/>
  </w:num>
  <w:num w:numId="5" w16cid:durableId="1788623116">
    <w:abstractNumId w:val="6"/>
  </w:num>
  <w:num w:numId="6" w16cid:durableId="2066634625">
    <w:abstractNumId w:val="7"/>
  </w:num>
  <w:num w:numId="7" w16cid:durableId="784622619">
    <w:abstractNumId w:val="9"/>
  </w:num>
  <w:num w:numId="8" w16cid:durableId="1036929466">
    <w:abstractNumId w:val="0"/>
  </w:num>
  <w:num w:numId="9" w16cid:durableId="468937799">
    <w:abstractNumId w:val="1"/>
  </w:num>
  <w:num w:numId="10" w16cid:durableId="128329308">
    <w:abstractNumId w:val="2"/>
  </w:num>
  <w:num w:numId="11" w16cid:durableId="656762431">
    <w:abstractNumId w:val="6"/>
    <w:lvlOverride w:ilvl="0">
      <w:startOverride w:val="1"/>
    </w:lvlOverride>
  </w:num>
  <w:num w:numId="12" w16cid:durableId="2065981682">
    <w:abstractNumId w:val="16"/>
  </w:num>
  <w:num w:numId="13" w16cid:durableId="1869368159">
    <w:abstractNumId w:val="37"/>
  </w:num>
  <w:num w:numId="14" w16cid:durableId="994145890">
    <w:abstractNumId w:val="10"/>
  </w:num>
  <w:num w:numId="15" w16cid:durableId="1179927513">
    <w:abstractNumId w:val="13"/>
  </w:num>
  <w:num w:numId="16" w16cid:durableId="1655834638">
    <w:abstractNumId w:val="14"/>
  </w:num>
  <w:num w:numId="17" w16cid:durableId="1731149161">
    <w:abstractNumId w:val="21"/>
  </w:num>
  <w:num w:numId="18" w16cid:durableId="1504121569">
    <w:abstractNumId w:val="28"/>
  </w:num>
  <w:num w:numId="19" w16cid:durableId="699664167">
    <w:abstractNumId w:val="27"/>
  </w:num>
  <w:num w:numId="20" w16cid:durableId="1579829673">
    <w:abstractNumId w:val="33"/>
  </w:num>
  <w:num w:numId="21" w16cid:durableId="259677016">
    <w:abstractNumId w:val="34"/>
  </w:num>
  <w:num w:numId="22" w16cid:durableId="1660426940">
    <w:abstractNumId w:val="36"/>
  </w:num>
  <w:num w:numId="23" w16cid:durableId="307783873">
    <w:abstractNumId w:val="15"/>
  </w:num>
  <w:num w:numId="24" w16cid:durableId="2076470845">
    <w:abstractNumId w:val="31"/>
  </w:num>
  <w:num w:numId="25" w16cid:durableId="1227185107">
    <w:abstractNumId w:val="24"/>
  </w:num>
  <w:num w:numId="26" w16cid:durableId="2038502811">
    <w:abstractNumId w:val="4"/>
  </w:num>
  <w:num w:numId="27" w16cid:durableId="1767191280">
    <w:abstractNumId w:val="3"/>
  </w:num>
  <w:num w:numId="28" w16cid:durableId="490831089">
    <w:abstractNumId w:val="26"/>
  </w:num>
  <w:num w:numId="29" w16cid:durableId="732387262">
    <w:abstractNumId w:val="18"/>
  </w:num>
  <w:num w:numId="30" w16cid:durableId="1345672670">
    <w:abstractNumId w:val="29"/>
  </w:num>
  <w:num w:numId="31" w16cid:durableId="592276497">
    <w:abstractNumId w:val="30"/>
  </w:num>
  <w:num w:numId="32" w16cid:durableId="971910762">
    <w:abstractNumId w:val="19"/>
  </w:num>
  <w:num w:numId="33" w16cid:durableId="1496916829">
    <w:abstractNumId w:val="5"/>
  </w:num>
  <w:num w:numId="34" w16cid:durableId="1356999992">
    <w:abstractNumId w:val="17"/>
  </w:num>
  <w:num w:numId="35" w16cid:durableId="1308700812">
    <w:abstractNumId w:val="12"/>
  </w:num>
  <w:num w:numId="36" w16cid:durableId="1296255090">
    <w:abstractNumId w:val="20"/>
  </w:num>
  <w:num w:numId="37" w16cid:durableId="192230671">
    <w:abstractNumId w:val="35"/>
  </w:num>
  <w:num w:numId="38" w16cid:durableId="799036339">
    <w:abstractNumId w:val="11"/>
  </w:num>
  <w:num w:numId="39" w16cid:durableId="173893982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17450"/>
    <w:rsid w:val="00026C21"/>
    <w:rsid w:val="00035105"/>
    <w:rsid w:val="000A2D46"/>
    <w:rsid w:val="000F5682"/>
    <w:rsid w:val="00115593"/>
    <w:rsid w:val="001B4907"/>
    <w:rsid w:val="00244E4B"/>
    <w:rsid w:val="002751E6"/>
    <w:rsid w:val="00360579"/>
    <w:rsid w:val="00387C9A"/>
    <w:rsid w:val="003A4609"/>
    <w:rsid w:val="003C2FFF"/>
    <w:rsid w:val="003C76ED"/>
    <w:rsid w:val="003D0E46"/>
    <w:rsid w:val="003E46DC"/>
    <w:rsid w:val="003F7CA7"/>
    <w:rsid w:val="0045402C"/>
    <w:rsid w:val="004640AA"/>
    <w:rsid w:val="0054585C"/>
    <w:rsid w:val="0056659C"/>
    <w:rsid w:val="00612290"/>
    <w:rsid w:val="006214C8"/>
    <w:rsid w:val="00624E6A"/>
    <w:rsid w:val="00661EBC"/>
    <w:rsid w:val="006C0F13"/>
    <w:rsid w:val="006F3FA0"/>
    <w:rsid w:val="00791E37"/>
    <w:rsid w:val="007E77AD"/>
    <w:rsid w:val="00875ADC"/>
    <w:rsid w:val="00877E76"/>
    <w:rsid w:val="008D4CBD"/>
    <w:rsid w:val="008F5EB7"/>
    <w:rsid w:val="009E42B8"/>
    <w:rsid w:val="00A439A0"/>
    <w:rsid w:val="00A65099"/>
    <w:rsid w:val="00B13E94"/>
    <w:rsid w:val="00BC05DC"/>
    <w:rsid w:val="00C06CD7"/>
    <w:rsid w:val="00D24FE3"/>
    <w:rsid w:val="00F04F8C"/>
    <w:rsid w:val="00F5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02DAF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624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88966-kriminalliku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ikumi.lv/ta/id/26019-darba-lik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kumi.lv/ta/id/5138-autortiesibu-liku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FA589-CBDD-4B3D-8C04-BC2207CC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Andris Vagalis</cp:lastModifiedBy>
  <cp:revision>14</cp:revision>
  <dcterms:created xsi:type="dcterms:W3CDTF">2022-04-13T06:58:00Z</dcterms:created>
  <dcterms:modified xsi:type="dcterms:W3CDTF">2024-03-08T18:49:00Z</dcterms:modified>
</cp:coreProperties>
</file>