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5"/>
        <w:gridCol w:w="5431"/>
      </w:tblGrid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Studiju kursa nosaukums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6666"/>
                <w:sz w:val="24"/>
                <w:szCs w:val="24"/>
                <w:lang w:val="lv-LV" w:eastAsia="en-GB"/>
              </w:rPr>
              <w:t>Ekonomikas pamati [PBSP IT]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Studiju kursa kods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Ekon2008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Zinātnes nozare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#Ekonomika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1983" w:type="pct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Kredītpunkti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2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ECTS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3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Kopējais kontaktstundu skaits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4B0E70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 w:eastAsia="en-GB"/>
              </w:rPr>
              <w:t>80</w:t>
            </w:r>
            <w:bookmarkStart w:id="0" w:name="_GoBack"/>
            <w:bookmarkEnd w:id="0"/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Lekciju stundu skaits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16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Semināru stundu skaits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16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Studenta patstāvīgā darba stundu skaits</w:t>
            </w: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 w:eastAsia="en-GB"/>
              </w:rPr>
              <w:t>48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 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Kursa docētājs(-i)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en-GB"/>
              </w:rPr>
            </w:pP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Dr.oec.,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asoc.prof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. Ludmila Aleksejeva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Dr.iur., doc. Nikolajs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Jefimovs</w:t>
            </w:r>
            <w:proofErr w:type="spellEnd"/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Kursa autors(-i)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v-LV" w:eastAsia="en-GB"/>
              </w:rPr>
            </w:pP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Dr.oec.,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asoc.prof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. Ludmila Aleksejeva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Studiju kursa anotācija</w:t>
            </w:r>
          </w:p>
        </w:tc>
      </w:tr>
      <w:tr w:rsidR="00633696" w:rsidRPr="004B0E70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Studiju kursa mērķis ir veidot izpratni par ekonomikas likumsakarībām, pamatojoties uz teorētiskajām zināšanām, veikt ekonomiskās situācijas novērtējumu valstī.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Kursa gaitā studējošie apgūst galvenās ekonomiskās kategorijas, kā arī prasmi patstāvīgi spriest, kritiski domāt un vērtēt ekonomiskos procesus un parādības. Kurss sniedz ieskatu makroekonomikas attīstības tendencēs un LR tautsaimniecības norises.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Kursa uzdevumi: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- sniegt strukturētas zināšanas par ekonomikas radītājiem, teorijām, pamatprincipiem, ekonomiskās analīzes pamatiem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- veicināt matemātiski analītiskās prasmes, sasaistot ekonomikas teoriju ar reālo ekonomisko situāciju Latvijā un ES, lai nodrošinātu iegūto zināšanu pārnesi praktisko problēmu risinājumiem.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- sniegt studentiem izpratni par saimnieciskās darbības mērķiem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makrolīmenī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un par ekonomisko procesu norisi,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- veicināt izpratni par ekonomisko procesu raksturojošiem rādītājiem un to savstarpējo saistību, par iespējām un līdzekļiem ietekmēt šo procesu norisi.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Studiju kursa kalendārais plāns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D73F3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Lekcijas 16 st., semināri 16 st., patstāvīgais darbs 48st.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1. Ekonomika ka sociāla zinātne. Ekonomikas teorija, tās galvenie jēdzieni un principi. Ekonomikas zinātne un Latvijas tautsaimniecība. Sistēmiskā un procesu pieeja ekonomikā. Tautsaimniecības aprites modelis. - L1,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2. Tautsaimniecība un nacionālā ekonomika. Ekonomiskie resursi un ražošanas potenciāls. Ekonomiskās sistēmas. Ekonomiskie labumi: veidi, īpatnības. Ražošanas procesa rezultāti: preces un pakalpojumi. - L1,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3. Tirgus mehānisms, pieprasījums, piedāvājums un tirgus līdzsvars. Tirgus un konkurence. Taisnīgums un efektivitāte. Konkurences likumdošana. - L2,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4. Cilvēkresursi. Darba tirgus ekonomiskie aspekti. - L2,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lastRenderedPageBreak/>
              <w:t xml:space="preserve">5. Makroekonomiskie procesi un to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pamatrādītāji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Tautsaimniecības struktūra. - L1,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6. Iekšzemes kopprodukts. Ekonomikas attīstības ilgtermiņa aspekti.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Iltespējība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r w:rsidR="002D73F3"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Ilgtspēja</w:t>
            </w:r>
            <w:r w:rsidR="002D73F3" w:rsidRPr="002D73F3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un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produktivitate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- L4,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7. Naudas un kapitāla tirgus. Inflācija. -L2, S1.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8.Valsts funkcijas un loma ekonomikā. Fiskālā politika. -L2, S1.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9. Makroekonomikas izaicinājumi un potenciālās attīstības perspektīvas. -L1,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Studējošo patstāvīgo darbu organizācijas un uzdevumu raksturojums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Studējošo patstāvīgais darbs 48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Pd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: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Pieprasījums un piedāvājums. Tirgus līdzsvars Pd4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Labumu veidi. Preces un pakalpojumi; klasifikācijas. Pd4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Darba tirgus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demografiskie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izaicinajumi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. Pd4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  <w:t xml:space="preserve">Darba tirgus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digitalizacija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.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Attalinatais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darbs. Pd4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</w:p>
          <w:p w:rsidR="002D73F3" w:rsidRPr="002D73F3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</w:pP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Darba tirgus demogrāfiskie izaicinājumi. Pd4 </w:t>
            </w:r>
          </w:p>
          <w:p w:rsidR="00633696" w:rsidRPr="00633696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Darba tirgus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digitalizacija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. Attālinātais darbs. Pd4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Aktuālie pētījumi makroekonomika. Pd8. 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Tautsaimniecības nozaru struktūrā. Pd4 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Iekšzemes </w:t>
            </w:r>
            <w:r w:rsidR="00633696"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kopprodukts </w:t>
            </w:r>
            <w:proofErr w:type="spellStart"/>
            <w:r w:rsidR="00633696"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apreķināšana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kopprodukta aprēķināšanā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Pd4 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Ilgtspējības aspekti ekonomikā. Zaļa ekonomika. Aprites ekonomika. </w:t>
            </w:r>
            <w:proofErr w:type="spellStart"/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Donught</w:t>
            </w:r>
            <w:proofErr w:type="spellEnd"/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Economics</w:t>
            </w:r>
            <w:proofErr w:type="spellEnd"/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Pd4 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Elektronisko resursu studijas. Pd8 </w:t>
            </w:r>
            <w:r w:rsidR="00633696"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Globālie makroekonomiskie izaicinājumi un to ietekme makroekonomikā. Pd8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lastRenderedPageBreak/>
              <w:t>Studiju rezultāti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ZINĀŠANAS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1. Demonstrē zināšanas un izpratni par: ekonomikas teorijas jautājumiem, LR tautsaimniecības attīstības tendencēm.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2. Demonstrē zināšanas saistībā ar Latvijas un Austrumeiropas valstu tautsaimniecības attīstību un spēj parādīt sistemātisku un kritisku izpratni par kursā aplūkotajām teorijām, indikatoriem, aprēķinu formulām un to pielietojumu praksē.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3. Izprot ekonomisko sistēmu būtību un struktūru, atsevišķu ekonomikas sektoru mijiedarbību.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PRASMES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4. Analizē ekonomiskos rādītājus, izmantojot statistikas datus un zinātnisko literatūru.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5. Pielieto ekonomikas teorētiskās pamatnostādnes tautsaimniecības norišu analīzei (teorētisko zināšanu pielietošana tirgus reālās situācijas analīzei).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6. Spēj parādīt zināšanas par galvenajiem makroekonomiskajiem rādītājiem un to savstarpējo saistību, prasmi novērtēt ekonomikas situāciju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makrolīmenī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, izvēloties tam attiecīgos rādītājus, spēj atrast un novērtēt makroekonomiskos rādītājus, no informācijas avotiem, vai no to savstarpējām sakarībām.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7. Spēj parādīt prasmes analizēt valsts tautsaimniecību, novērtēt iespējamo valsts iejaukšanos ekonomikā un prognozēt tās sekas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KOMPETENCE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8. Izmanto ekonomikas teorijas atzinumus konkrētu faktu vērtēšanā un analīzē.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Prasības kredītpunktu iegūšanai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904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45"/>
            </w:tblGrid>
            <w:tr w:rsidR="00633696" w:rsidRPr="00633696">
              <w:trPr>
                <w:tblCellSpacing w:w="15" w:type="dxa"/>
              </w:trPr>
              <w:tc>
                <w:tcPr>
                  <w:tcW w:w="9045" w:type="dxa"/>
                  <w:vAlign w:val="center"/>
                  <w:hideMark/>
                </w:tcPr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Studiju kursa gala vērtējums (diferencētā ieskaite) veidojas, summējot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starpārbaudijumu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rez</w:t>
                  </w:r>
                  <w:r w:rsidR="006A3E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ultātus. Pārbaudījumu</w:t>
                  </w: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studenti kārto tikai tad, ja ir nokārtoti visi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starppārbaudījumi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un studējošais ir piedalījies 30% lekcijās un 70%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seminārnodarbībās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un veicis pētījumus. Studiju kursā jāizstrādā patstāvīgie darbi (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Starppārbaudījumi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), strādājot grupās līdz 4 studentu sastāvā: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STARPPĀRBAUDĪJUMI: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(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starpārbaudijuma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uzdevumi tiek izstrādāti un vērtēti pēc docētāja noteiktajiem kritērijiem)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1. Pieprasījums un piedāvājums. – 10%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2. Ekonomiskā sistēma un tās dalībnieki. 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3. Konkurence. Taisnīgums un efektivitāte. 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4. Darba tirgus likumsakarības. 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5. Tautsaimniecība un iekšzemes kopprodukts. – 10%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6. Ienākumu veidi un struktūra 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7. Valsts finanses un nodokļi. 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8. Finanšu tirgus.– 10%.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Noslēguma pārbaudījums (</w:t>
                  </w:r>
                  <w:r w:rsidR="006A3E2F"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diferencētā ieskaite</w:t>
                  </w: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). – 20%.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Studiju rezultātu vērtēšanas kritēriji (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Criteria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for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Evaluation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Learning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Outcomes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). Studiju kursa apguve tā noslēgumā tiek vērtēta 10 </w:t>
                  </w:r>
                  <w:proofErr w:type="spellStart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ballu</w:t>
                  </w:r>
                  <w:proofErr w:type="spellEnd"/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 xml:space="preserve"> skalā saskaņā ar Latvijas Republikas normatīvajiem aktiem un DU Senāta 17.12.2018. protokolu Nr. 15, vadoties pēc šādiem kritērijiem: iegūto zināšanu apjoms un kvalitāte; iegūtās prasmes; iegūtā kompetence atbilstīgi plānotajiem studiju rezultātiem.</w:t>
                  </w:r>
                </w:p>
                <w:p w:rsidR="00633696" w:rsidRPr="00633696" w:rsidRDefault="00633696" w:rsidP="006336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  <w:r w:rsidRPr="00633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  <w:t>STUDIJU REZULTĀTU VĒRTĒŠANA</w:t>
                  </w:r>
                </w:p>
                <w:tbl>
                  <w:tblPr>
                    <w:tblW w:w="672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22"/>
                    <w:gridCol w:w="401"/>
                    <w:gridCol w:w="468"/>
                    <w:gridCol w:w="401"/>
                    <w:gridCol w:w="401"/>
                    <w:gridCol w:w="415"/>
                    <w:gridCol w:w="415"/>
                    <w:gridCol w:w="415"/>
                    <w:gridCol w:w="401"/>
                    <w:gridCol w:w="81"/>
                  </w:tblGrid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Merge w:val="restart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Pārbaudījumu veidi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2880" w:type="dxa"/>
                        <w:gridSpan w:val="8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Studiju rezultāti *</w:t>
                        </w: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1.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2.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3.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4.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5.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6.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7.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8.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1.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2.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3.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4.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5.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6.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7.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 xml:space="preserve">8. </w:t>
                        </w:r>
                        <w:proofErr w:type="spellStart"/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starppārbaudījums</w:t>
                        </w:r>
                        <w:proofErr w:type="spellEnd"/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</w:tr>
                  <w:tr w:rsidR="00633696" w:rsidRPr="00633696">
                    <w:trPr>
                      <w:tblCellSpacing w:w="15" w:type="dxa"/>
                    </w:trPr>
                    <w:tc>
                      <w:tcPr>
                        <w:tcW w:w="345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Gala pārbaudījums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6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lv-LV" w:eastAsia="en-GB"/>
                          </w:rPr>
                        </w:pP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40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390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  <w:r w:rsidRPr="0063369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  <w:t>+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633696" w:rsidRPr="00633696" w:rsidRDefault="00633696" w:rsidP="0063369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lv-LV" w:eastAsia="en-GB"/>
                          </w:rPr>
                        </w:pPr>
                      </w:p>
                    </w:tc>
                  </w:tr>
                </w:tbl>
                <w:p w:rsidR="00633696" w:rsidRPr="00633696" w:rsidRDefault="00633696" w:rsidP="006336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v-LV" w:eastAsia="en-GB"/>
                    </w:rPr>
                  </w:pPr>
                </w:p>
              </w:tc>
            </w:tr>
          </w:tbl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Kursa saturs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Lekcijas (L20):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1. Ekonomika ka sociāla zinātne. Ekonomikas teorija, tās galvenie jēdzieni un principi. Sistēmiskā un procesu pieeja ekonomikā. Tautsaimniecības aprites modelis. L1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3. Ekonomiskie resursi un ražošanas potenciāls. Ekonomiskās sistēmas. Ekonomiskie labumi: veidi, īpatnības. L1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5. Ražošanas procesa rezultāti: preces un pakalpojumi. Tirgus mehānisms, pieprasījums un piedāvājums. Konkurences likumdošana. L2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7. Cilvēkresursi. Darba tirgus likumsakarības. Darba tirgus aģenti. Nodarbinātība. Bezdarbs. L2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9. Makroekonomiskie procesi un to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pamatrādītāji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Tautsaimniecības struktūra. L1.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10. Iekšzemes kopprodukts. Ekonomikas attīstības ilgtermiņa aspekti.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Iltespējība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un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produktivitate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L4.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12. Naudas un kapitāla tirgus. Monetārā politika. Inflācija. L2.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13. Valsts funkcijas un loma ekonomikā. Fiskālā politika. L2.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14. Makroekonomikas izaicinājumi un potenciālās attīstības perspektīvas. L1.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Semināri (S16):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1. Ekonomikas zinātne un Latvijas tautsaimniecība. Sistēmiskā un procesu pieeja ekonomikā. S2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2. Tautsaimniecība un nacionālā ekonomika. Preču un pakalpojumu specifika.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3. Tirgus un konkurence. Taisnīgums un efektivitātē.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4. Darba tirgus ekonomiskie aspekti. Darba tirgus mūsdienu izaicinājumi. S2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5. Tautsaimniecības struktūra.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6. Iekšzemes kopprodukta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apreķināšanas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metodes. Pievienotā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vertība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ES valstu ekonomiska attīstība (ziņojums). S2.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7. Naudas veidi. Inflācijas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celoņi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un sekas. S1.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8. Nodokļu veidi, aplikšanas īpatnības. S1.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9. Makroekonomikas izaicinājumi un potenciālās attīstības perspektīvas. S2.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Obligāti izmantojamie informācijas avoti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2D73F3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 w:eastAsia="en-GB"/>
              </w:rPr>
            </w:pP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Bikse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V. Makroekonomika: teorija un politika. Liepāja: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LiePA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, 2015.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Dovladbekova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I.,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Eteris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E., Zelmenis D. Eiropas Savienības ekonomiskā politika Latvijā. Rīga, RSU, 2008.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Nešpors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V. Mikroekonomikas teorijas pamati. Mācību grāmata – Rīga: RTU Izdevniecība, 2015.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Mankiw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N.G.,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Macroeconomics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. 9th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Edition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Worth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Publisher, NY, 2015.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Šenfelde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M. Makroekonomika. Rīga, 2009, 2014. 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br/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Judrupa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 xml:space="preserve"> I. Eiropas valstu ekonomika. Rīga, RTU izdevniecība, 2007.</w:t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 w:eastAsia="en-GB"/>
              </w:rPr>
              <w:t xml:space="preserve"> </w:t>
            </w:r>
          </w:p>
          <w:p w:rsidR="002D73F3" w:rsidRDefault="002D73F3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</w:p>
          <w:p w:rsidR="002D73F3" w:rsidRPr="002D73F3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</w:pP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Bikse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V. Makroekonomika: teorija un politika. 2. izdevums.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LiepPA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, 2020.</w:t>
            </w:r>
          </w:p>
          <w:p w:rsidR="002D73F3" w:rsidRPr="002D73F3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</w:pP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Latvijas ekonomikas attīstības pārskats. 2023.gads LR, EM 2024.</w:t>
            </w:r>
          </w:p>
          <w:p w:rsidR="002D73F3" w:rsidRPr="002D73F3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</w:pP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Hofs K.G. Biznesa ekonomika. 3. Izdevums, 2019</w:t>
            </w:r>
          </w:p>
          <w:p w:rsidR="002D73F3" w:rsidRPr="002D73F3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</w:pP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Blanchard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O.,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Amighini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A.,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Giavazzi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F.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Macroeconomics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: a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European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perspective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. 4th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edition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.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Harlow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, England;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New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York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 xml:space="preserve">: </w:t>
            </w:r>
            <w:proofErr w:type="spellStart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Pearson</w:t>
            </w:r>
            <w:proofErr w:type="spellEnd"/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, 2021</w:t>
            </w:r>
          </w:p>
          <w:p w:rsidR="002D73F3" w:rsidRPr="00633696" w:rsidRDefault="002D73F3" w:rsidP="002D7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2D73F3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lv-LV" w:eastAsia="en-GB"/>
              </w:rPr>
              <w:t>Ekonomiskās analīzes vietne – makroekonomika.lv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Papildus informācijas avoti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2D73F3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Atstāja Dz., Dimante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Dž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Brīvers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I. u.c. Vide un ekonomika. Rīga: Latvijas Universitātes apgāds, 2011.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Balodis, K. Ievads tautsaimniecībā un ekonomiskā politika. SIA “Drukātava", 2013.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Bikse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V. Makroekonomika. Tālmācības kurss. Rīga: Izglītības soļi, 2003.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Dovladbekova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I.,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Eteris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E., Zelmenis D. Eiropas Savienības ekonomiskā politika un Latvija. -RSU izdevniecība, Rīga, 2008.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r w:rsidRPr="002D73F3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val="lv-LV" w:eastAsia="en-GB"/>
              </w:rPr>
              <w:t>Hofs K.G. Biznesa ekonomika. 3. Izdevums, 2019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Kasalis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E. Makroekonomika. Rīga, LU, 2002.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Krugman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P.,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Wells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R.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Macroeconomics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2015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Kruks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S. Ekonomiskā krīze Latvijā: veiksmes stāsta pēcgarša. Rīga, 2016.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Krūmiņš G. (Sast.) Latvijas tautsaimniecības vēsture. Rīga, Jumava, 2017.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Latvijas ilgtspējīgas attīstības stratēģija „Latvija 2030”. Reģionālās attīstības un pašvaldību lietu ministrija.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Liepiņš A. Analītiskā makroekonomika: Mācību līdzeklis. Rīga: Biznesa augstskola Turība, 2007.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Latvijas tautsaimniecība; makroekonomiskie apskati.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LR Ekonomikas ministrija. Ziņojums par Latvijas tautsaimniecības attīstību., Rīga (periodisks izdevums reizi pusgadā).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Pauli G. Zilā ekonomika. Rīga, Zvaigzne ABC, 2018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Rifkins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Dž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. Jaunās ekonomikas laikmets. Rīga: Jumava, 2004.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Stratēģiju Eiropa 2020: stratēģija gudrai, ilgtspējīgai un integrējošai izaugsmei.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Regional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policy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for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smart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growth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in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europe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2020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Periodika un citi informācijas avoti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Ekonomiskās analīzes vietne – Makroekonomika.lv;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Latvijas bankas izdevums „Averss un reverss”;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Latvijas bankas mājas lapa – www.bank.lv;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Laikraksti „Neatkarīgā Rīta Avīze”, „Dienas Bizness”, „Diena”, „Lauku avīze”;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LR Ekonomikas ministrijas mājas lapa – www.em.gov.lv;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LR Finanšu ministrijas mājas lapa – www.fm.gov.lv;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LR Centrālās statistikas pārvaldes mājas lapa – www.csb.gov.lv;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LR Labklājības ministrija – www.lm.gov.lv;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Nodarbinātības valsts aģentūras mājas lapa – nva.gov.lv;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Valsts reģionālās attīstības aģentūras datu vietne – www.raim.gov.lv;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Vides aizsardzības un reģionālas attīstības ministrija – www.varam.gov.lv;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>Žurnāli “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Forbes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”, “IR” „Kapitāls”, „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The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Economist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”, „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The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World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Economy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”, "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Regional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Studies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", "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Territory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Politics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,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Governance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", "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Spatial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Economic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 </w:t>
            </w:r>
            <w:proofErr w:type="spellStart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Analysis</w:t>
            </w:r>
            <w:proofErr w:type="spellEnd"/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 xml:space="preserve">" 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www.sciencedirect.com (ir pieejams visā DU datortīklā); search.epnet.com (ir pieejams visā DU datortīklā. 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 w:eastAsia="en-GB"/>
              </w:rPr>
              <w:t>Piezīmes</w:t>
            </w:r>
          </w:p>
        </w:tc>
      </w:tr>
      <w:tr w:rsidR="00633696" w:rsidRPr="00633696" w:rsidTr="0063369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33696" w:rsidRPr="00633696" w:rsidRDefault="00633696" w:rsidP="0063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</w:pP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br/>
              <w:t xml:space="preserve">Profesionālās augstākās izglītības bakalaura studiju programmas „Informācijas tehnoloģijas“ un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p</w:t>
            </w:r>
            <w:r w:rsidRPr="0063369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en-GB"/>
              </w:rPr>
              <w:t>irmā līmeņa profesionālās augstākās izglītības studiju programmas „Informācijas tehnoloģijas” studiju kurss. Kurss tiek docēts latviešu valodā.</w:t>
            </w:r>
          </w:p>
        </w:tc>
      </w:tr>
    </w:tbl>
    <w:p w:rsidR="00BF1B9E" w:rsidRPr="00633696" w:rsidRDefault="00BF1B9E">
      <w:pPr>
        <w:rPr>
          <w:lang w:val="lv-LV"/>
        </w:rPr>
      </w:pPr>
    </w:p>
    <w:sectPr w:rsidR="00BF1B9E" w:rsidRPr="00633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96"/>
    <w:rsid w:val="002A1764"/>
    <w:rsid w:val="002D73F3"/>
    <w:rsid w:val="004615FE"/>
    <w:rsid w:val="004B0E70"/>
    <w:rsid w:val="00523EB8"/>
    <w:rsid w:val="00633696"/>
    <w:rsid w:val="006A3E2F"/>
    <w:rsid w:val="007838BC"/>
    <w:rsid w:val="00BF1B9E"/>
    <w:rsid w:val="00F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8C3AA5"/>
  <w15:chartTrackingRefBased/>
  <w15:docId w15:val="{20FD7C89-8041-4CEF-A08A-EB412C03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369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3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Andrejs Radionovs</cp:lastModifiedBy>
  <cp:revision>5</cp:revision>
  <dcterms:created xsi:type="dcterms:W3CDTF">2023-04-03T08:20:00Z</dcterms:created>
  <dcterms:modified xsi:type="dcterms:W3CDTF">2024-03-11T09:40:00Z</dcterms:modified>
</cp:coreProperties>
</file>