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F4FF0" w14:textId="77777777" w:rsidR="00CF6D98" w:rsidRPr="00E2018D" w:rsidRDefault="00CF6D98" w:rsidP="00722A0C">
      <w:pPr>
        <w:pStyle w:val="Header"/>
        <w:jc w:val="center"/>
        <w:rPr>
          <w:b/>
        </w:rPr>
      </w:pPr>
      <w:r w:rsidRPr="00E2018D">
        <w:rPr>
          <w:b/>
        </w:rPr>
        <w:t>DAUGAVPILS UNIVERSITĀTES</w:t>
      </w:r>
    </w:p>
    <w:p w14:paraId="131A86CD" w14:textId="5D86C7D1" w:rsidR="00CF6D98" w:rsidRDefault="00CF6D98" w:rsidP="00722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18D">
        <w:rPr>
          <w:rFonts w:ascii="Times New Roman" w:hAnsi="Times New Roman" w:cs="Times New Roman"/>
          <w:b/>
          <w:sz w:val="24"/>
          <w:szCs w:val="24"/>
        </w:rPr>
        <w:t>STUDIJU KURSA APRAKSTS</w:t>
      </w:r>
    </w:p>
    <w:p w14:paraId="16AC7AAA" w14:textId="77777777" w:rsidR="00465F13" w:rsidRPr="00E2018D" w:rsidRDefault="00465F13" w:rsidP="00722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9075" w:type="dxa"/>
        <w:tblLayout w:type="fixed"/>
        <w:tblLook w:val="04A0" w:firstRow="1" w:lastRow="0" w:firstColumn="1" w:lastColumn="0" w:noHBand="0" w:noVBand="1"/>
      </w:tblPr>
      <w:tblGrid>
        <w:gridCol w:w="4481"/>
        <w:gridCol w:w="4558"/>
        <w:gridCol w:w="36"/>
      </w:tblGrid>
      <w:tr w:rsidR="0029701C" w:rsidRPr="00E2018D" w14:paraId="05BDC9E3" w14:textId="77777777" w:rsidTr="00C96923">
        <w:tc>
          <w:tcPr>
            <w:tcW w:w="4481" w:type="dxa"/>
          </w:tcPr>
          <w:p w14:paraId="7BB22D6D" w14:textId="77777777" w:rsidR="00CF6D98" w:rsidRPr="00E2018D" w:rsidRDefault="00CF6D98" w:rsidP="00722A0C">
            <w:pPr>
              <w:pStyle w:val="Nosaukumi"/>
            </w:pPr>
            <w:r w:rsidRPr="00E2018D">
              <w:br w:type="page"/>
            </w:r>
            <w:r w:rsidRPr="00E2018D">
              <w:br w:type="page"/>
            </w:r>
            <w:r w:rsidRPr="00E2018D">
              <w:br w:type="page"/>
            </w:r>
            <w:r w:rsidRPr="00E2018D">
              <w:br w:type="page"/>
              <w:t>Studiju kursa nosaukums</w:t>
            </w:r>
          </w:p>
        </w:tc>
        <w:tc>
          <w:tcPr>
            <w:tcW w:w="4594" w:type="dxa"/>
            <w:gridSpan w:val="2"/>
            <w:vAlign w:val="center"/>
          </w:tcPr>
          <w:p w14:paraId="0CA3DF64" w14:textId="390424AA" w:rsidR="00CF6D98" w:rsidRPr="00722A0C" w:rsidRDefault="00D416D4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722A0C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Modulis uzņēmējdarbības profesionālo kompetenču veidošanai I</w:t>
            </w:r>
            <w:r w:rsidR="00E2018D" w:rsidRPr="00722A0C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I</w:t>
            </w:r>
            <w:r w:rsidRPr="00722A0C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29701C" w:rsidRPr="00E2018D" w14:paraId="262D2814" w14:textId="77777777" w:rsidTr="00C96923">
        <w:tc>
          <w:tcPr>
            <w:tcW w:w="4481" w:type="dxa"/>
          </w:tcPr>
          <w:p w14:paraId="5CF6B2AD" w14:textId="77777777" w:rsidR="00CF6D98" w:rsidRPr="00E2018D" w:rsidRDefault="00CF6D98" w:rsidP="00722A0C">
            <w:pPr>
              <w:pStyle w:val="Nosaukumi"/>
            </w:pPr>
            <w:r w:rsidRPr="00E2018D">
              <w:t>Studiju kursa kods (DUIS)</w:t>
            </w:r>
          </w:p>
        </w:tc>
        <w:tc>
          <w:tcPr>
            <w:tcW w:w="4594" w:type="dxa"/>
            <w:gridSpan w:val="2"/>
            <w:vAlign w:val="center"/>
          </w:tcPr>
          <w:p w14:paraId="7F316CF0" w14:textId="534DE2B9" w:rsidR="00CF6D98" w:rsidRPr="00722A0C" w:rsidRDefault="00D416D4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722A0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Ties10</w:t>
            </w:r>
            <w:r w:rsidR="00E2018D" w:rsidRPr="00722A0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</w:tr>
      <w:tr w:rsidR="0029701C" w:rsidRPr="00E2018D" w14:paraId="7E9E0DEF" w14:textId="77777777" w:rsidTr="00C96923">
        <w:tc>
          <w:tcPr>
            <w:tcW w:w="4481" w:type="dxa"/>
          </w:tcPr>
          <w:p w14:paraId="2D674888" w14:textId="77777777" w:rsidR="00CF6D98" w:rsidRPr="00E2018D" w:rsidRDefault="00CF6D98" w:rsidP="00722A0C">
            <w:pPr>
              <w:pStyle w:val="Nosaukumi"/>
            </w:pPr>
            <w:r w:rsidRPr="00E2018D">
              <w:t>Zinātnes nozare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29117427"/>
            <w:placeholder>
              <w:docPart w:val="0026D4441B6B4C98B7528EE8EBB35A3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594" w:type="dxa"/>
                <w:gridSpan w:val="2"/>
              </w:tcPr>
              <w:p w14:paraId="6E5644E6" w14:textId="4477E60B" w:rsidR="00CF6D98" w:rsidRPr="00722A0C" w:rsidRDefault="005F799D" w:rsidP="00722A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22A0C">
                  <w:rPr>
                    <w:rFonts w:ascii="Times New Roman" w:hAnsi="Times New Roman" w:cs="Times New Roman"/>
                    <w:sz w:val="24"/>
                    <w:szCs w:val="24"/>
                  </w:rPr>
                  <w:t>Ekonomika un uzņēmējdarbība</w:t>
                </w:r>
              </w:p>
            </w:tc>
          </w:sdtContent>
        </w:sdt>
      </w:tr>
      <w:tr w:rsidR="0029701C" w:rsidRPr="00E2018D" w14:paraId="57FE3F73" w14:textId="77777777" w:rsidTr="00C96923">
        <w:tc>
          <w:tcPr>
            <w:tcW w:w="4481" w:type="dxa"/>
          </w:tcPr>
          <w:p w14:paraId="108976B3" w14:textId="77777777" w:rsidR="00CF6D98" w:rsidRPr="00E2018D" w:rsidRDefault="00CF6D98" w:rsidP="00722A0C">
            <w:pPr>
              <w:pStyle w:val="Nosaukumi"/>
            </w:pPr>
            <w:r w:rsidRPr="00E2018D">
              <w:t>Kursa līmenis</w:t>
            </w:r>
          </w:p>
        </w:tc>
        <w:tc>
          <w:tcPr>
            <w:tcW w:w="4594" w:type="dxa"/>
            <w:gridSpan w:val="2"/>
          </w:tcPr>
          <w:p w14:paraId="049B61A9" w14:textId="764E0725" w:rsidR="00CF6D98" w:rsidRPr="00E2018D" w:rsidRDefault="005F799D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701C" w:rsidRPr="00E2018D" w14:paraId="55614AFE" w14:textId="77777777" w:rsidTr="00C96923">
        <w:tc>
          <w:tcPr>
            <w:tcW w:w="4481" w:type="dxa"/>
          </w:tcPr>
          <w:p w14:paraId="4FD4FB50" w14:textId="77777777" w:rsidR="00CF6D98" w:rsidRPr="00E2018D" w:rsidRDefault="00CF6D98" w:rsidP="00722A0C">
            <w:pPr>
              <w:pStyle w:val="Nosaukumi"/>
              <w:rPr>
                <w:u w:val="single"/>
              </w:rPr>
            </w:pPr>
            <w:r w:rsidRPr="00E2018D">
              <w:t>Kredītpunkti</w:t>
            </w:r>
          </w:p>
        </w:tc>
        <w:tc>
          <w:tcPr>
            <w:tcW w:w="4594" w:type="dxa"/>
            <w:gridSpan w:val="2"/>
            <w:vAlign w:val="center"/>
          </w:tcPr>
          <w:p w14:paraId="38BA126A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701C" w:rsidRPr="00E2018D" w14:paraId="73DF8FE8" w14:textId="77777777" w:rsidTr="00C96923">
        <w:tc>
          <w:tcPr>
            <w:tcW w:w="4481" w:type="dxa"/>
          </w:tcPr>
          <w:p w14:paraId="1086CDFD" w14:textId="77777777" w:rsidR="00CF6D98" w:rsidRPr="00E2018D" w:rsidRDefault="00CF6D98" w:rsidP="00722A0C">
            <w:pPr>
              <w:pStyle w:val="Nosaukumi"/>
              <w:rPr>
                <w:u w:val="single"/>
              </w:rPr>
            </w:pPr>
            <w:r w:rsidRPr="00E2018D">
              <w:t>ECTS kredītpunkti</w:t>
            </w:r>
          </w:p>
        </w:tc>
        <w:tc>
          <w:tcPr>
            <w:tcW w:w="4594" w:type="dxa"/>
            <w:gridSpan w:val="2"/>
          </w:tcPr>
          <w:p w14:paraId="1E9922FA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701C" w:rsidRPr="00E2018D" w14:paraId="52C1A062" w14:textId="77777777" w:rsidTr="00C96923">
        <w:tc>
          <w:tcPr>
            <w:tcW w:w="4481" w:type="dxa"/>
          </w:tcPr>
          <w:p w14:paraId="62A0B53C" w14:textId="77777777" w:rsidR="00CF6D98" w:rsidRPr="00E2018D" w:rsidRDefault="00CF6D98" w:rsidP="00722A0C">
            <w:pPr>
              <w:pStyle w:val="Nosaukumi"/>
            </w:pPr>
            <w:r w:rsidRPr="00E2018D">
              <w:t>Kopējais kontaktstundu skaits</w:t>
            </w:r>
          </w:p>
        </w:tc>
        <w:tc>
          <w:tcPr>
            <w:tcW w:w="4594" w:type="dxa"/>
            <w:gridSpan w:val="2"/>
            <w:vAlign w:val="center"/>
          </w:tcPr>
          <w:p w14:paraId="4A55A5AC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9701C" w:rsidRPr="00E2018D" w14:paraId="6FD1E2FA" w14:textId="77777777" w:rsidTr="00C96923">
        <w:tc>
          <w:tcPr>
            <w:tcW w:w="4481" w:type="dxa"/>
          </w:tcPr>
          <w:p w14:paraId="6932B4D4" w14:textId="77777777" w:rsidR="00CF6D98" w:rsidRPr="00E2018D" w:rsidRDefault="00CF6D98" w:rsidP="00722A0C">
            <w:pPr>
              <w:pStyle w:val="Nosaukumi2"/>
            </w:pPr>
            <w:r w:rsidRPr="00E2018D">
              <w:t>Lekciju stundu skaits</w:t>
            </w:r>
          </w:p>
        </w:tc>
        <w:tc>
          <w:tcPr>
            <w:tcW w:w="4594" w:type="dxa"/>
            <w:gridSpan w:val="2"/>
          </w:tcPr>
          <w:p w14:paraId="59501210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9701C" w:rsidRPr="00E2018D" w14:paraId="4E378865" w14:textId="77777777" w:rsidTr="00C96923">
        <w:tc>
          <w:tcPr>
            <w:tcW w:w="4481" w:type="dxa"/>
          </w:tcPr>
          <w:p w14:paraId="61FD71A0" w14:textId="77777777" w:rsidR="00CF6D98" w:rsidRPr="00E2018D" w:rsidRDefault="00CF6D98" w:rsidP="00722A0C">
            <w:pPr>
              <w:pStyle w:val="Nosaukumi2"/>
            </w:pPr>
            <w:r w:rsidRPr="00E2018D">
              <w:t>Semināru stundu skaits</w:t>
            </w:r>
          </w:p>
        </w:tc>
        <w:tc>
          <w:tcPr>
            <w:tcW w:w="4594" w:type="dxa"/>
            <w:gridSpan w:val="2"/>
          </w:tcPr>
          <w:p w14:paraId="52FCFB0A" w14:textId="0320540D" w:rsidR="00CF6D98" w:rsidRPr="00E2018D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701C" w:rsidRPr="00E2018D" w14:paraId="64501DC2" w14:textId="77777777" w:rsidTr="00C96923">
        <w:tc>
          <w:tcPr>
            <w:tcW w:w="4481" w:type="dxa"/>
          </w:tcPr>
          <w:p w14:paraId="43787BC2" w14:textId="77777777" w:rsidR="00CF6D98" w:rsidRPr="00E2018D" w:rsidRDefault="00CF6D98" w:rsidP="00722A0C">
            <w:pPr>
              <w:pStyle w:val="Nosaukumi2"/>
            </w:pPr>
            <w:r w:rsidRPr="00E2018D">
              <w:t>Praktisko darbu stundu skaits</w:t>
            </w:r>
          </w:p>
        </w:tc>
        <w:tc>
          <w:tcPr>
            <w:tcW w:w="4594" w:type="dxa"/>
            <w:gridSpan w:val="2"/>
          </w:tcPr>
          <w:p w14:paraId="00309EFE" w14:textId="1D83E86D" w:rsidR="00CF6D98" w:rsidRPr="00E2018D" w:rsidRDefault="00E2018D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9701C" w:rsidRPr="00E2018D" w14:paraId="4811D327" w14:textId="77777777" w:rsidTr="00C96923">
        <w:tc>
          <w:tcPr>
            <w:tcW w:w="4481" w:type="dxa"/>
          </w:tcPr>
          <w:p w14:paraId="7092911D" w14:textId="77777777" w:rsidR="00CF6D98" w:rsidRPr="00E2018D" w:rsidRDefault="00CF6D98" w:rsidP="00722A0C">
            <w:pPr>
              <w:pStyle w:val="Nosaukumi2"/>
            </w:pPr>
            <w:r w:rsidRPr="00E2018D">
              <w:t>Laboratorijas darbu stundu skaits</w:t>
            </w:r>
          </w:p>
        </w:tc>
        <w:tc>
          <w:tcPr>
            <w:tcW w:w="4594" w:type="dxa"/>
            <w:gridSpan w:val="2"/>
          </w:tcPr>
          <w:p w14:paraId="41D5F481" w14:textId="17C496FC" w:rsidR="00CF6D98" w:rsidRPr="00E2018D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701C" w:rsidRPr="00E2018D" w14:paraId="5948DA68" w14:textId="77777777" w:rsidTr="00C96923">
        <w:tc>
          <w:tcPr>
            <w:tcW w:w="4481" w:type="dxa"/>
          </w:tcPr>
          <w:p w14:paraId="6EDE5449" w14:textId="77777777" w:rsidR="00CF6D98" w:rsidRPr="00E2018D" w:rsidRDefault="00CF6D98" w:rsidP="00722A0C">
            <w:pPr>
              <w:pStyle w:val="Nosaukumi2"/>
              <w:rPr>
                <w:lang w:eastAsia="lv-LV"/>
              </w:rPr>
            </w:pPr>
            <w:r w:rsidRPr="00E2018D">
              <w:rPr>
                <w:lang w:eastAsia="lv-LV"/>
              </w:rPr>
              <w:t>Studējošā patstāvīgā darba stundu skaits</w:t>
            </w:r>
          </w:p>
        </w:tc>
        <w:tc>
          <w:tcPr>
            <w:tcW w:w="4594" w:type="dxa"/>
            <w:gridSpan w:val="2"/>
            <w:vAlign w:val="center"/>
          </w:tcPr>
          <w:p w14:paraId="62545B8B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9701C" w:rsidRPr="00E2018D" w14:paraId="379C30FA" w14:textId="77777777" w:rsidTr="00C96923">
        <w:tc>
          <w:tcPr>
            <w:tcW w:w="9075" w:type="dxa"/>
            <w:gridSpan w:val="3"/>
          </w:tcPr>
          <w:p w14:paraId="5AEFABBC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9701C" w:rsidRPr="00E2018D" w14:paraId="3A6AE714" w14:textId="77777777" w:rsidTr="00C96923">
        <w:tc>
          <w:tcPr>
            <w:tcW w:w="9075" w:type="dxa"/>
            <w:gridSpan w:val="3"/>
          </w:tcPr>
          <w:p w14:paraId="7E0FACF3" w14:textId="77777777" w:rsidR="00CF6D98" w:rsidRPr="00E2018D" w:rsidRDefault="00CF6D98" w:rsidP="00722A0C">
            <w:pPr>
              <w:pStyle w:val="Nosaukumi"/>
            </w:pPr>
            <w:r w:rsidRPr="00E2018D">
              <w:t>Kursa autors(-i)</w:t>
            </w:r>
          </w:p>
        </w:tc>
      </w:tr>
      <w:tr w:rsidR="0029701C" w:rsidRPr="00E2018D" w14:paraId="6EE78171" w14:textId="77777777" w:rsidTr="00C96923">
        <w:tc>
          <w:tcPr>
            <w:tcW w:w="9075" w:type="dxa"/>
            <w:gridSpan w:val="3"/>
          </w:tcPr>
          <w:p w14:paraId="322FCD66" w14:textId="0D8C9709" w:rsidR="00CF6D98" w:rsidRPr="00722A0C" w:rsidRDefault="00E2018D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Dr.oec.</w:t>
            </w:r>
            <w:r w:rsidR="00252F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, doc.</w:t>
            </w:r>
            <w:r w:rsidRPr="00722A0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722A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Oksana Ruža</w:t>
            </w:r>
          </w:p>
        </w:tc>
      </w:tr>
      <w:tr w:rsidR="0029701C" w:rsidRPr="00E2018D" w14:paraId="21890159" w14:textId="77777777" w:rsidTr="00C96923">
        <w:tc>
          <w:tcPr>
            <w:tcW w:w="9075" w:type="dxa"/>
            <w:gridSpan w:val="3"/>
          </w:tcPr>
          <w:p w14:paraId="425DBF84" w14:textId="77777777" w:rsidR="00CF6D98" w:rsidRPr="00E2018D" w:rsidRDefault="00CF6D98" w:rsidP="00722A0C">
            <w:pPr>
              <w:pStyle w:val="Nosaukumi"/>
            </w:pPr>
            <w:r w:rsidRPr="00E2018D">
              <w:t>Kursa docētājs(-i)</w:t>
            </w:r>
          </w:p>
        </w:tc>
      </w:tr>
      <w:tr w:rsidR="0029701C" w:rsidRPr="00E2018D" w14:paraId="78183274" w14:textId="77777777" w:rsidTr="00C96923">
        <w:tc>
          <w:tcPr>
            <w:tcW w:w="9075" w:type="dxa"/>
            <w:gridSpan w:val="3"/>
          </w:tcPr>
          <w:p w14:paraId="6933823C" w14:textId="6BFF1671" w:rsidR="00CF6D98" w:rsidRPr="00722A0C" w:rsidRDefault="00E2018D" w:rsidP="00722A0C">
            <w:pPr>
              <w:pStyle w:val="Heading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  <w:lang w:val="lv-LV"/>
              </w:rPr>
            </w:pPr>
            <w:r w:rsidRPr="00722A0C">
              <w:rPr>
                <w:b w:val="0"/>
                <w:bCs w:val="0"/>
                <w:color w:val="333333"/>
                <w:sz w:val="24"/>
                <w:szCs w:val="24"/>
                <w:lang w:val="lv-LV"/>
              </w:rPr>
              <w:t>Dr.oec.</w:t>
            </w:r>
            <w:r w:rsidR="00252F12">
              <w:rPr>
                <w:b w:val="0"/>
                <w:bCs w:val="0"/>
                <w:color w:val="333333"/>
                <w:sz w:val="24"/>
                <w:szCs w:val="24"/>
                <w:lang w:val="lv-LV"/>
              </w:rPr>
              <w:t>, doc.</w:t>
            </w:r>
            <w:r w:rsidRPr="00722A0C">
              <w:rPr>
                <w:b w:val="0"/>
                <w:bCs w:val="0"/>
                <w:color w:val="333333"/>
                <w:sz w:val="24"/>
                <w:szCs w:val="24"/>
                <w:lang w:val="lv-LV"/>
              </w:rPr>
              <w:t xml:space="preserve"> </w:t>
            </w:r>
            <w:r w:rsidRPr="00722A0C">
              <w:rPr>
                <w:b w:val="0"/>
                <w:bCs w:val="0"/>
                <w:sz w:val="24"/>
                <w:szCs w:val="24"/>
                <w:lang w:val="lv-LV"/>
              </w:rPr>
              <w:t>Oksana Ruža</w:t>
            </w:r>
            <w:r w:rsidR="00722A0C" w:rsidRPr="00722A0C">
              <w:rPr>
                <w:b w:val="0"/>
                <w:bCs w:val="0"/>
                <w:sz w:val="24"/>
                <w:szCs w:val="24"/>
                <w:lang w:val="lv-LV"/>
              </w:rPr>
              <w:t>,</w:t>
            </w:r>
            <w:r w:rsidR="00722A0C" w:rsidRPr="00722A0C">
              <w:rPr>
                <w:b w:val="0"/>
                <w:lang w:val="lv-LV"/>
              </w:rPr>
              <w:t xml:space="preserve"> </w:t>
            </w:r>
            <w:r w:rsidR="00722A0C" w:rsidRPr="00722A0C">
              <w:rPr>
                <w:b w:val="0"/>
                <w:bCs w:val="0"/>
                <w:sz w:val="24"/>
                <w:szCs w:val="24"/>
                <w:lang w:val="lv-LV"/>
              </w:rPr>
              <w:t>Dr.oec., asoc.prof. Ludmila Aleksejeva</w:t>
            </w:r>
          </w:p>
        </w:tc>
      </w:tr>
      <w:tr w:rsidR="0029701C" w:rsidRPr="00E2018D" w14:paraId="69D5E8F6" w14:textId="77777777" w:rsidTr="00C96923">
        <w:tc>
          <w:tcPr>
            <w:tcW w:w="9075" w:type="dxa"/>
            <w:gridSpan w:val="3"/>
          </w:tcPr>
          <w:p w14:paraId="5354733E" w14:textId="77777777" w:rsidR="00CF6D98" w:rsidRPr="00E2018D" w:rsidRDefault="00CF6D98" w:rsidP="00722A0C">
            <w:pPr>
              <w:pStyle w:val="Nosaukumi"/>
            </w:pPr>
            <w:r w:rsidRPr="00E2018D">
              <w:t>Priekšzināšanas</w:t>
            </w:r>
          </w:p>
        </w:tc>
      </w:tr>
      <w:tr w:rsidR="0029701C" w:rsidRPr="00E2018D" w14:paraId="0023C565" w14:textId="77777777" w:rsidTr="00C96923">
        <w:tc>
          <w:tcPr>
            <w:tcW w:w="9075" w:type="dxa"/>
            <w:gridSpan w:val="3"/>
          </w:tcPr>
          <w:p w14:paraId="4E572498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:rsidR="0029701C" w:rsidRPr="00E2018D" w14:paraId="17B0F4D2" w14:textId="77777777" w:rsidTr="00C96923">
        <w:tc>
          <w:tcPr>
            <w:tcW w:w="9075" w:type="dxa"/>
            <w:gridSpan w:val="3"/>
          </w:tcPr>
          <w:p w14:paraId="775875ED" w14:textId="77777777" w:rsidR="00CF6D98" w:rsidRPr="00E2018D" w:rsidRDefault="00CF6D98" w:rsidP="00722A0C">
            <w:pPr>
              <w:pStyle w:val="Nosaukumi"/>
            </w:pPr>
            <w:r w:rsidRPr="00E2018D">
              <w:t xml:space="preserve">Studiju kursa anotācija </w:t>
            </w:r>
          </w:p>
        </w:tc>
      </w:tr>
      <w:tr w:rsidR="0029701C" w:rsidRPr="00E2018D" w14:paraId="13657A4D" w14:textId="77777777" w:rsidTr="00C96923">
        <w:tc>
          <w:tcPr>
            <w:tcW w:w="9075" w:type="dxa"/>
            <w:gridSpan w:val="3"/>
          </w:tcPr>
          <w:p w14:paraId="6A78962A" w14:textId="77777777" w:rsidR="00722A0C" w:rsidRDefault="00722A0C" w:rsidP="00722A0C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KURSA MĒRĶIS:</w:t>
            </w:r>
          </w:p>
          <w:p w14:paraId="129EA645" w14:textId="6611E140" w:rsidR="00722A0C" w:rsidRDefault="00E2018D" w:rsidP="00B96E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Apgūst izpratne par Latvijas nodokļu sistēmu, nodokļu administrāciju un aplikšanas ar nodokļiem likumsakarībām, iegūtas prasmes sastādīt un interpretēt nodokļu deklarācijas, kā arī novērtēt nodokļu ietekmi uz maksātāju.</w:t>
            </w:r>
          </w:p>
          <w:p w14:paraId="7ECA8703" w14:textId="77777777" w:rsidR="00B96E50" w:rsidRDefault="00B96E50" w:rsidP="00B96E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14:paraId="783A113B" w14:textId="6F2B51DE" w:rsidR="00722A0C" w:rsidRDefault="00722A0C" w:rsidP="00722A0C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KURSA UZDEVUMI:</w:t>
            </w:r>
          </w:p>
          <w:p w14:paraId="3E065130" w14:textId="604D449E" w:rsidR="00CF6D98" w:rsidRPr="00E2018D" w:rsidRDefault="00722A0C" w:rsidP="00B96E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</w:t>
            </w:r>
            <w:r w:rsidR="00E2018D"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egūst zināšanas un prasmes par uzņēmumu finanšu grāmatvedības organizāciju un kārtošanu, kā arī iemaņas uzskaites informāciju izmantot vadības lēmumu pieņemšanai.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N</w:t>
            </w:r>
            <w:r w:rsidR="00E2018D"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oskaidrot uzņēmuma grāmatvedības organizācijas principus; apgūt īpašuma objektu, finansēšanas avotu, finansiālās darbības rezultāta uzskaites kārtību teorētiski un uz praktisko uzdevumu bāzes; praktiski vingrināties finanšu pārskatu sastādīšanā; iepazīties ar finanšu grāmatvedībā un pārskatos iekļauto datu izmantošanas iespējām uzņēmuma vadībai.</w:t>
            </w:r>
          </w:p>
        </w:tc>
      </w:tr>
      <w:tr w:rsidR="0029701C" w:rsidRPr="00E2018D" w14:paraId="3BB292AB" w14:textId="77777777" w:rsidTr="00C96923">
        <w:tc>
          <w:tcPr>
            <w:tcW w:w="9075" w:type="dxa"/>
            <w:gridSpan w:val="3"/>
          </w:tcPr>
          <w:p w14:paraId="3711A9F9" w14:textId="77777777" w:rsidR="00CF6D98" w:rsidRPr="00E2018D" w:rsidRDefault="00CF6D98" w:rsidP="00722A0C">
            <w:pPr>
              <w:pStyle w:val="Nosaukumi"/>
            </w:pPr>
            <w:r w:rsidRPr="00E2018D">
              <w:t>Studiju kursa kalendārais plāns</w:t>
            </w:r>
          </w:p>
        </w:tc>
      </w:tr>
      <w:tr w:rsidR="0029701C" w:rsidRPr="00E2018D" w14:paraId="016DA782" w14:textId="77777777" w:rsidTr="00C96923">
        <w:tc>
          <w:tcPr>
            <w:tcW w:w="9075" w:type="dxa"/>
            <w:gridSpan w:val="3"/>
          </w:tcPr>
          <w:p w14:paraId="441E7509" w14:textId="3ADE27DB" w:rsidR="00722A0C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7E0">
              <w:rPr>
                <w:rFonts w:ascii="Times New Roman" w:hAnsi="Times New Roman" w:cs="Times New Roman"/>
                <w:sz w:val="24"/>
                <w:szCs w:val="24"/>
              </w:rPr>
              <w:t xml:space="preserve">Kursa struktūra: lekcijas – 16 st., praktiskie darbi </w:t>
            </w:r>
            <w:r w:rsidR="00B96E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07E0">
              <w:rPr>
                <w:rFonts w:ascii="Times New Roman" w:hAnsi="Times New Roman" w:cs="Times New Roman"/>
                <w:sz w:val="24"/>
                <w:szCs w:val="24"/>
              </w:rPr>
              <w:t xml:space="preserve"> 16 st.</w:t>
            </w:r>
          </w:p>
          <w:p w14:paraId="4F2A5B6E" w14:textId="77777777" w:rsidR="00722A0C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AAFBA" w14:textId="3E45FFE9" w:rsidR="00E2018D" w:rsidRPr="00E2018D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Aplikšanas ar nodokļiem teorētiskie aspekti.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14:paraId="74D8F724" w14:textId="734EE121" w:rsidR="00E2018D" w:rsidRPr="00E2018D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Latvijas nodokļu sistēmas sakārtošana atbilstoši Eiropas Savienības prasībām.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14:paraId="70E2DCC2" w14:textId="19231532" w:rsidR="00E2018D" w:rsidRPr="00E2018D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Latvijas Republikas nodokļu un nodevu sistēma.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, P6</w:t>
            </w:r>
          </w:p>
          <w:p w14:paraId="5AD16B9A" w14:textId="5F4AE7E8" w:rsidR="00E2018D" w:rsidRPr="00E2018D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Grāmatvedības jēdziens, principi un elementi. </w:t>
            </w:r>
            <w:r w:rsidR="003013AC"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Inventarizācija.</w:t>
            </w:r>
            <w:r w:rsid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13AC"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P2</w:t>
            </w:r>
          </w:p>
          <w:p w14:paraId="32D55D36" w14:textId="53185DBF" w:rsidR="00E2018D" w:rsidRPr="00722A0C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Finanšu grāmatvedības un vadības grāmatvedības atšķirības. </w:t>
            </w:r>
            <w:r w:rsidRPr="00722A0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722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2A0C">
              <w:rPr>
                <w:rFonts w:ascii="Times New Roman" w:hAnsi="Times New Roman" w:cs="Times New Roman"/>
                <w:sz w:val="24"/>
                <w:szCs w:val="24"/>
              </w:rPr>
              <w:t>, P2</w:t>
            </w:r>
          </w:p>
          <w:p w14:paraId="75B508EA" w14:textId="342EDD14" w:rsidR="00E2018D" w:rsidRPr="003013AC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Ilgtermiņa ieguldījumu jēdziens, klasifikācija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Apgrozāmo līdzekļu jēdziens, klasifikācija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5993B51" w14:textId="45737477" w:rsidR="00E2018D" w:rsidRPr="003013AC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Finansēšanas avota – pašu kapitāla jēdziens, sastāvs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Finansēšanas avota – aizņemtā kapitāla jēdziens, klasifikācija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F84C5B3" w14:textId="629BB3AC" w:rsidR="00E2018D" w:rsidRPr="003013AC" w:rsidRDefault="00E2018D" w:rsidP="00B96E50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Finanšu rezultāti, to uzskaite. Grāmatvedības pārskati.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, P2</w:t>
            </w:r>
          </w:p>
          <w:p w14:paraId="2A4A5AB9" w14:textId="77777777" w:rsidR="003013AC" w:rsidRPr="00E2018D" w:rsidRDefault="003013AC" w:rsidP="003013AC">
            <w:pPr>
              <w:pStyle w:val="ListParagraph"/>
              <w:ind w:left="426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14:paraId="10A33EDB" w14:textId="1A4594AA" w:rsidR="00CF6D98" w:rsidRPr="003013AC" w:rsidRDefault="00CF6D98" w:rsidP="00722A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3AC">
              <w:rPr>
                <w:rFonts w:ascii="Times New Roman" w:hAnsi="Times New Roman" w:cs="Times New Roman"/>
                <w:i/>
                <w:sz w:val="24"/>
                <w:szCs w:val="24"/>
              </w:rPr>
              <w:t>L -  lekcija</w:t>
            </w:r>
          </w:p>
          <w:p w14:paraId="7C3E69CC" w14:textId="10DFAE49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3AC">
              <w:rPr>
                <w:rFonts w:ascii="Times New Roman" w:hAnsi="Times New Roman" w:cs="Times New Roman"/>
                <w:i/>
                <w:sz w:val="24"/>
                <w:szCs w:val="24"/>
              </w:rPr>
              <w:t>P – praktiskie darbi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701C" w:rsidRPr="00E2018D" w14:paraId="65F643C1" w14:textId="77777777" w:rsidTr="00C96923">
        <w:tc>
          <w:tcPr>
            <w:tcW w:w="9075" w:type="dxa"/>
            <w:gridSpan w:val="3"/>
          </w:tcPr>
          <w:p w14:paraId="66BFC505" w14:textId="77777777" w:rsidR="00CF6D98" w:rsidRPr="00E2018D" w:rsidRDefault="00CF6D98" w:rsidP="00722A0C">
            <w:pPr>
              <w:pStyle w:val="Nosaukumi"/>
            </w:pPr>
            <w:r w:rsidRPr="00E2018D">
              <w:lastRenderedPageBreak/>
              <w:t>Studiju rezultāti</w:t>
            </w:r>
          </w:p>
        </w:tc>
      </w:tr>
      <w:tr w:rsidR="0029701C" w:rsidRPr="00E2018D" w14:paraId="76650DC4" w14:textId="77777777" w:rsidTr="00C96923">
        <w:tc>
          <w:tcPr>
            <w:tcW w:w="9075" w:type="dxa"/>
            <w:gridSpan w:val="3"/>
          </w:tcPr>
          <w:p w14:paraId="339240D8" w14:textId="071736C4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ZINĀŠANAS:</w:t>
            </w:r>
          </w:p>
          <w:p w14:paraId="61514D81" w14:textId="45AF6723" w:rsidR="00D416D4" w:rsidRPr="00E2018D" w:rsidRDefault="003B0978" w:rsidP="00B96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 </w:t>
            </w:r>
            <w:r w:rsidR="00E2018D"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zina nodokļu jēdzienu un aplikšanas ar nodokļiem likumsakarības</w:t>
            </w:r>
            <w:r w:rsidR="00D416D4"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03C9A36E" w14:textId="77777777" w:rsidR="00E2018D" w:rsidRPr="00E2018D" w:rsidRDefault="003B0978" w:rsidP="00B96E5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</w:t>
            </w:r>
            <w:r w:rsidR="00E2018D"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zina nodokļu administrācijas institūciju uzdevumus, grāmatvedības jēdzienu un tās elementus un nodokļu maksātāju atbildību</w:t>
            </w:r>
            <w:r w:rsidR="00D416D4"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D416D4"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ABD43D2" w14:textId="524CB282" w:rsidR="00E2018D" w:rsidRDefault="00E2018D" w:rsidP="00B96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</w:t>
            </w: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zina atsevišķu nodokļu veidu piemērošanas noteikumus, elementus, aprēķināšanas kārtību;</w:t>
            </w:r>
          </w:p>
          <w:p w14:paraId="6368F686" w14:textId="77777777" w:rsidR="00465F13" w:rsidRPr="00E2018D" w:rsidRDefault="00465F13" w:rsidP="00B96E5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01B1694" w14:textId="77777777" w:rsidR="00CF6D98" w:rsidRPr="00E2018D" w:rsidRDefault="00CF6D98" w:rsidP="00B96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PRASMES:</w:t>
            </w:r>
          </w:p>
          <w:p w14:paraId="77EF16F1" w14:textId="77777777" w:rsidR="00E2018D" w:rsidRPr="00E2018D" w:rsidRDefault="00D416D4" w:rsidP="00B96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</w:t>
            </w:r>
            <w:r w:rsidR="00E2018D"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prot sastādīt un interpretēt nodokļu un informatīvās deklarācijas;</w:t>
            </w:r>
          </w:p>
          <w:p w14:paraId="7CDE2C48" w14:textId="0F6B191F" w:rsidR="00E2018D" w:rsidRPr="00E2018D" w:rsidRDefault="00E2018D" w:rsidP="00B96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prot grupēt saimnieciskos darījumus, veikt nepieciešamos aprēķinus un uzskaitīt galarezultātu;</w:t>
            </w:r>
          </w:p>
          <w:p w14:paraId="6EE836AF" w14:textId="77777777" w:rsidR="00465F13" w:rsidRDefault="00E2018D" w:rsidP="00B96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prot sistematizēt, klasificēt un uzskaitīt grāmatvedības informāciju, izmantojot grāmatvedības kontus un reģistrus.</w:t>
            </w:r>
          </w:p>
          <w:p w14:paraId="5558E726" w14:textId="4CC64F97" w:rsidR="00CF6D98" w:rsidRPr="00E2018D" w:rsidRDefault="00D416D4" w:rsidP="00B96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F6D98" w:rsidRPr="00E2018D">
              <w:rPr>
                <w:rFonts w:ascii="Times New Roman" w:hAnsi="Times New Roman" w:cs="Times New Roman"/>
                <w:sz w:val="24"/>
                <w:szCs w:val="24"/>
              </w:rPr>
              <w:t>KOMPETENCE:</w:t>
            </w:r>
          </w:p>
          <w:p w14:paraId="0379BE00" w14:textId="77777777" w:rsidR="00E2018D" w:rsidRPr="00E2018D" w:rsidRDefault="00E2018D" w:rsidP="00B96E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7. </w:t>
            </w: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spēj klasificēt un raksturot grāmatvedības uzskaites objektus;</w:t>
            </w:r>
          </w:p>
          <w:p w14:paraId="1846FD03" w14:textId="54C3C44B" w:rsidR="00CF6D98" w:rsidRPr="00E2018D" w:rsidRDefault="00E2018D" w:rsidP="00B96E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8. </w:t>
            </w:r>
            <w:r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>spēj pielietot grāmatvedības uzskaites objektu novērtēšanas un aprēķināšanas principus un metodes.</w:t>
            </w:r>
            <w:r w:rsidR="005753AD" w:rsidRPr="00E20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701C" w:rsidRPr="00E2018D" w14:paraId="0340E580" w14:textId="77777777" w:rsidTr="00C96923">
        <w:tc>
          <w:tcPr>
            <w:tcW w:w="9075" w:type="dxa"/>
            <w:gridSpan w:val="3"/>
          </w:tcPr>
          <w:p w14:paraId="1DCE0274" w14:textId="77777777" w:rsidR="00CF6D98" w:rsidRPr="00E2018D" w:rsidRDefault="00CF6D98" w:rsidP="00722A0C">
            <w:pPr>
              <w:pStyle w:val="Nosaukumi"/>
            </w:pPr>
            <w:r w:rsidRPr="00E2018D">
              <w:t>Studējošo patstāvīgo darbu organizācijas un uzdevumu raksturojums</w:t>
            </w:r>
          </w:p>
        </w:tc>
      </w:tr>
      <w:tr w:rsidR="0029701C" w:rsidRPr="00E2018D" w14:paraId="0A878322" w14:textId="77777777" w:rsidTr="00C96923">
        <w:tc>
          <w:tcPr>
            <w:tcW w:w="9075" w:type="dxa"/>
            <w:gridSpan w:val="3"/>
          </w:tcPr>
          <w:p w14:paraId="0231FE02" w14:textId="6524E708" w:rsidR="00CF6D98" w:rsidRPr="00E2018D" w:rsidRDefault="00CF6D98" w:rsidP="00B96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Patstāvīgais darbs paredzēts pēc katras lekcijas un semināra un ir saistīts ar lekcijas tēmu padziļinātu analīzi. Patstāvīgā darba ietvaros tiek veikta literatūras avotu analīze. Studējošie patstāvīgā darba ietvaros gatavojas </w:t>
            </w:r>
            <w:r w:rsidR="005753AD"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kursa starppārbaudījumiem un noslēguma pārbaudījumam. </w:t>
            </w:r>
          </w:p>
          <w:p w14:paraId="52EA4BE5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6C20A2AE" w14:textId="77777777" w:rsidR="00B96E50" w:rsidRDefault="00C96923" w:rsidP="00B96E50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Studiju kursā jāizstrādā patstā</w:t>
            </w:r>
            <w:r w:rsidR="005753AD"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vīgie darbi (Starppārbaudījumi)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0EF3F922" w14:textId="1A2511D9" w:rsidR="00E2018D" w:rsidRPr="00E2018D" w:rsidRDefault="00C96923" w:rsidP="00B96E50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1.starppārbaudījums. </w:t>
            </w:r>
            <w:r w:rsidR="00E2018D"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Studējošo patstāvīgais darbs: Izvērtēt Latvijas nodokļus pēc nodokļu elementiem. Analizēt Latvijas kopbudžeta ieņēmumu faktiskās izpildes struktūru. Izvērtēt nodokļu maksājumu ietekmi uz uzņēmuma saimnieciskās un finansiālās darbības rādītājiem</w:t>
            </w:r>
            <w:r w:rsidR="00B96E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B96E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20 %.</w:t>
            </w:r>
          </w:p>
          <w:p w14:paraId="1614B95F" w14:textId="2A6D07E6" w:rsidR="00E2018D" w:rsidRPr="00E2018D" w:rsidRDefault="00C96923" w:rsidP="00722A0C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2.starppārbaudījums. </w:t>
            </w:r>
            <w:r w:rsidR="00E2018D"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Kontroldarbs</w:t>
            </w:r>
            <w:r w:rsidR="005753AD"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  <w:r w:rsidR="005753AD"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E2018D"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="005753AD"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%</w:t>
            </w:r>
          </w:p>
          <w:p w14:paraId="4B012C0F" w14:textId="77777777" w:rsidR="00B96E50" w:rsidRDefault="00E2018D" w:rsidP="00722A0C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3.starppārbaudījums. </w:t>
            </w: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Kontroldarbs.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- 10%</w:t>
            </w:r>
          </w:p>
          <w:p w14:paraId="5AAC792D" w14:textId="44C81602" w:rsidR="00E2018D" w:rsidRPr="00E2018D" w:rsidRDefault="00E2018D" w:rsidP="00722A0C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Dalības un aktivitātes praktiskajās nodarbībās 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- 20 %.</w:t>
            </w:r>
          </w:p>
          <w:p w14:paraId="468F8253" w14:textId="0704136B" w:rsidR="00465F13" w:rsidRPr="00E2018D" w:rsidRDefault="00C96923" w:rsidP="00B96E5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Noslēguma pārbaudījums (</w:t>
            </w:r>
            <w:r w:rsidR="00722A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ieskaite ar atzīmi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r w:rsidR="005753AD"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</w:t>
            </w:r>
            <w:r w:rsidRPr="00E201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29701C" w:rsidRPr="00E2018D" w14:paraId="230483A1" w14:textId="77777777" w:rsidTr="00C96923">
        <w:tc>
          <w:tcPr>
            <w:tcW w:w="9075" w:type="dxa"/>
            <w:gridSpan w:val="3"/>
          </w:tcPr>
          <w:p w14:paraId="0BBE6A66" w14:textId="77777777" w:rsidR="00CF6D98" w:rsidRPr="00E2018D" w:rsidRDefault="00CF6D98" w:rsidP="00722A0C">
            <w:pPr>
              <w:pStyle w:val="Nosaukumi"/>
            </w:pPr>
            <w:r w:rsidRPr="00E2018D">
              <w:t>Prasības kredītpunktu iegūšanai</w:t>
            </w:r>
          </w:p>
        </w:tc>
      </w:tr>
      <w:tr w:rsidR="0029701C" w:rsidRPr="00E2018D" w14:paraId="6DEB32C2" w14:textId="77777777" w:rsidTr="00C96923">
        <w:tc>
          <w:tcPr>
            <w:tcW w:w="9075" w:type="dxa"/>
            <w:gridSpan w:val="3"/>
          </w:tcPr>
          <w:p w14:paraId="7F3A7048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14:paraId="7FF26E37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B421F" w14:textId="6B168EB5" w:rsidR="00CF6D98" w:rsidRDefault="00CF6D98" w:rsidP="00B96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Studiju kursa apguve tiek vērtēta, izmantojot 10 ballu skalu, saskaņā ar Latvijas</w:t>
            </w:r>
            <w:r w:rsidR="00B96E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17BA2E98" w14:textId="77777777" w:rsidR="00465F13" w:rsidRPr="00E2018D" w:rsidRDefault="00465F13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FA81F" w14:textId="1D36E281" w:rsidR="00CF6D98" w:rsidRPr="00E2018D" w:rsidRDefault="00CF6D98" w:rsidP="00B96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Pie </w:t>
            </w:r>
            <w:r w:rsidR="00465F13">
              <w:rPr>
                <w:rFonts w:ascii="Times New Roman" w:hAnsi="Times New Roman" w:cs="Times New Roman"/>
                <w:sz w:val="24"/>
                <w:szCs w:val="24"/>
              </w:rPr>
              <w:t>ieskaites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kārtošanas tiek pielaisti tikai tie studējošie, kas ir nokārtojuši </w:t>
            </w:r>
            <w:r w:rsidR="005753AD" w:rsidRPr="00E2018D">
              <w:rPr>
                <w:rFonts w:ascii="Times New Roman" w:hAnsi="Times New Roman" w:cs="Times New Roman"/>
                <w:sz w:val="24"/>
                <w:szCs w:val="24"/>
              </w:rPr>
              <w:t>starppārbaudījumu</w:t>
            </w:r>
            <w:r w:rsidR="00B96E50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22719CE8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D3CA1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STUDIJU REZULTĀTU VĒRTĒŠANA</w:t>
            </w:r>
          </w:p>
          <w:p w14:paraId="5A2BF036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6523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117"/>
              <w:gridCol w:w="417"/>
              <w:gridCol w:w="418"/>
              <w:gridCol w:w="418"/>
              <w:gridCol w:w="418"/>
              <w:gridCol w:w="418"/>
              <w:gridCol w:w="418"/>
              <w:gridCol w:w="418"/>
              <w:gridCol w:w="481"/>
            </w:tblGrid>
            <w:tr w:rsidR="0029701C" w:rsidRPr="00E2018D" w14:paraId="4365B05E" w14:textId="77777777" w:rsidTr="004120F0">
              <w:trPr>
                <w:jc w:val="center"/>
              </w:trPr>
              <w:tc>
                <w:tcPr>
                  <w:tcW w:w="31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AB2E0B" w14:textId="77777777" w:rsidR="00C96923" w:rsidRPr="00E2018D" w:rsidRDefault="00C96923" w:rsidP="00722A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406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582CF2" w14:textId="2C1D9AEF" w:rsidR="00C96923" w:rsidRPr="00E2018D" w:rsidRDefault="00C96923" w:rsidP="00722A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</w:t>
                  </w:r>
                </w:p>
              </w:tc>
            </w:tr>
            <w:tr w:rsidR="004120F0" w:rsidRPr="00E2018D" w14:paraId="36A5641F" w14:textId="77777777" w:rsidTr="004120F0">
              <w:trPr>
                <w:jc w:val="center"/>
              </w:trPr>
              <w:tc>
                <w:tcPr>
                  <w:tcW w:w="31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2BECF4" w14:textId="77777777" w:rsidR="004120F0" w:rsidRPr="00E2018D" w:rsidRDefault="004120F0" w:rsidP="00722A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2E0835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7FDC29A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1F769F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168215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989550B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9052C0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C35BB9" w14:textId="77777777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FD69BB" w14:textId="75632BD8" w:rsidR="004120F0" w:rsidRPr="00E2018D" w:rsidRDefault="004120F0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</w:tr>
            <w:tr w:rsidR="00465F13" w:rsidRPr="00E2018D" w14:paraId="70FA9BD3" w14:textId="77777777" w:rsidTr="004120F0">
              <w:trPr>
                <w:jc w:val="center"/>
              </w:trPr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FEBC1A" w14:textId="3EEB3B11" w:rsidR="00465F13" w:rsidRPr="00E2018D" w:rsidRDefault="00465F13" w:rsidP="00465F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starppārbaudījums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82E5D2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B781DB" w14:textId="2DA8132D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FD93DD" w14:textId="23F47B4B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1E4EF1" w14:textId="59D33EC9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AC73C3B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5E849E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126B6D" w14:textId="4BF89F38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CD11D7" w14:textId="4C5AA1A9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13" w:rsidRPr="00E2018D" w14:paraId="6D39941D" w14:textId="77777777" w:rsidTr="004120F0">
              <w:trPr>
                <w:jc w:val="center"/>
              </w:trPr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E562E" w14:textId="19D6CA43" w:rsidR="00465F13" w:rsidRPr="00E2018D" w:rsidRDefault="00465F13" w:rsidP="00465F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starppārbaudījums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8CE7DE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A82296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43C6E9" w14:textId="31A0C33F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329A36" w14:textId="7F6F24F2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52BA9F" w14:textId="65E948AE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CE37A8" w14:textId="41962349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3A1653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775661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13" w:rsidRPr="00E2018D" w14:paraId="249236E4" w14:textId="77777777" w:rsidTr="004120F0">
              <w:trPr>
                <w:jc w:val="center"/>
              </w:trPr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38EA1B" w14:textId="6745EF72" w:rsidR="00465F13" w:rsidRPr="00E2018D" w:rsidRDefault="00465F13" w:rsidP="00465F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starppārbaudījums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7A02C5" w14:textId="7660ED11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C92E2A" w14:textId="01355740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FCB8A2" w14:textId="752AACD5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43DB3E" w14:textId="71BAFDE8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3EC2CC" w14:textId="2DABA64B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C3EDD0" w14:textId="7F739591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873F60" w14:textId="2D174C36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3F5683" w14:textId="2ECF03E9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</w:tr>
            <w:tr w:rsidR="00465F13" w:rsidRPr="00E2018D" w14:paraId="53A1DD18" w14:textId="77777777" w:rsidTr="004120F0">
              <w:trPr>
                <w:jc w:val="center"/>
              </w:trPr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E2C2D5" w14:textId="357B0E84" w:rsidR="00465F13" w:rsidRPr="00E2018D" w:rsidRDefault="00465F13" w:rsidP="00465F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Ieskaite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5948E2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4DE855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D6E3D1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EE81B9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F363E9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4CA2FB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156002" w14:textId="77777777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DF52B7" w14:textId="746B8ECF" w:rsidR="00465F13" w:rsidRPr="00E2018D" w:rsidRDefault="00465F13" w:rsidP="00465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03ABB92A" w14:textId="77777777" w:rsidR="00CF6D98" w:rsidRPr="00E2018D" w:rsidRDefault="00CF6D98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1C" w:rsidRPr="00E2018D" w14:paraId="746296FA" w14:textId="77777777" w:rsidTr="00C96923">
        <w:tc>
          <w:tcPr>
            <w:tcW w:w="9075" w:type="dxa"/>
            <w:gridSpan w:val="3"/>
          </w:tcPr>
          <w:p w14:paraId="730726A6" w14:textId="77777777" w:rsidR="00CF6D98" w:rsidRPr="00E2018D" w:rsidRDefault="00CF6D98" w:rsidP="00722A0C">
            <w:pPr>
              <w:pStyle w:val="Nosaukumi"/>
            </w:pPr>
            <w:r w:rsidRPr="00E2018D">
              <w:lastRenderedPageBreak/>
              <w:t>Kursa saturs</w:t>
            </w:r>
          </w:p>
        </w:tc>
      </w:tr>
      <w:tr w:rsidR="0029701C" w:rsidRPr="00E2018D" w14:paraId="40AD3B7D" w14:textId="77777777" w:rsidTr="00C96923">
        <w:tc>
          <w:tcPr>
            <w:tcW w:w="9075" w:type="dxa"/>
            <w:gridSpan w:val="3"/>
          </w:tcPr>
          <w:p w14:paraId="348EAA68" w14:textId="7FE2A630" w:rsidR="00722A0C" w:rsidRPr="00E36252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252">
              <w:rPr>
                <w:rFonts w:ascii="Times New Roman" w:hAnsi="Times New Roman" w:cs="Times New Roman"/>
                <w:sz w:val="24"/>
                <w:szCs w:val="24"/>
              </w:rPr>
              <w:t xml:space="preserve">Kursa struktūra: lekcijas – 16 st., praktiskie darbi </w:t>
            </w:r>
            <w:r w:rsidR="00C651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6252">
              <w:rPr>
                <w:rFonts w:ascii="Times New Roman" w:hAnsi="Times New Roman" w:cs="Times New Roman"/>
                <w:sz w:val="24"/>
                <w:szCs w:val="24"/>
              </w:rPr>
              <w:t xml:space="preserve"> 16 st.</w:t>
            </w:r>
          </w:p>
          <w:p w14:paraId="602C3464" w14:textId="1AE2CDA7" w:rsidR="00722A0C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252">
              <w:rPr>
                <w:rFonts w:ascii="Times New Roman" w:hAnsi="Times New Roman" w:cs="Times New Roman"/>
                <w:sz w:val="24"/>
                <w:szCs w:val="24"/>
              </w:rPr>
              <w:t>Lekciju tēmas:</w:t>
            </w:r>
          </w:p>
          <w:p w14:paraId="09F833AC" w14:textId="77777777" w:rsidR="00722A0C" w:rsidRDefault="00722A0C" w:rsidP="007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3D51A" w14:textId="0C2317BB" w:rsidR="00E2018D" w:rsidRPr="00E2018D" w:rsidRDefault="00E2018D" w:rsidP="00722A0C">
            <w:pPr>
              <w:pStyle w:val="ListParagraph"/>
              <w:numPr>
                <w:ilvl w:val="0"/>
                <w:numId w:val="5"/>
              </w:numPr>
              <w:ind w:left="426" w:hanging="426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Aplikšanas ar nodokļiem teorētiskie aspekti.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431232" w14:textId="77777777" w:rsidR="00E2018D" w:rsidRPr="00E2018D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Latvijas nodokļu sistēmas sakārtošana atbilstoši Eiropas Savienības prasībām.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14:paraId="701DFA81" w14:textId="77777777" w:rsidR="00E2018D" w:rsidRPr="00E2018D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Latvijas Republikas nodokļu un nodevu sistēma.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14:paraId="59FBD4E7" w14:textId="77777777" w:rsidR="00E2018D" w:rsidRPr="00E2018D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Grāmatvedības jēdziens, principi un elementi.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14:paraId="2D238B7E" w14:textId="77777777" w:rsidR="00E2018D" w:rsidRPr="00E2018D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Finanšu grāmatvedības un vadības grāmatvedības atšķirības.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14:paraId="65F601A8" w14:textId="21E30492" w:rsidR="00E2018D" w:rsidRPr="00465F13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Inventarizācija.</w:t>
            </w:r>
            <w:r w:rsidRPr="00465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Ilgtermiņa ieguldījumu jēdziens, klasifikācija un uzskaite.</w:t>
            </w:r>
            <w:r w:rsidRPr="00465F13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465F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9AA6EE3" w14:textId="51827DC0" w:rsidR="00E2018D" w:rsidRPr="00E2018D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Apgrozāmo līdzekļu jēdziens, klasifikācija un uzskaite.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L1</w:t>
            </w:r>
          </w:p>
          <w:p w14:paraId="674CD9C7" w14:textId="2AAA76DE" w:rsidR="00E2018D" w:rsidRPr="00465F13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Finansēšanas avota – pašu kapitāla jēdziens, sastāvs un uzskaite.</w:t>
            </w:r>
            <w:r w:rsidRPr="00465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Finansēšanas avota – aizņemtā kapitāla jēdziens, klasifikācija un uzskaite.</w:t>
            </w:r>
            <w:r w:rsidRPr="00465F13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465F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F3834EC" w14:textId="4CFEEB29" w:rsidR="00E2018D" w:rsidRPr="00722A0C" w:rsidRDefault="00E2018D" w:rsidP="00B96E50">
            <w:pPr>
              <w:pStyle w:val="ListParagraph"/>
              <w:numPr>
                <w:ilvl w:val="0"/>
                <w:numId w:val="5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Finanšu rezultāti, to uzskaite. Grāmatvedības pārskati.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L1</w:t>
            </w:r>
          </w:p>
          <w:p w14:paraId="6A9054BD" w14:textId="77777777" w:rsidR="00722A0C" w:rsidRPr="00E2018D" w:rsidRDefault="00722A0C" w:rsidP="00722A0C">
            <w:pPr>
              <w:pStyle w:val="ListParagraph"/>
              <w:ind w:left="426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14:paraId="3E0FD67D" w14:textId="77777777" w:rsidR="00722A0C" w:rsidRDefault="00722A0C" w:rsidP="00722A0C">
            <w:pPr>
              <w:rPr>
                <w:rFonts w:ascii="inherit" w:eastAsia="Times New Roman" w:hAnsi="inherit" w:cs="Tahoma"/>
                <w:sz w:val="24"/>
                <w:szCs w:val="24"/>
              </w:rPr>
            </w:pPr>
            <w:r w:rsidRPr="008E07E0">
              <w:rPr>
                <w:rFonts w:ascii="inherit" w:eastAsia="Times New Roman" w:hAnsi="inherit" w:cs="Tahoma"/>
                <w:sz w:val="24"/>
                <w:szCs w:val="24"/>
              </w:rPr>
              <w:t>Praktisko darbu tēmas:</w:t>
            </w:r>
          </w:p>
          <w:p w14:paraId="492007BF" w14:textId="77777777" w:rsidR="00E2018D" w:rsidRPr="00E2018D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Uzņēmumu ienākuma nodoklis.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P2</w:t>
            </w: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14:paraId="6CD5FEFA" w14:textId="77777777" w:rsidR="00E2018D" w:rsidRPr="00E2018D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Iedzīvotāju ienākuma nodoklis.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P2</w:t>
            </w:r>
          </w:p>
          <w:p w14:paraId="68A3BFCB" w14:textId="77777777" w:rsidR="00E2018D" w:rsidRPr="00E2018D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Valsts sociālās apdrošināšanas iemaksas. 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>P2</w:t>
            </w:r>
          </w:p>
          <w:p w14:paraId="7698B289" w14:textId="4BC12063" w:rsidR="00E2018D" w:rsidRPr="003013AC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Pievienotās vērtības nodoklis. Mikrouzņēmuma nodoklis. 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22F87D8" w14:textId="02C88EC4" w:rsidR="00E2018D" w:rsidRPr="00E2018D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Inventarizācija.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P2</w:t>
            </w:r>
          </w:p>
          <w:p w14:paraId="598585FE" w14:textId="19F370BF" w:rsidR="00E2018D" w:rsidRPr="003013AC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Ilgtermiņa ieguldījumu jēdziens, klasifikācija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Apgrozāmo līdzekļu jēdziens, klasifikācija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563816A" w14:textId="289E0E1E" w:rsidR="00E2018D" w:rsidRPr="003013AC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Finansēšanas avota – pašu kapitāla jēdziens, sastāvs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3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Finansēšanas avota – aizņemtā kapitāla jēdziens, klasifikācija un uzskaite.</w:t>
            </w:r>
            <w:r w:rsidRPr="003013AC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301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2603A67" w14:textId="63027251" w:rsidR="00CF6D98" w:rsidRPr="00E2018D" w:rsidRDefault="00E2018D" w:rsidP="00B96E50">
            <w:pPr>
              <w:pStyle w:val="ListParagraph"/>
              <w:numPr>
                <w:ilvl w:val="0"/>
                <w:numId w:val="7"/>
              </w:numPr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201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Finanšu rezultāti, to uzskaite. Grāmatvedības pārskati.</w:t>
            </w:r>
            <w:r w:rsidRPr="00E2018D">
              <w:rPr>
                <w:rFonts w:ascii="Times New Roman" w:hAnsi="Times New Roman" w:cs="Times New Roman"/>
                <w:sz w:val="24"/>
                <w:szCs w:val="24"/>
              </w:rPr>
              <w:t xml:space="preserve"> P2</w:t>
            </w:r>
          </w:p>
        </w:tc>
      </w:tr>
      <w:tr w:rsidR="0029701C" w:rsidRPr="00E2018D" w14:paraId="55EFA30E" w14:textId="77777777" w:rsidTr="00C96923">
        <w:tc>
          <w:tcPr>
            <w:tcW w:w="9075" w:type="dxa"/>
            <w:gridSpan w:val="3"/>
          </w:tcPr>
          <w:p w14:paraId="50CFFB7C" w14:textId="77777777" w:rsidR="00CF6D98" w:rsidRPr="00E2018D" w:rsidRDefault="00CF6D98" w:rsidP="00722A0C">
            <w:pPr>
              <w:pStyle w:val="Nosaukumi"/>
            </w:pPr>
            <w:r w:rsidRPr="00E2018D">
              <w:t>Obligāti izmantojamie informācijas avoti</w:t>
            </w:r>
          </w:p>
        </w:tc>
      </w:tr>
      <w:tr w:rsidR="0029701C" w:rsidRPr="00E2018D" w14:paraId="70B4967B" w14:textId="77777777" w:rsidTr="00C96923">
        <w:tc>
          <w:tcPr>
            <w:tcW w:w="9075" w:type="dxa"/>
            <w:gridSpan w:val="3"/>
          </w:tcPr>
          <w:p w14:paraId="39222BA6" w14:textId="4BDAFE63" w:rsidR="00722A0C" w:rsidRDefault="00E2018D" w:rsidP="00B96E50">
            <w:pPr>
              <w:pStyle w:val="ListParagraph"/>
              <w:numPr>
                <w:ilvl w:val="0"/>
                <w:numId w:val="6"/>
              </w:numPr>
              <w:ind w:left="284" w:hanging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Grebenko </w:t>
            </w:r>
            <w:r w:rsidR="00B96E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2018. Darba likums un grāmatvedība. Lietišķās informācijas dienests. Rīga, 173 lpp.</w:t>
            </w:r>
          </w:p>
          <w:p w14:paraId="58316A56" w14:textId="77777777" w:rsidR="00722A0C" w:rsidRDefault="00E2018D" w:rsidP="00B96E50">
            <w:pPr>
              <w:pStyle w:val="ListParagraph"/>
              <w:numPr>
                <w:ilvl w:val="0"/>
                <w:numId w:val="6"/>
              </w:numPr>
              <w:ind w:left="284" w:hanging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Leibus I., Pētersone I., Jesemčika A., Svarinska A., Grigorjeva R. 2018. Finanšu grāmatvedība. Lietišķās informācijas dienests. Rīga, 318 lpp.</w:t>
            </w:r>
          </w:p>
          <w:p w14:paraId="60DF4706" w14:textId="4DBC9F20" w:rsidR="00CF6D98" w:rsidRPr="00722A0C" w:rsidRDefault="00E2018D" w:rsidP="00722A0C">
            <w:pPr>
              <w:pStyle w:val="ListParagraph"/>
              <w:numPr>
                <w:ilvl w:val="0"/>
                <w:numId w:val="6"/>
              </w:numPr>
              <w:ind w:left="284" w:hanging="284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722A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Zaķe Ņ. 2016. Uzņēmējdarbība. Turība. Rīga. 143 lpp.</w:t>
            </w:r>
          </w:p>
        </w:tc>
      </w:tr>
      <w:tr w:rsidR="0029701C" w:rsidRPr="00E2018D" w14:paraId="5808AE25" w14:textId="77777777" w:rsidTr="00C96923">
        <w:tc>
          <w:tcPr>
            <w:tcW w:w="9075" w:type="dxa"/>
            <w:gridSpan w:val="3"/>
          </w:tcPr>
          <w:p w14:paraId="5AFDDCB3" w14:textId="77777777" w:rsidR="00CF6D98" w:rsidRPr="00E2018D" w:rsidRDefault="00CF6D98" w:rsidP="00722A0C">
            <w:pPr>
              <w:pStyle w:val="Nosaukumi"/>
            </w:pPr>
            <w:r w:rsidRPr="00E2018D">
              <w:t>Papildus informācijas avoti</w:t>
            </w:r>
          </w:p>
        </w:tc>
      </w:tr>
      <w:tr w:rsidR="0029701C" w:rsidRPr="00E2018D" w14:paraId="1F3981CB" w14:textId="77777777" w:rsidTr="00C96923">
        <w:trPr>
          <w:gridAfter w:val="1"/>
          <w:wAfter w:w="36" w:type="dxa"/>
        </w:trPr>
        <w:tc>
          <w:tcPr>
            <w:tcW w:w="9039" w:type="dxa"/>
            <w:gridSpan w:val="2"/>
          </w:tcPr>
          <w:p w14:paraId="44F237AC" w14:textId="7BFEFA8A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https://www.vid.gov.lv/lv/nodokli</w:t>
              </w:r>
            </w:hyperlink>
            <w:r w:rsidR="00722A0C"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B1AC33" w14:textId="3EC43B81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http://www.fm.gov.lv</w:t>
              </w:r>
            </w:hyperlink>
          </w:p>
          <w:p w14:paraId="0518CFD4" w14:textId="594B63AC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http://www.fm.gov.lv</w:t>
              </w:r>
            </w:hyperlink>
          </w:p>
          <w:p w14:paraId="2E68C10B" w14:textId="5756D0EE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http://likumi.lv</w:t>
              </w:r>
            </w:hyperlink>
          </w:p>
          <w:p w14:paraId="55602D92" w14:textId="3E3CC42C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http://www.vid.lv</w:t>
              </w:r>
            </w:hyperlink>
          </w:p>
          <w:p w14:paraId="6076D109" w14:textId="024D0569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http://www.vid.gov.lv</w:t>
              </w:r>
            </w:hyperlink>
          </w:p>
          <w:p w14:paraId="6CBDB37C" w14:textId="0E4D6CCD" w:rsidR="00465F13" w:rsidRPr="00465F13" w:rsidRDefault="00000000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465F13" w:rsidRPr="00465F13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http://www.vgk.lv</w:t>
              </w:r>
            </w:hyperlink>
          </w:p>
          <w:p w14:paraId="0088E400" w14:textId="1042C64A" w:rsidR="00465F13" w:rsidRPr="00465F13" w:rsidRDefault="00E2018D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http://audits.hei.audits.lv </w:t>
            </w:r>
          </w:p>
          <w:p w14:paraId="43EABBF5" w14:textId="3D40F878" w:rsidR="00CF6D98" w:rsidRPr="00465F13" w:rsidRDefault="00E2018D" w:rsidP="00465F1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http://www.iasplus.com</w:t>
            </w:r>
          </w:p>
        </w:tc>
      </w:tr>
      <w:tr w:rsidR="0029701C" w:rsidRPr="00E2018D" w14:paraId="1AAB26A1" w14:textId="77777777" w:rsidTr="00C96923">
        <w:trPr>
          <w:gridAfter w:val="1"/>
          <w:wAfter w:w="36" w:type="dxa"/>
        </w:trPr>
        <w:tc>
          <w:tcPr>
            <w:tcW w:w="9039" w:type="dxa"/>
            <w:gridSpan w:val="2"/>
          </w:tcPr>
          <w:p w14:paraId="7C350FC6" w14:textId="77777777" w:rsidR="00CF6D98" w:rsidRPr="00465F13" w:rsidRDefault="00CF6D98" w:rsidP="00465F13">
            <w:pPr>
              <w:pStyle w:val="Nosaukumi"/>
              <w:ind w:left="284" w:hanging="284"/>
            </w:pPr>
            <w:r w:rsidRPr="00465F13">
              <w:lastRenderedPageBreak/>
              <w:t>Periodika un citi informācijas avoti</w:t>
            </w:r>
          </w:p>
        </w:tc>
      </w:tr>
      <w:tr w:rsidR="0029701C" w:rsidRPr="00E2018D" w14:paraId="28CC6588" w14:textId="77777777" w:rsidTr="00C96923">
        <w:trPr>
          <w:gridAfter w:val="1"/>
          <w:wAfter w:w="36" w:type="dxa"/>
        </w:trPr>
        <w:tc>
          <w:tcPr>
            <w:tcW w:w="9039" w:type="dxa"/>
            <w:gridSpan w:val="2"/>
          </w:tcPr>
          <w:p w14:paraId="4A824650" w14:textId="77777777" w:rsidR="00465F13" w:rsidRPr="00465F13" w:rsidRDefault="00E2018D" w:rsidP="00465F13">
            <w:pPr>
              <w:pStyle w:val="ListParagraph"/>
              <w:numPr>
                <w:ilvl w:val="0"/>
                <w:numId w:val="9"/>
              </w:numPr>
              <w:ind w:left="284" w:hanging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>Žurnāls “Bilance”.</w:t>
            </w:r>
          </w:p>
          <w:p w14:paraId="5E8EEA35" w14:textId="77777777" w:rsidR="00465F13" w:rsidRPr="00465F13" w:rsidRDefault="00E2018D" w:rsidP="00465F13">
            <w:pPr>
              <w:pStyle w:val="ListParagraph"/>
              <w:numPr>
                <w:ilvl w:val="0"/>
                <w:numId w:val="9"/>
              </w:numPr>
              <w:ind w:left="284" w:hanging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>Žurnāls “Latvijas Ekonomists”.</w:t>
            </w:r>
          </w:p>
          <w:p w14:paraId="68B238DE" w14:textId="77777777" w:rsidR="00465F13" w:rsidRPr="00465F13" w:rsidRDefault="00E2018D" w:rsidP="00465F13">
            <w:pPr>
              <w:pStyle w:val="ListParagraph"/>
              <w:numPr>
                <w:ilvl w:val="0"/>
                <w:numId w:val="9"/>
              </w:numPr>
              <w:ind w:left="284" w:hanging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>Žurnāls „Grāmatvedība un ekonomika”.</w:t>
            </w:r>
          </w:p>
          <w:p w14:paraId="710004FE" w14:textId="4E865330" w:rsidR="00CF6D98" w:rsidRPr="00465F13" w:rsidRDefault="00B96E50" w:rsidP="00465F13">
            <w:pPr>
              <w:pStyle w:val="ListParagraph"/>
              <w:numPr>
                <w:ilvl w:val="0"/>
                <w:numId w:val="9"/>
              </w:numPr>
              <w:ind w:left="284" w:hanging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>Žurnāls</w:t>
            </w:r>
            <w:r w:rsidR="00E2018D" w:rsidRPr="0046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„I-finanses”</w:t>
            </w:r>
          </w:p>
        </w:tc>
      </w:tr>
      <w:tr w:rsidR="0029701C" w:rsidRPr="00E2018D" w14:paraId="2DA98D90" w14:textId="77777777" w:rsidTr="00C96923">
        <w:trPr>
          <w:gridAfter w:val="1"/>
          <w:wAfter w:w="36" w:type="dxa"/>
        </w:trPr>
        <w:tc>
          <w:tcPr>
            <w:tcW w:w="9039" w:type="dxa"/>
            <w:gridSpan w:val="2"/>
          </w:tcPr>
          <w:p w14:paraId="445FE38E" w14:textId="77777777" w:rsidR="00CF6D98" w:rsidRPr="00E2018D" w:rsidRDefault="00CF6D98" w:rsidP="00722A0C">
            <w:pPr>
              <w:pStyle w:val="Nosaukumi"/>
            </w:pPr>
            <w:r w:rsidRPr="00E2018D">
              <w:t>Piezīmes</w:t>
            </w:r>
          </w:p>
        </w:tc>
      </w:tr>
      <w:tr w:rsidR="0029701C" w:rsidRPr="00E2018D" w14:paraId="49F6B94F" w14:textId="77777777" w:rsidTr="00C96923">
        <w:trPr>
          <w:gridAfter w:val="1"/>
          <w:wAfter w:w="36" w:type="dxa"/>
        </w:trPr>
        <w:tc>
          <w:tcPr>
            <w:tcW w:w="9039" w:type="dxa"/>
            <w:gridSpan w:val="2"/>
          </w:tcPr>
          <w:p w14:paraId="14A1CF25" w14:textId="77777777" w:rsidR="00465F13" w:rsidRPr="00E36252" w:rsidRDefault="00465F13" w:rsidP="00B96E50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6252">
              <w:rPr>
                <w:rFonts w:ascii="Times New Roman" w:hAnsi="Times New Roman" w:cs="Times New Roman"/>
                <w:sz w:val="24"/>
                <w:szCs w:val="24"/>
              </w:rPr>
              <w:t>Īsā cikla profesionālās augstākās izglītības studiju programmas „Civilā drošība un aizsardzība” studiju kurss.</w:t>
            </w:r>
          </w:p>
          <w:p w14:paraId="1E947AD6" w14:textId="77777777" w:rsidR="00465F13" w:rsidRPr="00E36252" w:rsidRDefault="00465F13" w:rsidP="00465F13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89205" w14:textId="413926A7" w:rsidR="00CF6D98" w:rsidRPr="00E2018D" w:rsidRDefault="00465F13" w:rsidP="00465F13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36252">
              <w:rPr>
                <w:rFonts w:ascii="Times New Roman" w:hAnsi="Times New Roman" w:cs="Times New Roman"/>
                <w:sz w:val="24"/>
                <w:szCs w:val="24"/>
              </w:rPr>
              <w:t>Kurss tiek docēts latviešu valodā.</w:t>
            </w:r>
          </w:p>
        </w:tc>
      </w:tr>
    </w:tbl>
    <w:p w14:paraId="192FF055" w14:textId="77777777" w:rsidR="00CF6D98" w:rsidRPr="00E2018D" w:rsidRDefault="00CF6D98" w:rsidP="00722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39E2E" w14:textId="77777777" w:rsidR="0094610C" w:rsidRPr="00E2018D" w:rsidRDefault="0094610C" w:rsidP="00722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610C" w:rsidRPr="00E2018D" w:rsidSect="00817797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B4DC" w14:textId="77777777" w:rsidR="00817797" w:rsidRDefault="00817797">
      <w:pPr>
        <w:spacing w:after="0" w:line="240" w:lineRule="auto"/>
      </w:pPr>
      <w:r>
        <w:separator/>
      </w:r>
    </w:p>
  </w:endnote>
  <w:endnote w:type="continuationSeparator" w:id="0">
    <w:p w14:paraId="7143E1C1" w14:textId="77777777" w:rsidR="00817797" w:rsidRDefault="0081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BA4C49" w14:textId="77777777" w:rsidR="00061A78" w:rsidRDefault="000257D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E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30D884D" w14:textId="77777777" w:rsidR="00061A78" w:rsidRDefault="00061A78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01C69" w14:textId="77777777" w:rsidR="00817797" w:rsidRDefault="00817797">
      <w:pPr>
        <w:spacing w:after="0" w:line="240" w:lineRule="auto"/>
      </w:pPr>
      <w:r>
        <w:separator/>
      </w:r>
    </w:p>
  </w:footnote>
  <w:footnote w:type="continuationSeparator" w:id="0">
    <w:p w14:paraId="5AE2D141" w14:textId="77777777" w:rsidR="00817797" w:rsidRDefault="0081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4003" w14:textId="77777777" w:rsidR="00061A78" w:rsidRDefault="00061A78" w:rsidP="007534EA">
    <w:pPr>
      <w:pStyle w:val="Header"/>
    </w:pPr>
  </w:p>
  <w:p w14:paraId="326BAF06" w14:textId="77777777" w:rsidR="00061A78" w:rsidRPr="007B1FB4" w:rsidRDefault="00061A78" w:rsidP="007534EA">
    <w:pPr>
      <w:pStyle w:val="Header"/>
    </w:pPr>
  </w:p>
  <w:p w14:paraId="68263D70" w14:textId="77777777" w:rsidR="00061A78" w:rsidRPr="00D66CC2" w:rsidRDefault="00061A78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95BE6"/>
    <w:multiLevelType w:val="hybridMultilevel"/>
    <w:tmpl w:val="B0A09D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F663C"/>
    <w:multiLevelType w:val="hybridMultilevel"/>
    <w:tmpl w:val="AF6C5030"/>
    <w:lvl w:ilvl="0" w:tplc="B86EC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6646C"/>
    <w:multiLevelType w:val="hybridMultilevel"/>
    <w:tmpl w:val="C40EC3E8"/>
    <w:lvl w:ilvl="0" w:tplc="B86EC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17F82"/>
    <w:multiLevelType w:val="hybridMultilevel"/>
    <w:tmpl w:val="FF062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F6895"/>
    <w:multiLevelType w:val="hybridMultilevel"/>
    <w:tmpl w:val="C40EC3E8"/>
    <w:lvl w:ilvl="0" w:tplc="B86EC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0746A"/>
    <w:multiLevelType w:val="hybridMultilevel"/>
    <w:tmpl w:val="AD74D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272"/>
    <w:multiLevelType w:val="hybridMultilevel"/>
    <w:tmpl w:val="F07ED9B6"/>
    <w:lvl w:ilvl="0" w:tplc="B86EC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E7E92"/>
    <w:multiLevelType w:val="hybridMultilevel"/>
    <w:tmpl w:val="FFD8CA0A"/>
    <w:lvl w:ilvl="0" w:tplc="0409000F">
      <w:start w:val="1"/>
      <w:numFmt w:val="decimal"/>
      <w:lvlText w:val="%1."/>
      <w:lvlJc w:val="left"/>
      <w:pPr>
        <w:tabs>
          <w:tab w:val="num" w:pos="1075"/>
        </w:tabs>
        <w:ind w:left="1075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35"/>
        </w:tabs>
        <w:ind w:left="143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55"/>
        </w:tabs>
        <w:ind w:left="215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75"/>
        </w:tabs>
        <w:ind w:left="287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595"/>
        </w:tabs>
        <w:ind w:left="359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15"/>
        </w:tabs>
        <w:ind w:left="431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35"/>
        </w:tabs>
        <w:ind w:left="503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55"/>
        </w:tabs>
        <w:ind w:left="575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75"/>
        </w:tabs>
        <w:ind w:left="6475" w:hanging="180"/>
      </w:pPr>
    </w:lvl>
  </w:abstractNum>
  <w:abstractNum w:abstractNumId="8" w15:restartNumberingAfterBreak="0">
    <w:nsid w:val="61D1516E"/>
    <w:multiLevelType w:val="hybridMultilevel"/>
    <w:tmpl w:val="6AB88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743066">
    <w:abstractNumId w:val="7"/>
  </w:num>
  <w:num w:numId="2" w16cid:durableId="1375498545">
    <w:abstractNumId w:val="8"/>
  </w:num>
  <w:num w:numId="3" w16cid:durableId="242105252">
    <w:abstractNumId w:val="5"/>
  </w:num>
  <w:num w:numId="4" w16cid:durableId="980035783">
    <w:abstractNumId w:val="3"/>
  </w:num>
  <w:num w:numId="5" w16cid:durableId="2090418315">
    <w:abstractNumId w:val="2"/>
  </w:num>
  <w:num w:numId="6" w16cid:durableId="231543571">
    <w:abstractNumId w:val="0"/>
  </w:num>
  <w:num w:numId="7" w16cid:durableId="1125778867">
    <w:abstractNumId w:val="4"/>
  </w:num>
  <w:num w:numId="8" w16cid:durableId="1445886131">
    <w:abstractNumId w:val="1"/>
  </w:num>
  <w:num w:numId="9" w16cid:durableId="1864391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98"/>
    <w:rsid w:val="000257D2"/>
    <w:rsid w:val="00061A78"/>
    <w:rsid w:val="000A6E87"/>
    <w:rsid w:val="000B504C"/>
    <w:rsid w:val="0023168B"/>
    <w:rsid w:val="00252F12"/>
    <w:rsid w:val="00283ECD"/>
    <w:rsid w:val="0029701C"/>
    <w:rsid w:val="002A7E89"/>
    <w:rsid w:val="002B2062"/>
    <w:rsid w:val="003013AC"/>
    <w:rsid w:val="00342405"/>
    <w:rsid w:val="003B0978"/>
    <w:rsid w:val="004120F0"/>
    <w:rsid w:val="00465F13"/>
    <w:rsid w:val="004D0307"/>
    <w:rsid w:val="005753AD"/>
    <w:rsid w:val="005B1235"/>
    <w:rsid w:val="005F799D"/>
    <w:rsid w:val="007025CD"/>
    <w:rsid w:val="00722A0C"/>
    <w:rsid w:val="00817797"/>
    <w:rsid w:val="008E6465"/>
    <w:rsid w:val="0094610C"/>
    <w:rsid w:val="00B96E50"/>
    <w:rsid w:val="00BC0B72"/>
    <w:rsid w:val="00BE26ED"/>
    <w:rsid w:val="00C01328"/>
    <w:rsid w:val="00C57046"/>
    <w:rsid w:val="00C651EC"/>
    <w:rsid w:val="00C96923"/>
    <w:rsid w:val="00CD3A39"/>
    <w:rsid w:val="00CF6D98"/>
    <w:rsid w:val="00D416D4"/>
    <w:rsid w:val="00D9286E"/>
    <w:rsid w:val="00E2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6BDB5"/>
  <w15:docId w15:val="{D5EB7B16-E563-4A73-A400-6A50BD47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F79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F6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6D98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F6D98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6D98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F6D98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CF6D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Nosaukumi2">
    <w:name w:val="Nosaukumi2"/>
    <w:basedOn w:val="Normal"/>
    <w:qFormat/>
    <w:rsid w:val="00CF6D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5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7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7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D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F799D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ListParagraph">
    <w:name w:val="List Paragraph"/>
    <w:basedOn w:val="Normal"/>
    <w:uiPriority w:val="34"/>
    <w:qFormat/>
    <w:rsid w:val="005B123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65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m.gov.lv" TargetMode="External"/><Relationship Id="rId13" Type="http://schemas.openxmlformats.org/officeDocument/2006/relationships/hyperlink" Target="http://www.vgk.lv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vid.gov.lv/lv/nodokli" TargetMode="External"/><Relationship Id="rId12" Type="http://schemas.openxmlformats.org/officeDocument/2006/relationships/hyperlink" Target="http://www.vid.gov.lv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d.lv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kumi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m.gov.lv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26D4441B6B4C98B7528EE8EBB35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EA401-5246-4DB5-9EA8-3178E23F9249}"/>
      </w:docPartPr>
      <w:docPartBody>
        <w:p w:rsidR="00311F58" w:rsidRDefault="006417A3" w:rsidP="006417A3">
          <w:pPr>
            <w:pStyle w:val="0026D4441B6B4C98B7528EE8EBB35A3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7A3"/>
    <w:rsid w:val="000F5BFA"/>
    <w:rsid w:val="001F05FB"/>
    <w:rsid w:val="00311F58"/>
    <w:rsid w:val="00470BA9"/>
    <w:rsid w:val="005E5A32"/>
    <w:rsid w:val="006417A3"/>
    <w:rsid w:val="0080022D"/>
    <w:rsid w:val="00A85072"/>
    <w:rsid w:val="00B02E21"/>
    <w:rsid w:val="00BF3E63"/>
    <w:rsid w:val="00E0386E"/>
    <w:rsid w:val="00FA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17A3"/>
    <w:rPr>
      <w:color w:val="808080"/>
    </w:rPr>
  </w:style>
  <w:style w:type="paragraph" w:customStyle="1" w:styleId="0026D4441B6B4C98B7528EE8EBB35A34">
    <w:name w:val="0026D4441B6B4C98B7528EE8EBB35A34"/>
    <w:rsid w:val="006417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4500</Words>
  <Characters>2566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Pāvels Trofimovs</cp:lastModifiedBy>
  <cp:revision>9</cp:revision>
  <dcterms:created xsi:type="dcterms:W3CDTF">2024-03-13T07:25:00Z</dcterms:created>
  <dcterms:modified xsi:type="dcterms:W3CDTF">2024-04-03T08:07:00Z</dcterms:modified>
</cp:coreProperties>
</file>