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BD144" w14:textId="71665DCB" w:rsidR="00B62E3C" w:rsidRPr="00F06B97" w:rsidRDefault="4DE8914C" w:rsidP="4BC4DFDE">
      <w:pPr>
        <w:jc w:val="center"/>
        <w:rPr>
          <w:rFonts w:ascii="Times New Roman" w:hAnsi="Times New Roman" w:cs="Times New Roman"/>
          <w:b/>
          <w:bCs/>
          <w:color w:val="000000" w:themeColor="text1"/>
          <w:sz w:val="24"/>
          <w:szCs w:val="24"/>
        </w:rPr>
      </w:pPr>
      <w:r w:rsidRPr="60FB113D">
        <w:rPr>
          <w:rFonts w:ascii="Times New Roman" w:hAnsi="Times New Roman" w:cs="Times New Roman"/>
          <w:b/>
          <w:bCs/>
          <w:color w:val="000000" w:themeColor="text1"/>
          <w:sz w:val="24"/>
          <w:szCs w:val="24"/>
        </w:rPr>
        <w:t>Akadēmiskās maģistra s</w:t>
      </w:r>
      <w:r w:rsidR="00B62E3C" w:rsidRPr="60FB113D">
        <w:rPr>
          <w:rFonts w:ascii="Times New Roman" w:hAnsi="Times New Roman" w:cs="Times New Roman"/>
          <w:b/>
          <w:bCs/>
          <w:color w:val="000000" w:themeColor="text1"/>
          <w:sz w:val="24"/>
          <w:szCs w:val="24"/>
        </w:rPr>
        <w:t xml:space="preserve">tudiju programmas </w:t>
      </w:r>
      <w:r w:rsidR="005E3607" w:rsidRPr="60FB113D">
        <w:rPr>
          <w:rFonts w:ascii="Times New Roman" w:hAnsi="Times New Roman" w:cs="Times New Roman"/>
          <w:b/>
          <w:bCs/>
          <w:color w:val="000000" w:themeColor="text1"/>
          <w:sz w:val="24"/>
          <w:szCs w:val="24"/>
        </w:rPr>
        <w:t>“</w:t>
      </w:r>
      <w:r w:rsidR="0035364C">
        <w:rPr>
          <w:rFonts w:ascii="Times New Roman" w:hAnsi="Times New Roman" w:cs="Times New Roman"/>
          <w:b/>
          <w:bCs/>
          <w:color w:val="000000" w:themeColor="text1"/>
          <w:sz w:val="24"/>
          <w:szCs w:val="24"/>
        </w:rPr>
        <w:t>Ekonomiskā drošība</w:t>
      </w:r>
      <w:r w:rsidR="005E3607" w:rsidRPr="60FB113D">
        <w:rPr>
          <w:rFonts w:ascii="Times New Roman" w:hAnsi="Times New Roman" w:cs="Times New Roman"/>
          <w:b/>
          <w:bCs/>
          <w:color w:val="000000" w:themeColor="text1"/>
          <w:sz w:val="24"/>
          <w:szCs w:val="24"/>
        </w:rPr>
        <w:t>”</w:t>
      </w:r>
      <w:r w:rsidR="00B62E3C" w:rsidRPr="60FB113D">
        <w:rPr>
          <w:rFonts w:ascii="Times New Roman" w:hAnsi="Times New Roman" w:cs="Times New Roman"/>
          <w:b/>
          <w:bCs/>
          <w:color w:val="000000" w:themeColor="text1"/>
          <w:sz w:val="24"/>
          <w:szCs w:val="24"/>
        </w:rPr>
        <w:t xml:space="preserve"> atbilstība valsts izglītības standartam</w:t>
      </w:r>
    </w:p>
    <w:p w14:paraId="35E80029" w14:textId="77777777" w:rsidR="00B62E3C" w:rsidRPr="00F06B97" w:rsidRDefault="00B62E3C" w:rsidP="00FD6CA6">
      <w:pPr>
        <w:rPr>
          <w:rFonts w:ascii="Times New Roman" w:hAnsi="Times New Roman" w:cs="Times New Roman"/>
          <w:color w:val="000000" w:themeColor="text1"/>
          <w:sz w:val="24"/>
          <w:szCs w:val="24"/>
        </w:rPr>
      </w:pPr>
    </w:p>
    <w:p w14:paraId="09449808" w14:textId="52009BEA" w:rsidR="00D279FA" w:rsidRPr="00CB29C2" w:rsidRDefault="00D279FA" w:rsidP="00D279FA">
      <w:pPr>
        <w:jc w:val="both"/>
        <w:rPr>
          <w:rFonts w:ascii="Times New Roman" w:hAnsi="Times New Roman" w:cs="Times New Roman"/>
          <w:i/>
          <w:iCs/>
          <w:color w:val="000000" w:themeColor="text1"/>
          <w:sz w:val="24"/>
          <w:szCs w:val="24"/>
        </w:rPr>
      </w:pPr>
      <w:r w:rsidRPr="00CB29C2">
        <w:rPr>
          <w:rFonts w:ascii="Times New Roman" w:hAnsi="Times New Roman" w:cs="Times New Roman"/>
          <w:i/>
          <w:iCs/>
          <w:color w:val="000000" w:themeColor="text1"/>
          <w:sz w:val="24"/>
          <w:szCs w:val="24"/>
        </w:rPr>
        <w:t>Ministru kabineta 2014. gada 13. maija noteikumi Nr. 240 “Noteikumi par valsts akadēmiskās izglītības standartu”</w:t>
      </w:r>
      <w:r>
        <w:rPr>
          <w:rFonts w:ascii="Times New Roman" w:hAnsi="Times New Roman" w:cs="Times New Roman"/>
          <w:i/>
          <w:iCs/>
          <w:color w:val="000000" w:themeColor="text1"/>
          <w:sz w:val="24"/>
          <w:szCs w:val="24"/>
        </w:rPr>
        <w:t xml:space="preserve"> </w:t>
      </w:r>
      <w:r w:rsidR="00027E39">
        <w:rPr>
          <w:rFonts w:ascii="Times New Roman" w:hAnsi="Times New Roman" w:cs="Times New Roman"/>
          <w:i/>
          <w:iCs/>
          <w:color w:val="000000" w:themeColor="text1"/>
          <w:sz w:val="24"/>
          <w:szCs w:val="24"/>
        </w:rPr>
        <w:t xml:space="preserve">pieejami </w:t>
      </w:r>
      <w:hyperlink r:id="rId10" w:history="1">
        <w:r w:rsidR="00027E39" w:rsidRPr="00E3516D">
          <w:rPr>
            <w:rStyle w:val="Hyperlink"/>
            <w:rFonts w:ascii="Times New Roman" w:hAnsi="Times New Roman" w:cs="Times New Roman"/>
            <w:i/>
            <w:iCs/>
            <w:sz w:val="24"/>
            <w:szCs w:val="24"/>
          </w:rPr>
          <w:t>https://likumi.lv/doc.php?id=266187</w:t>
        </w:r>
      </w:hyperlink>
      <w:r w:rsidRPr="00CB29C2">
        <w:rPr>
          <w:rFonts w:ascii="Times New Roman" w:hAnsi="Times New Roman" w:cs="Times New Roman"/>
          <w:i/>
          <w:iCs/>
          <w:color w:val="000000" w:themeColor="text1"/>
          <w:sz w:val="24"/>
          <w:szCs w:val="24"/>
        </w:rPr>
        <w:t xml:space="preserve"> </w:t>
      </w:r>
    </w:p>
    <w:p w14:paraId="5C0E196F" w14:textId="77777777" w:rsidR="00B62E3C" w:rsidRPr="00F06B97" w:rsidRDefault="00B62E3C" w:rsidP="00027E39">
      <w:pPr>
        <w:rPr>
          <w:rFonts w:ascii="Times New Roman" w:hAnsi="Times New Roman" w:cs="Times New Roman"/>
          <w:color w:val="000000" w:themeColor="text1"/>
          <w:sz w:val="24"/>
          <w:szCs w:val="24"/>
        </w:rPr>
      </w:pPr>
    </w:p>
    <w:tbl>
      <w:tblPr>
        <w:tblW w:w="13947" w:type="dxa"/>
        <w:jc w:val="center"/>
        <w:tblCellMar>
          <w:left w:w="0" w:type="dxa"/>
          <w:right w:w="0" w:type="dxa"/>
        </w:tblCellMar>
        <w:tblLook w:val="04A0" w:firstRow="1" w:lastRow="0" w:firstColumn="1" w:lastColumn="0" w:noHBand="0" w:noVBand="1"/>
      </w:tblPr>
      <w:tblGrid>
        <w:gridCol w:w="3175"/>
        <w:gridCol w:w="5386"/>
        <w:gridCol w:w="5386"/>
      </w:tblGrid>
      <w:tr w:rsidR="00561205" w:rsidRPr="00561205" w14:paraId="12247696" w14:textId="77777777" w:rsidTr="3F1BAA57">
        <w:trPr>
          <w:jc w:val="center"/>
        </w:trPr>
        <w:tc>
          <w:tcPr>
            <w:tcW w:w="3175" w:type="dxa"/>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noWrap/>
            <w:tcMar>
              <w:top w:w="28" w:type="dxa"/>
              <w:left w:w="85" w:type="dxa"/>
              <w:bottom w:w="57" w:type="dxa"/>
              <w:right w:w="85" w:type="dxa"/>
            </w:tcMar>
            <w:hideMark/>
          </w:tcPr>
          <w:p w14:paraId="23F2B0A3" w14:textId="77777777" w:rsidR="00B62E3C" w:rsidRPr="00561205" w:rsidRDefault="00B62E3C" w:rsidP="005E3607">
            <w:pPr>
              <w:jc w:val="center"/>
              <w:rPr>
                <w:rFonts w:ascii="Times New Roman" w:hAnsi="Times New Roman" w:cs="Times New Roman"/>
                <w:b/>
                <w:bCs/>
                <w:sz w:val="24"/>
                <w:szCs w:val="24"/>
              </w:rPr>
            </w:pPr>
            <w:r w:rsidRPr="00561205">
              <w:rPr>
                <w:rFonts w:ascii="Times New Roman" w:hAnsi="Times New Roman" w:cs="Times New Roman"/>
                <w:b/>
                <w:bCs/>
                <w:sz w:val="24"/>
                <w:szCs w:val="24"/>
              </w:rPr>
              <w:t>Prasības*</w:t>
            </w:r>
          </w:p>
        </w:tc>
        <w:tc>
          <w:tcPr>
            <w:tcW w:w="5386" w:type="dxa"/>
            <w:tcBorders>
              <w:top w:val="single" w:sz="8" w:space="0" w:color="000000" w:themeColor="text1"/>
              <w:left w:val="nil"/>
              <w:bottom w:val="single" w:sz="4" w:space="0" w:color="auto"/>
              <w:right w:val="single" w:sz="8" w:space="0" w:color="000000" w:themeColor="text1"/>
            </w:tcBorders>
            <w:shd w:val="clear" w:color="auto" w:fill="D9D9D9" w:themeFill="background1" w:themeFillShade="D9"/>
            <w:noWrap/>
            <w:tcMar>
              <w:top w:w="28" w:type="dxa"/>
              <w:left w:w="85" w:type="dxa"/>
              <w:bottom w:w="57" w:type="dxa"/>
              <w:right w:w="85" w:type="dxa"/>
            </w:tcMar>
            <w:hideMark/>
          </w:tcPr>
          <w:p w14:paraId="306F139D" w14:textId="77777777" w:rsidR="00B62E3C" w:rsidRPr="00561205" w:rsidRDefault="00B62E3C" w:rsidP="005E3607">
            <w:pPr>
              <w:jc w:val="center"/>
              <w:rPr>
                <w:rFonts w:ascii="Times New Roman" w:hAnsi="Times New Roman" w:cs="Times New Roman"/>
                <w:b/>
                <w:bCs/>
                <w:sz w:val="24"/>
                <w:szCs w:val="24"/>
              </w:rPr>
            </w:pPr>
            <w:r w:rsidRPr="00561205">
              <w:rPr>
                <w:rFonts w:ascii="Times New Roman" w:hAnsi="Times New Roman" w:cs="Times New Roman"/>
                <w:b/>
                <w:bCs/>
                <w:sz w:val="24"/>
                <w:szCs w:val="24"/>
              </w:rPr>
              <w:t>Standartā noteiktais</w:t>
            </w:r>
          </w:p>
        </w:tc>
        <w:tc>
          <w:tcPr>
            <w:tcW w:w="5386" w:type="dxa"/>
            <w:tcBorders>
              <w:top w:val="single" w:sz="8" w:space="0" w:color="000000" w:themeColor="text1"/>
              <w:left w:val="nil"/>
              <w:bottom w:val="single" w:sz="4" w:space="0" w:color="auto"/>
              <w:right w:val="single" w:sz="8" w:space="0" w:color="000000" w:themeColor="text1"/>
            </w:tcBorders>
            <w:shd w:val="clear" w:color="auto" w:fill="D9D9D9" w:themeFill="background1" w:themeFillShade="D9"/>
            <w:noWrap/>
            <w:tcMar>
              <w:top w:w="28" w:type="dxa"/>
              <w:left w:w="85" w:type="dxa"/>
              <w:bottom w:w="57" w:type="dxa"/>
              <w:right w:w="85" w:type="dxa"/>
            </w:tcMar>
            <w:hideMark/>
          </w:tcPr>
          <w:p w14:paraId="305042EE" w14:textId="77777777" w:rsidR="00B62E3C" w:rsidRPr="00561205" w:rsidRDefault="00B62E3C" w:rsidP="005E3607">
            <w:pPr>
              <w:jc w:val="center"/>
              <w:rPr>
                <w:rFonts w:ascii="Times New Roman" w:hAnsi="Times New Roman" w:cs="Times New Roman"/>
                <w:sz w:val="24"/>
                <w:szCs w:val="24"/>
              </w:rPr>
            </w:pPr>
            <w:r w:rsidRPr="00561205">
              <w:rPr>
                <w:rFonts w:ascii="Times New Roman" w:hAnsi="Times New Roman" w:cs="Times New Roman"/>
                <w:b/>
                <w:bCs/>
                <w:sz w:val="24"/>
                <w:szCs w:val="24"/>
              </w:rPr>
              <w:t>Programmas rādītāji</w:t>
            </w:r>
          </w:p>
        </w:tc>
      </w:tr>
      <w:tr w:rsidR="00561205" w:rsidRPr="00561205" w14:paraId="1C59BF8F"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hideMark/>
          </w:tcPr>
          <w:p w14:paraId="1BE60EF8" w14:textId="1F94DE6E" w:rsidR="00CF6169" w:rsidRPr="00561205" w:rsidRDefault="00CF6169" w:rsidP="00CF6169">
            <w:pPr>
              <w:rPr>
                <w:rFonts w:ascii="Times New Roman" w:hAnsi="Times New Roman" w:cs="Times New Roman"/>
                <w:sz w:val="24"/>
                <w:szCs w:val="24"/>
              </w:rPr>
            </w:pPr>
            <w:r w:rsidRPr="00561205">
              <w:rPr>
                <w:rFonts w:ascii="Times New Roman" w:hAnsi="Times New Roman" w:cs="Times New Roman"/>
                <w:sz w:val="24"/>
                <w:szCs w:val="24"/>
              </w:rPr>
              <w:t>Studiju programmas mērķis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5057446E" w14:textId="181F70C5" w:rsidR="00CF6169" w:rsidRPr="00561205" w:rsidRDefault="0B8376F3" w:rsidP="37051B10">
            <w:pPr>
              <w:rPr>
                <w:rFonts w:ascii="Times New Roman" w:hAnsi="Times New Roman" w:cs="Times New Roman"/>
                <w:sz w:val="24"/>
                <w:szCs w:val="24"/>
              </w:rPr>
            </w:pPr>
            <w:r w:rsidRPr="37051B10">
              <w:rPr>
                <w:rFonts w:ascii="Times New Roman" w:hAnsi="Times New Roman" w:cs="Times New Roman"/>
                <w:sz w:val="24"/>
                <w:szCs w:val="24"/>
              </w:rPr>
              <w:t xml:space="preserve">nodrošināt studējošajiem zinātņu teorētisko zināšanu un pētniecības iemaņu apguvi, sasniedzot studiju programmā noteiktos studiju rezultātus, kas atbilst Latvijas kvalifikāciju </w:t>
            </w:r>
            <w:proofErr w:type="spellStart"/>
            <w:r w:rsidRPr="37051B10">
              <w:rPr>
                <w:rFonts w:ascii="Times New Roman" w:hAnsi="Times New Roman" w:cs="Times New Roman"/>
                <w:sz w:val="24"/>
                <w:szCs w:val="24"/>
              </w:rPr>
              <w:t>ietvarstruktūras</w:t>
            </w:r>
            <w:proofErr w:type="spellEnd"/>
            <w:r w:rsidRPr="37051B10">
              <w:rPr>
                <w:rFonts w:ascii="Times New Roman" w:hAnsi="Times New Roman" w:cs="Times New Roman"/>
                <w:sz w:val="24"/>
                <w:szCs w:val="24"/>
              </w:rPr>
              <w:t xml:space="preserve"> sestā vai septītā līmeņa zināšanām, prasmēm un kompetencei;</w:t>
            </w:r>
          </w:p>
          <w:p w14:paraId="63D8F597" w14:textId="3376F98A" w:rsidR="00CF6169" w:rsidRPr="00561205" w:rsidRDefault="0B8376F3" w:rsidP="37051B10">
            <w:r w:rsidRPr="37051B10">
              <w:rPr>
                <w:rFonts w:ascii="Times New Roman" w:hAnsi="Times New Roman" w:cs="Times New Roman"/>
                <w:sz w:val="24"/>
                <w:szCs w:val="24"/>
              </w:rPr>
              <w:t>nodrošināt, ka programmas absolventi spēj atbildīgi un droši izvēlēties un lietot informācijas tehnoloģijas savā profesionālajā darbībā, pētniecībā un mūžizglītībā, kā arī digitālā satura iegūšanā, radīšanā un koplietošanā.</w:t>
            </w:r>
          </w:p>
        </w:tc>
        <w:tc>
          <w:tcPr>
            <w:tcW w:w="5386" w:type="dxa"/>
            <w:tcBorders>
              <w:top w:val="single" w:sz="4" w:space="0" w:color="auto"/>
              <w:left w:val="single" w:sz="4" w:space="0" w:color="auto"/>
              <w:bottom w:val="single" w:sz="4" w:space="0" w:color="auto"/>
              <w:right w:val="single" w:sz="4" w:space="0" w:color="auto"/>
            </w:tcBorders>
            <w:shd w:val="clear" w:color="auto" w:fill="auto"/>
            <w:noWrap/>
            <w:tcMar>
              <w:top w:w="28" w:type="dxa"/>
              <w:left w:w="85" w:type="dxa"/>
              <w:bottom w:w="57" w:type="dxa"/>
              <w:right w:w="85" w:type="dxa"/>
            </w:tcMar>
          </w:tcPr>
          <w:p w14:paraId="15529639" w14:textId="1001734D" w:rsidR="00CF6169" w:rsidRPr="001401C0" w:rsidRDefault="00E32B3B" w:rsidP="00CC7ED3">
            <w:pPr>
              <w:rPr>
                <w:rFonts w:ascii="Times New Roman" w:hAnsi="Times New Roman" w:cs="Times New Roman"/>
                <w:sz w:val="24"/>
                <w:szCs w:val="24"/>
              </w:rPr>
            </w:pPr>
            <w:r w:rsidRPr="00E32B3B">
              <w:rPr>
                <w:rFonts w:ascii="Times New Roman" w:hAnsi="Times New Roman" w:cs="Times New Roman"/>
                <w:sz w:val="24"/>
                <w:szCs w:val="24"/>
              </w:rPr>
              <w:t xml:space="preserve">Studiju programmā studējošajiem ir nodrošināta </w:t>
            </w:r>
            <w:r>
              <w:rPr>
                <w:rFonts w:ascii="Times New Roman" w:hAnsi="Times New Roman" w:cs="Times New Roman"/>
                <w:sz w:val="24"/>
                <w:szCs w:val="24"/>
              </w:rPr>
              <w:t>nozares</w:t>
            </w:r>
            <w:r w:rsidRPr="00E32B3B">
              <w:rPr>
                <w:rFonts w:ascii="Times New Roman" w:hAnsi="Times New Roman" w:cs="Times New Roman"/>
                <w:sz w:val="24"/>
                <w:szCs w:val="24"/>
              </w:rPr>
              <w:t xml:space="preserve"> teorētisko zināšanu un pētniecības iemaņu apguve, sasniedzot studiju programmā noteiktos studiju rezultātus, kas atbilst Latvijas kvalifikāciju </w:t>
            </w:r>
            <w:proofErr w:type="spellStart"/>
            <w:r w:rsidRPr="00E32B3B">
              <w:rPr>
                <w:rFonts w:ascii="Times New Roman" w:hAnsi="Times New Roman" w:cs="Times New Roman"/>
                <w:sz w:val="24"/>
                <w:szCs w:val="24"/>
              </w:rPr>
              <w:t>ietvarstruktūras</w:t>
            </w:r>
            <w:proofErr w:type="spellEnd"/>
            <w:r w:rsidRPr="00E32B3B">
              <w:rPr>
                <w:rFonts w:ascii="Times New Roman" w:hAnsi="Times New Roman" w:cs="Times New Roman"/>
                <w:sz w:val="24"/>
                <w:szCs w:val="24"/>
              </w:rPr>
              <w:t xml:space="preserve"> septītā līmeņa zināšanām, prasmēm un kompetencei. Studiju programma sagatavo studējošos atbildīgam un drošam informācijas tehnoloģiju lietojumam savā profesionālajā darbībā, pētniecībā, kā arī digitālā satura iegūšanā, radīšanā un koplietošanā</w:t>
            </w:r>
            <w:r>
              <w:rPr>
                <w:rFonts w:ascii="Times New Roman" w:hAnsi="Times New Roman" w:cs="Times New Roman"/>
                <w:sz w:val="24"/>
                <w:szCs w:val="24"/>
              </w:rPr>
              <w:t>.</w:t>
            </w:r>
          </w:p>
        </w:tc>
      </w:tr>
      <w:tr w:rsidR="00E32B3B" w:rsidRPr="00561205" w14:paraId="0F319581"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3A49E68B" w14:textId="49798002" w:rsidR="00E32B3B" w:rsidRPr="00561205" w:rsidRDefault="00E32B3B" w:rsidP="00E32B3B">
            <w:pPr>
              <w:rPr>
                <w:rFonts w:ascii="Times New Roman" w:hAnsi="Times New Roman" w:cs="Times New Roman"/>
                <w:sz w:val="24"/>
                <w:szCs w:val="24"/>
              </w:rPr>
            </w:pPr>
            <w:r w:rsidRPr="735DB98D">
              <w:rPr>
                <w:rFonts w:ascii="Times New Roman" w:hAnsi="Times New Roman" w:cs="Times New Roman"/>
                <w:sz w:val="24"/>
                <w:szCs w:val="24"/>
              </w:rPr>
              <w:t>Studiju programmas sasniedzamie rezultāti</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401E2DE0" w14:textId="6507AD88" w:rsidR="00E32B3B" w:rsidRPr="37051B10" w:rsidRDefault="00E32B3B" w:rsidP="00E32B3B">
            <w:pPr>
              <w:rPr>
                <w:rFonts w:ascii="Times New Roman" w:hAnsi="Times New Roman" w:cs="Times New Roman"/>
                <w:sz w:val="24"/>
                <w:szCs w:val="24"/>
              </w:rPr>
            </w:pPr>
            <w:r w:rsidRPr="37051B10">
              <w:rPr>
                <w:rFonts w:ascii="Times New Roman" w:hAnsi="Times New Roman" w:cs="Times New Roman"/>
                <w:sz w:val="24"/>
                <w:szCs w:val="24"/>
              </w:rPr>
              <w:t>Katras studiju programmas specifiskos mērķus un uzdevumus, kā arī tās studiju programmu daļas, kuras īsteno kā darba vidē balstītas mācības, augstskola nosaka atbilstoši šo noteikumu 3. punktā minētajiem stratēģiskajiem mērķiem.</w:t>
            </w:r>
          </w:p>
        </w:tc>
        <w:tc>
          <w:tcPr>
            <w:tcW w:w="5386" w:type="dxa"/>
            <w:tcBorders>
              <w:top w:val="single" w:sz="4" w:space="0" w:color="auto"/>
              <w:left w:val="single" w:sz="4" w:space="0" w:color="auto"/>
              <w:bottom w:val="single" w:sz="4" w:space="0" w:color="auto"/>
              <w:right w:val="single" w:sz="4" w:space="0" w:color="auto"/>
            </w:tcBorders>
            <w:shd w:val="clear" w:color="auto" w:fill="auto"/>
            <w:noWrap/>
            <w:tcMar>
              <w:top w:w="28" w:type="dxa"/>
              <w:left w:w="85" w:type="dxa"/>
              <w:bottom w:w="57" w:type="dxa"/>
              <w:right w:w="85" w:type="dxa"/>
            </w:tcMar>
          </w:tcPr>
          <w:p w14:paraId="60D2B9DF" w14:textId="1D41FC7E" w:rsidR="00E32B3B" w:rsidRPr="00E32B3B" w:rsidRDefault="00E32B3B" w:rsidP="00E32B3B">
            <w:pPr>
              <w:rPr>
                <w:rFonts w:ascii="Times New Roman" w:hAnsi="Times New Roman" w:cs="Times New Roman"/>
                <w:sz w:val="24"/>
                <w:szCs w:val="24"/>
              </w:rPr>
            </w:pPr>
            <w:r>
              <w:rPr>
                <w:rFonts w:ascii="Times New Roman" w:hAnsi="Times New Roman" w:cs="Times New Roman"/>
                <w:sz w:val="24"/>
                <w:szCs w:val="24"/>
              </w:rPr>
              <w:t>Studiju programmas mērķis, rezultāti un uzdevumi atbilst otrā cikla studiju programmu stratēģiskajiem mērķiem.</w:t>
            </w:r>
          </w:p>
        </w:tc>
      </w:tr>
      <w:tr w:rsidR="00CF6169" w:rsidRPr="00561205" w14:paraId="032C8A6F"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1A79D5B5" w14:textId="25F0264D" w:rsidR="00CF6169" w:rsidRPr="00561205" w:rsidRDefault="00CF6169" w:rsidP="00CF6169">
            <w:pPr>
              <w:rPr>
                <w:rFonts w:ascii="Times New Roman" w:hAnsi="Times New Roman" w:cs="Times New Roman"/>
                <w:sz w:val="24"/>
                <w:szCs w:val="24"/>
              </w:rPr>
            </w:pPr>
            <w:r w:rsidRPr="60FB113D">
              <w:rPr>
                <w:rFonts w:ascii="Times New Roman" w:hAnsi="Times New Roman" w:cs="Times New Roman"/>
                <w:sz w:val="24"/>
                <w:szCs w:val="24"/>
              </w:rPr>
              <w:t>Studiju programmas apjoms (KP</w:t>
            </w:r>
            <w:r w:rsidR="5A78DA53" w:rsidRPr="60FB113D">
              <w:rPr>
                <w:rFonts w:ascii="Times New Roman" w:hAnsi="Times New Roman" w:cs="Times New Roman"/>
                <w:sz w:val="24"/>
                <w:szCs w:val="24"/>
              </w:rPr>
              <w:t>/ECTS</w:t>
            </w:r>
            <w:r w:rsidRPr="60FB113D">
              <w:rPr>
                <w:rFonts w:ascii="Times New Roman" w:hAnsi="Times New Roman" w:cs="Times New Roman"/>
                <w:sz w:val="24"/>
                <w:szCs w:val="24"/>
              </w:rPr>
              <w:t>)</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4F082FF5" w14:textId="1BDC2498" w:rsidR="00CF6169" w:rsidRPr="00561205" w:rsidRDefault="3BA62DA5" w:rsidP="37051B10">
            <w:pPr>
              <w:rPr>
                <w:rFonts w:ascii="Times New Roman" w:hAnsi="Times New Roman" w:cs="Times New Roman"/>
                <w:sz w:val="24"/>
                <w:szCs w:val="24"/>
              </w:rPr>
            </w:pPr>
            <w:r w:rsidRPr="37051B10">
              <w:rPr>
                <w:rFonts w:ascii="Times New Roman" w:hAnsi="Times New Roman" w:cs="Times New Roman"/>
                <w:sz w:val="24"/>
                <w:szCs w:val="24"/>
              </w:rPr>
              <w:t>Maģistra studiju programmas apjoms ir ne mazāks kā 60 kredītpunktu un ilgst vienu gadu ar nosacījumu, ka tiek ievērots Augstskolu likumā noteiktais kopējais pirmā un otrā cikla studiju apjoms un ilgums pilna laika studijās. Ne mazāk kā 30 kredītpunktu no maģistra studiju programmas apjoma ir maģistra darba izstrāde.</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26510617" w14:textId="77777777" w:rsidR="00CF6169" w:rsidRDefault="0035364C" w:rsidP="3F1BAA57">
            <w:pPr>
              <w:rPr>
                <w:rFonts w:ascii="Times New Roman" w:hAnsi="Times New Roman" w:cs="Times New Roman"/>
                <w:sz w:val="24"/>
                <w:szCs w:val="24"/>
              </w:rPr>
            </w:pPr>
            <w:r w:rsidRPr="0035364C">
              <w:rPr>
                <w:rFonts w:ascii="Times New Roman" w:hAnsi="Times New Roman" w:cs="Times New Roman"/>
                <w:sz w:val="24"/>
                <w:szCs w:val="24"/>
              </w:rPr>
              <w:t>Profesionālās maģistra studiju programmas “Ekonomiskā drošība” kopapjoms ir 120 ECTS</w:t>
            </w:r>
            <w:r>
              <w:rPr>
                <w:rFonts w:ascii="Times New Roman" w:hAnsi="Times New Roman" w:cs="Times New Roman"/>
                <w:sz w:val="24"/>
                <w:szCs w:val="24"/>
              </w:rPr>
              <w:t xml:space="preserve">. </w:t>
            </w:r>
            <w:r w:rsidRPr="0035364C">
              <w:rPr>
                <w:rFonts w:ascii="Times New Roman" w:hAnsi="Times New Roman" w:cs="Times New Roman"/>
                <w:sz w:val="24"/>
                <w:szCs w:val="24"/>
              </w:rPr>
              <w:t>Maģistra darba izstrādei un aizstāvēšanai ir paredzēti 30 ECTS.</w:t>
            </w:r>
          </w:p>
          <w:p w14:paraId="0824B47B" w14:textId="7C1E0274" w:rsidR="00486432" w:rsidRPr="00561205" w:rsidRDefault="00486432" w:rsidP="3F1BAA57">
            <w:pPr>
              <w:rPr>
                <w:rFonts w:ascii="Times New Roman" w:hAnsi="Times New Roman" w:cs="Times New Roman"/>
                <w:sz w:val="24"/>
                <w:szCs w:val="24"/>
              </w:rPr>
            </w:pPr>
          </w:p>
        </w:tc>
      </w:tr>
      <w:tr w:rsidR="0035364C" w:rsidRPr="00561205" w14:paraId="1558E317"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692FE164" w14:textId="1A560D16" w:rsidR="0035364C" w:rsidRPr="60FB113D" w:rsidRDefault="0035364C" w:rsidP="0035364C">
            <w:pPr>
              <w:rPr>
                <w:rFonts w:ascii="Times New Roman" w:hAnsi="Times New Roman" w:cs="Times New Roman"/>
                <w:sz w:val="24"/>
                <w:szCs w:val="24"/>
              </w:rPr>
            </w:pPr>
            <w:r w:rsidRPr="37051B10">
              <w:rPr>
                <w:rFonts w:ascii="Times New Roman" w:hAnsi="Times New Roman" w:cs="Times New Roman"/>
                <w:sz w:val="24"/>
                <w:szCs w:val="24"/>
              </w:rPr>
              <w:t>Studiju programmas īstenošanas ilgums</w:t>
            </w:r>
            <w:r w:rsidRPr="37051B10">
              <w:rPr>
                <w:rStyle w:val="FootnoteReference"/>
                <w:rFonts w:ascii="Times New Roman" w:hAnsi="Times New Roman" w:cs="Times New Roman"/>
                <w:sz w:val="24"/>
                <w:szCs w:val="24"/>
              </w:rPr>
              <w:footnoteReference w:id="2"/>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6CE6B110" w14:textId="3C7DD0E4" w:rsidR="0035364C" w:rsidRPr="37051B10" w:rsidRDefault="0035364C" w:rsidP="0035364C">
            <w:pPr>
              <w:rPr>
                <w:rFonts w:ascii="Times New Roman" w:hAnsi="Times New Roman" w:cs="Times New Roman"/>
                <w:sz w:val="24"/>
                <w:szCs w:val="24"/>
              </w:rPr>
            </w:pPr>
            <w:r w:rsidRPr="37051B10">
              <w:rPr>
                <w:rFonts w:ascii="Times New Roman" w:hAnsi="Times New Roman" w:cs="Times New Roman"/>
                <w:sz w:val="24"/>
                <w:szCs w:val="24"/>
              </w:rPr>
              <w:t>Vismaz viens gads.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692396B1" w14:textId="0658CB15" w:rsidR="0035364C" w:rsidRPr="0035364C" w:rsidRDefault="0035364C" w:rsidP="0035364C">
            <w:pPr>
              <w:rPr>
                <w:rFonts w:ascii="Times New Roman" w:hAnsi="Times New Roman" w:cs="Times New Roman"/>
                <w:sz w:val="24"/>
                <w:szCs w:val="24"/>
              </w:rPr>
            </w:pPr>
            <w:r>
              <w:rPr>
                <w:rFonts w:ascii="Times New Roman" w:hAnsi="Times New Roman" w:cs="Times New Roman"/>
                <w:sz w:val="24"/>
                <w:szCs w:val="24"/>
              </w:rPr>
              <w:t xml:space="preserve">Programmas īstenošanas ilgums pilna laika klātienes studijās ir 2 gadi, bet nepilna laika klātienes studijās 2 gadi un 6 mēneši. </w:t>
            </w:r>
          </w:p>
        </w:tc>
      </w:tr>
      <w:tr w:rsidR="00561205" w:rsidRPr="00A775DC" w14:paraId="4B931105"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138D734F" w14:textId="77777777" w:rsidR="00F67B1B" w:rsidRPr="00A775DC" w:rsidRDefault="00F67B1B" w:rsidP="00F67B1B">
            <w:pPr>
              <w:rPr>
                <w:rFonts w:ascii="Times New Roman" w:hAnsi="Times New Roman" w:cs="Times New Roman"/>
                <w:sz w:val="24"/>
                <w:szCs w:val="24"/>
              </w:rPr>
            </w:pPr>
            <w:r w:rsidRPr="00A775DC">
              <w:rPr>
                <w:rFonts w:ascii="Times New Roman" w:hAnsi="Times New Roman" w:cs="Times New Roman"/>
                <w:sz w:val="24"/>
                <w:szCs w:val="24"/>
              </w:rPr>
              <w:lastRenderedPageBreak/>
              <w:t>Programmu daļas un to apjoms (obligātā, ierobežotās izvēles, izvēles), t.s. noslēguma darba apjoms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2EA083CD" w14:textId="0255A62C" w:rsidR="00F67B1B" w:rsidRPr="00A775DC" w:rsidRDefault="7A4B12D6" w:rsidP="37051B10">
            <w:pPr>
              <w:pStyle w:val="tv213"/>
              <w:shd w:val="clear" w:color="auto" w:fill="FFFFFF" w:themeFill="background1"/>
              <w:spacing w:before="0" w:beforeAutospacing="0" w:after="0" w:afterAutospacing="0"/>
              <w:jc w:val="both"/>
            </w:pPr>
            <w:r w:rsidRPr="00A775DC">
              <w:t>Maģistra studiju programmas saturs nodrošina tādu studiju rezultātu sasniegšanu, kas ietver padziļinātu teorētisko zināšanu iegūšanu un pētniecības iemaņu un prasmju attīstīšanu.</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0ACF2F00" w14:textId="0F15C3F3" w:rsidR="0035364C" w:rsidRPr="0035364C" w:rsidRDefault="0035364C" w:rsidP="0035364C">
            <w:pPr>
              <w:rPr>
                <w:rFonts w:ascii="Times New Roman" w:eastAsia="Times New Roman" w:hAnsi="Times New Roman" w:cs="Times New Roman"/>
                <w:sz w:val="24"/>
                <w:szCs w:val="24"/>
              </w:rPr>
            </w:pPr>
            <w:r>
              <w:rPr>
                <w:rFonts w:ascii="Times New Roman" w:eastAsia="Times New Roman" w:hAnsi="Times New Roman" w:cs="Times New Roman"/>
                <w:sz w:val="24"/>
                <w:szCs w:val="24"/>
              </w:rPr>
              <w:t>Akadēmiskās</w:t>
            </w:r>
            <w:r w:rsidRPr="0035364C">
              <w:rPr>
                <w:rFonts w:ascii="Times New Roman" w:eastAsia="Times New Roman" w:hAnsi="Times New Roman" w:cs="Times New Roman"/>
                <w:sz w:val="24"/>
                <w:szCs w:val="24"/>
              </w:rPr>
              <w:t xml:space="preserve"> maģistra studiju programmas “Ekonomiskā drošība” saturs nodrošina tādu studiju rezultātu sasniegšanu, kas ietver padziļinātu teorētisko zināšanu iegūšanu un pētniecības iemaņu un prasmju attīstīšanu ekonomiskās drošības jomā, attiecīgi apgūstot ar drošību, ekonomiku un vadību, tiesību zinātni saistītos studiju kursus.</w:t>
            </w:r>
          </w:p>
          <w:p w14:paraId="494AD05E" w14:textId="77777777" w:rsidR="0035364C" w:rsidRPr="0035364C"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Programmu daļas un to apjoms:</w:t>
            </w:r>
          </w:p>
          <w:p w14:paraId="562876EC" w14:textId="7CC2DBBD" w:rsidR="0035364C" w:rsidRPr="0035364C"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P</w:t>
            </w:r>
            <w:r w:rsidR="00DA10E3">
              <w:rPr>
                <w:rFonts w:ascii="Times New Roman" w:eastAsia="Times New Roman" w:hAnsi="Times New Roman" w:cs="Times New Roman"/>
                <w:sz w:val="24"/>
                <w:szCs w:val="24"/>
              </w:rPr>
              <w:t>ilna laika</w:t>
            </w:r>
            <w:r w:rsidRPr="0035364C">
              <w:rPr>
                <w:rFonts w:ascii="Times New Roman" w:eastAsia="Times New Roman" w:hAnsi="Times New Roman" w:cs="Times New Roman"/>
                <w:sz w:val="24"/>
                <w:szCs w:val="24"/>
              </w:rPr>
              <w:t xml:space="preserve"> klātiene</w:t>
            </w:r>
          </w:p>
          <w:p w14:paraId="69670E3A" w14:textId="4500484F" w:rsidR="0035364C" w:rsidRPr="0035364C"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 xml:space="preserve">A daļa = </w:t>
            </w:r>
            <w:r w:rsidR="00547E11">
              <w:rPr>
                <w:rFonts w:ascii="Times New Roman" w:eastAsia="Times New Roman" w:hAnsi="Times New Roman" w:cs="Times New Roman"/>
                <w:sz w:val="24"/>
                <w:szCs w:val="24"/>
              </w:rPr>
              <w:t>69</w:t>
            </w:r>
            <w:r w:rsidRPr="0035364C">
              <w:rPr>
                <w:rFonts w:ascii="Times New Roman" w:eastAsia="Times New Roman" w:hAnsi="Times New Roman" w:cs="Times New Roman"/>
                <w:sz w:val="24"/>
                <w:szCs w:val="24"/>
              </w:rPr>
              <w:t xml:space="preserve"> ECTS</w:t>
            </w:r>
          </w:p>
          <w:p w14:paraId="3199C6C0" w14:textId="38940C8E" w:rsidR="0035364C"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 xml:space="preserve">B daļa = </w:t>
            </w:r>
            <w:r w:rsidR="00A22E7F">
              <w:rPr>
                <w:rFonts w:ascii="Times New Roman" w:eastAsia="Times New Roman" w:hAnsi="Times New Roman" w:cs="Times New Roman"/>
                <w:sz w:val="24"/>
                <w:szCs w:val="24"/>
              </w:rPr>
              <w:t>4</w:t>
            </w:r>
            <w:r w:rsidR="00547E11">
              <w:rPr>
                <w:rFonts w:ascii="Times New Roman" w:eastAsia="Times New Roman" w:hAnsi="Times New Roman" w:cs="Times New Roman"/>
                <w:sz w:val="24"/>
                <w:szCs w:val="24"/>
              </w:rPr>
              <w:t>8</w:t>
            </w:r>
            <w:r w:rsidRPr="0035364C">
              <w:rPr>
                <w:rFonts w:ascii="Times New Roman" w:eastAsia="Times New Roman" w:hAnsi="Times New Roman" w:cs="Times New Roman"/>
                <w:sz w:val="24"/>
                <w:szCs w:val="24"/>
              </w:rPr>
              <w:t xml:space="preserve"> ECTS</w:t>
            </w:r>
          </w:p>
          <w:p w14:paraId="0E58E14B" w14:textId="5B294097" w:rsidR="00DA10E3" w:rsidRPr="0035364C" w:rsidRDefault="00DA10E3" w:rsidP="0035364C">
            <w:pPr>
              <w:rPr>
                <w:rFonts w:ascii="Times New Roman" w:eastAsia="Times New Roman" w:hAnsi="Times New Roman" w:cs="Times New Roman"/>
                <w:sz w:val="24"/>
                <w:szCs w:val="24"/>
              </w:rPr>
            </w:pPr>
            <w:r>
              <w:rPr>
                <w:rFonts w:ascii="Times New Roman" w:eastAsia="Times New Roman" w:hAnsi="Times New Roman" w:cs="Times New Roman"/>
                <w:sz w:val="24"/>
                <w:szCs w:val="24"/>
              </w:rPr>
              <w:t>C daļa = 3 ECTS</w:t>
            </w:r>
          </w:p>
          <w:p w14:paraId="736A7B01" w14:textId="7A2F947C" w:rsidR="0035364C" w:rsidRPr="0035364C"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N</w:t>
            </w:r>
            <w:r w:rsidR="00DA10E3">
              <w:rPr>
                <w:rFonts w:ascii="Times New Roman" w:eastAsia="Times New Roman" w:hAnsi="Times New Roman" w:cs="Times New Roman"/>
                <w:sz w:val="24"/>
                <w:szCs w:val="24"/>
              </w:rPr>
              <w:t>epilna laika</w:t>
            </w:r>
            <w:r w:rsidRPr="0035364C">
              <w:rPr>
                <w:rFonts w:ascii="Times New Roman" w:eastAsia="Times New Roman" w:hAnsi="Times New Roman" w:cs="Times New Roman"/>
                <w:sz w:val="24"/>
                <w:szCs w:val="24"/>
              </w:rPr>
              <w:t xml:space="preserve"> klātiene</w:t>
            </w:r>
          </w:p>
          <w:p w14:paraId="230C406A" w14:textId="16F081A0" w:rsidR="00DA10E3" w:rsidRPr="0035364C" w:rsidRDefault="00DA10E3" w:rsidP="00DA10E3">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 xml:space="preserve">A daļa = </w:t>
            </w:r>
            <w:r w:rsidR="00547E11">
              <w:rPr>
                <w:rFonts w:ascii="Times New Roman" w:eastAsia="Times New Roman" w:hAnsi="Times New Roman" w:cs="Times New Roman"/>
                <w:sz w:val="24"/>
                <w:szCs w:val="24"/>
              </w:rPr>
              <w:t>69</w:t>
            </w:r>
            <w:r w:rsidRPr="0035364C">
              <w:rPr>
                <w:rFonts w:ascii="Times New Roman" w:eastAsia="Times New Roman" w:hAnsi="Times New Roman" w:cs="Times New Roman"/>
                <w:sz w:val="24"/>
                <w:szCs w:val="24"/>
              </w:rPr>
              <w:t xml:space="preserve"> ECTS</w:t>
            </w:r>
          </w:p>
          <w:p w14:paraId="280FD90F" w14:textId="3CB24B09" w:rsidR="00DA10E3" w:rsidRDefault="00DA10E3" w:rsidP="00DA10E3">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 xml:space="preserve">B daļa = </w:t>
            </w:r>
            <w:r w:rsidR="00A22E7F">
              <w:rPr>
                <w:rFonts w:ascii="Times New Roman" w:eastAsia="Times New Roman" w:hAnsi="Times New Roman" w:cs="Times New Roman"/>
                <w:sz w:val="24"/>
                <w:szCs w:val="24"/>
              </w:rPr>
              <w:t>4</w:t>
            </w:r>
            <w:r w:rsidR="00547E11">
              <w:rPr>
                <w:rFonts w:ascii="Times New Roman" w:eastAsia="Times New Roman" w:hAnsi="Times New Roman" w:cs="Times New Roman"/>
                <w:sz w:val="24"/>
                <w:szCs w:val="24"/>
              </w:rPr>
              <w:t>8</w:t>
            </w:r>
            <w:bookmarkStart w:id="0" w:name="_GoBack"/>
            <w:bookmarkEnd w:id="0"/>
            <w:r w:rsidRPr="0035364C">
              <w:rPr>
                <w:rFonts w:ascii="Times New Roman" w:eastAsia="Times New Roman" w:hAnsi="Times New Roman" w:cs="Times New Roman"/>
                <w:sz w:val="24"/>
                <w:szCs w:val="24"/>
              </w:rPr>
              <w:t xml:space="preserve"> ECTS</w:t>
            </w:r>
          </w:p>
          <w:p w14:paraId="0306D0EC" w14:textId="77777777" w:rsidR="00DA10E3" w:rsidRPr="0035364C" w:rsidRDefault="00DA10E3" w:rsidP="00DA10E3">
            <w:pPr>
              <w:rPr>
                <w:rFonts w:ascii="Times New Roman" w:eastAsia="Times New Roman" w:hAnsi="Times New Roman" w:cs="Times New Roman"/>
                <w:sz w:val="24"/>
                <w:szCs w:val="24"/>
              </w:rPr>
            </w:pPr>
            <w:r>
              <w:rPr>
                <w:rFonts w:ascii="Times New Roman" w:eastAsia="Times New Roman" w:hAnsi="Times New Roman" w:cs="Times New Roman"/>
                <w:sz w:val="24"/>
                <w:szCs w:val="24"/>
              </w:rPr>
              <w:t>C daļa = 3 ECTS</w:t>
            </w:r>
          </w:p>
          <w:p w14:paraId="5EED2AE2" w14:textId="7FC7761F" w:rsidR="00F67B1B" w:rsidRPr="00561205" w:rsidRDefault="0035364C" w:rsidP="0035364C">
            <w:pPr>
              <w:rPr>
                <w:rFonts w:ascii="Times New Roman" w:eastAsia="Times New Roman" w:hAnsi="Times New Roman" w:cs="Times New Roman"/>
                <w:sz w:val="24"/>
                <w:szCs w:val="24"/>
              </w:rPr>
            </w:pPr>
            <w:r w:rsidRPr="0035364C">
              <w:rPr>
                <w:rFonts w:ascii="Times New Roman" w:eastAsia="Times New Roman" w:hAnsi="Times New Roman" w:cs="Times New Roman"/>
                <w:sz w:val="24"/>
                <w:szCs w:val="24"/>
              </w:rPr>
              <w:t>Maģistra darba izstrādei un aizstāvēšanai ir paredzēti 30 ECTS.</w:t>
            </w:r>
          </w:p>
        </w:tc>
      </w:tr>
      <w:tr w:rsidR="00561205" w:rsidRPr="00561205" w14:paraId="3E05711A"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6400BC63" w14:textId="77777777" w:rsidR="00A20DD6" w:rsidRPr="00561205" w:rsidRDefault="00A20DD6" w:rsidP="00A20DD6">
            <w:pPr>
              <w:rPr>
                <w:rFonts w:ascii="Times New Roman" w:hAnsi="Times New Roman" w:cs="Times New Roman"/>
                <w:sz w:val="24"/>
                <w:szCs w:val="24"/>
              </w:rPr>
            </w:pPr>
            <w:r w:rsidRPr="00561205">
              <w:rPr>
                <w:rFonts w:ascii="Times New Roman" w:hAnsi="Times New Roman" w:cs="Times New Roman"/>
                <w:sz w:val="24"/>
                <w:szCs w:val="24"/>
              </w:rPr>
              <w:t>Kontaktstundu apjoms (%)</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0B481E6D" w14:textId="443F0BA5" w:rsidR="00A20DD6" w:rsidRPr="00561205" w:rsidRDefault="0A324880" w:rsidP="37051B10">
            <w:pPr>
              <w:rPr>
                <w:rFonts w:ascii="Times New Roman" w:hAnsi="Times New Roman" w:cs="Times New Roman"/>
                <w:sz w:val="24"/>
                <w:szCs w:val="24"/>
              </w:rPr>
            </w:pPr>
            <w:r w:rsidRPr="37051B10">
              <w:rPr>
                <w:rFonts w:ascii="Times New Roman" w:hAnsi="Times New Roman" w:cs="Times New Roman"/>
                <w:sz w:val="24"/>
                <w:szCs w:val="24"/>
              </w:rPr>
              <w:t>Pilna laika studijās ne mazāk kā 30 % no maģistra studiju programmas apjoma (izņemot praksei, ja tāda ir noteikta, un maģistra darba izstrādei paredzēto apjomu) veido kontaktstundas.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68C3E3C2" w14:textId="31C7AD1B" w:rsidR="00A20DD6" w:rsidRPr="00561205" w:rsidRDefault="0035364C" w:rsidP="3F1BAA57">
            <w:pPr>
              <w:jc w:val="both"/>
              <w:rPr>
                <w:rFonts w:ascii="Times New Roman" w:hAnsi="Times New Roman" w:cs="Times New Roman"/>
                <w:sz w:val="24"/>
                <w:szCs w:val="24"/>
              </w:rPr>
            </w:pPr>
            <w:r w:rsidRPr="0035364C">
              <w:rPr>
                <w:rFonts w:ascii="Times New Roman" w:hAnsi="Times New Roman" w:cs="Times New Roman"/>
                <w:sz w:val="24"/>
                <w:szCs w:val="24"/>
              </w:rPr>
              <w:t>Atbilst, ne mazāk kā 30 % no maģistra studiju programmas apjoma veido kontaktstundas.</w:t>
            </w:r>
          </w:p>
        </w:tc>
      </w:tr>
      <w:tr w:rsidR="00561205" w:rsidRPr="00561205" w14:paraId="5BEDA6AB"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71D0D44D" w14:textId="77777777" w:rsidR="0036278E" w:rsidRPr="00561205" w:rsidRDefault="0036278E" w:rsidP="0036278E">
            <w:pPr>
              <w:rPr>
                <w:rFonts w:ascii="Times New Roman" w:hAnsi="Times New Roman" w:cs="Times New Roman"/>
                <w:sz w:val="24"/>
                <w:szCs w:val="24"/>
              </w:rPr>
            </w:pPr>
            <w:r w:rsidRPr="00561205">
              <w:rPr>
                <w:rFonts w:ascii="Times New Roman" w:hAnsi="Times New Roman" w:cs="Times New Roman"/>
                <w:sz w:val="24"/>
                <w:szCs w:val="24"/>
              </w:rPr>
              <w:t>Obligātais saturs atbilstoši standarta prasībām</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736D705A" w14:textId="1597556F" w:rsidR="0036278E" w:rsidRPr="00561205" w:rsidRDefault="017C3111" w:rsidP="37051B10">
            <w:pPr>
              <w:pStyle w:val="tv213"/>
              <w:shd w:val="clear" w:color="auto" w:fill="FFFFFF" w:themeFill="background1"/>
              <w:spacing w:before="0" w:beforeAutospacing="0" w:after="0" w:afterAutospacing="0"/>
            </w:pPr>
            <w:r>
              <w:t xml:space="preserve">Maģistra studiju programmas obligātajā daļā, izņemot maģistra darba izstrādi, ietver attiecīgās zinātnes nozares vai </w:t>
            </w:r>
            <w:proofErr w:type="spellStart"/>
            <w:r>
              <w:t>apakšnozares</w:t>
            </w:r>
            <w:proofErr w:type="spellEnd"/>
            <w:r>
              <w:t xml:space="preserve"> izvēlētās jomas teorētisko atziņu izpēti un teorētisko atziņu aprobāciju zinātnes nozares vai </w:t>
            </w:r>
            <w:proofErr w:type="spellStart"/>
            <w:r>
              <w:t>apakšnozares</w:t>
            </w:r>
            <w:proofErr w:type="spellEnd"/>
            <w:r>
              <w:t xml:space="preserve"> izvēlētās jomas aktuālo problēmu aspektā ne mazāk kā 18 kredītpunktu apjomā, ja maģistra studiju programmas apjoms ir 60 kredītpunktu, un ne mazāk kā 36 kredītpunktu apjomā, ja maģistra studiju programmas apjoms ir 120 kredītpunktu.</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2B51BBC3" w14:textId="2355EDFE" w:rsidR="0036278E" w:rsidRDefault="00E32B3B" w:rsidP="3F1BAA57">
            <w:pPr>
              <w:rPr>
                <w:rFonts w:ascii="Times New Roman" w:hAnsi="Times New Roman" w:cs="Times New Roman"/>
                <w:sz w:val="24"/>
              </w:rPr>
            </w:pPr>
            <w:r w:rsidRPr="00E32B3B">
              <w:rPr>
                <w:rFonts w:ascii="Times New Roman" w:hAnsi="Times New Roman" w:cs="Times New Roman"/>
                <w:sz w:val="24"/>
              </w:rPr>
              <w:t xml:space="preserve">Obligātajā daļā ietverti atbilstoši studiju kursi </w:t>
            </w:r>
            <w:r w:rsidR="00C97F87">
              <w:rPr>
                <w:rFonts w:ascii="Times New Roman" w:hAnsi="Times New Roman" w:cs="Times New Roman"/>
                <w:sz w:val="24"/>
              </w:rPr>
              <w:t>39</w:t>
            </w:r>
            <w:r w:rsidRPr="00E32B3B">
              <w:rPr>
                <w:rFonts w:ascii="Times New Roman" w:hAnsi="Times New Roman" w:cs="Times New Roman"/>
                <w:sz w:val="24"/>
              </w:rPr>
              <w:t xml:space="preserve"> ECTS apjomā.</w:t>
            </w:r>
          </w:p>
          <w:tbl>
            <w:tblPr>
              <w:tblStyle w:val="TableGrid"/>
              <w:tblW w:w="0" w:type="auto"/>
              <w:tblLook w:val="04A0" w:firstRow="1" w:lastRow="0" w:firstColumn="1" w:lastColumn="0" w:noHBand="0" w:noVBand="1"/>
            </w:tblPr>
            <w:tblGrid>
              <w:gridCol w:w="4209"/>
              <w:gridCol w:w="951"/>
            </w:tblGrid>
            <w:tr w:rsidR="001F1D3F" w:rsidRPr="00486432" w14:paraId="01462BEB" w14:textId="77777777" w:rsidTr="006D18FE">
              <w:tc>
                <w:tcPr>
                  <w:tcW w:w="4209" w:type="dxa"/>
                </w:tcPr>
                <w:p w14:paraId="799CEAD3" w14:textId="77777777" w:rsidR="001F1D3F" w:rsidRPr="00486432" w:rsidRDefault="001F1D3F" w:rsidP="001F1D3F">
                  <w:pPr>
                    <w:jc w:val="center"/>
                    <w:rPr>
                      <w:rFonts w:ascii="Times New Roman" w:hAnsi="Times New Roman" w:cs="Times New Roman"/>
                      <w:sz w:val="20"/>
                      <w:szCs w:val="20"/>
                    </w:rPr>
                  </w:pPr>
                  <w:r w:rsidRPr="00486432">
                    <w:rPr>
                      <w:rFonts w:ascii="Times New Roman" w:hAnsi="Times New Roman" w:cs="Times New Roman"/>
                      <w:sz w:val="20"/>
                      <w:szCs w:val="20"/>
                    </w:rPr>
                    <w:t>Kursa nosaukums</w:t>
                  </w:r>
                </w:p>
              </w:tc>
              <w:tc>
                <w:tcPr>
                  <w:tcW w:w="951" w:type="dxa"/>
                </w:tcPr>
                <w:p w14:paraId="13E98955" w14:textId="77777777" w:rsidR="001F1D3F" w:rsidRPr="00486432" w:rsidRDefault="001F1D3F" w:rsidP="001F1D3F">
                  <w:pPr>
                    <w:ind w:right="-24" w:hanging="59"/>
                    <w:jc w:val="center"/>
                    <w:rPr>
                      <w:rFonts w:ascii="Times New Roman" w:hAnsi="Times New Roman" w:cs="Times New Roman"/>
                      <w:sz w:val="20"/>
                      <w:szCs w:val="20"/>
                    </w:rPr>
                  </w:pPr>
                  <w:r>
                    <w:rPr>
                      <w:rFonts w:ascii="Times New Roman" w:hAnsi="Times New Roman" w:cs="Times New Roman"/>
                      <w:sz w:val="20"/>
                      <w:szCs w:val="20"/>
                    </w:rPr>
                    <w:t>ECTS</w:t>
                  </w:r>
                </w:p>
              </w:tc>
            </w:tr>
            <w:tr w:rsidR="001F1D3F" w:rsidRPr="00486432" w14:paraId="54ACF071" w14:textId="77777777" w:rsidTr="006D18FE">
              <w:tc>
                <w:tcPr>
                  <w:tcW w:w="4209" w:type="dxa"/>
                </w:tcPr>
                <w:p w14:paraId="7C0F8606" w14:textId="77777777" w:rsidR="001F1D3F" w:rsidRPr="00486432" w:rsidRDefault="001F1D3F" w:rsidP="001F1D3F">
                  <w:pPr>
                    <w:rPr>
                      <w:rFonts w:ascii="Times New Roman" w:hAnsi="Times New Roman" w:cs="Times New Roman"/>
                      <w:sz w:val="20"/>
                      <w:szCs w:val="20"/>
                    </w:rPr>
                  </w:pPr>
                  <w:r w:rsidRPr="00486432">
                    <w:rPr>
                      <w:rFonts w:ascii="Times New Roman" w:eastAsia="Times New Roman" w:hAnsi="Times New Roman" w:cs="Times New Roman"/>
                      <w:sz w:val="20"/>
                      <w:szCs w:val="20"/>
                    </w:rPr>
                    <w:t>Zinātniskā pētniecība ekonomiskajā drošībā</w:t>
                  </w:r>
                </w:p>
              </w:tc>
              <w:tc>
                <w:tcPr>
                  <w:tcW w:w="951" w:type="dxa"/>
                </w:tcPr>
                <w:p w14:paraId="7A958219" w14:textId="77777777" w:rsidR="001F1D3F" w:rsidRPr="00486432" w:rsidRDefault="001F1D3F" w:rsidP="001F1D3F">
                  <w:pPr>
                    <w:ind w:hanging="59"/>
                    <w:jc w:val="center"/>
                    <w:rPr>
                      <w:rFonts w:ascii="Times New Roman" w:hAnsi="Times New Roman" w:cs="Times New Roman"/>
                      <w:sz w:val="20"/>
                      <w:szCs w:val="20"/>
                    </w:rPr>
                  </w:pPr>
                  <w:r w:rsidRPr="00486432">
                    <w:rPr>
                      <w:rFonts w:ascii="Times New Roman" w:hAnsi="Times New Roman" w:cs="Times New Roman"/>
                      <w:sz w:val="20"/>
                      <w:szCs w:val="20"/>
                    </w:rPr>
                    <w:t>3</w:t>
                  </w:r>
                </w:p>
              </w:tc>
            </w:tr>
            <w:tr w:rsidR="001F1D3F" w:rsidRPr="00486432" w14:paraId="370B20DF" w14:textId="77777777" w:rsidTr="006D18FE">
              <w:tc>
                <w:tcPr>
                  <w:tcW w:w="4209" w:type="dxa"/>
                  <w:vAlign w:val="center"/>
                </w:tcPr>
                <w:p w14:paraId="74A13CF4" w14:textId="77777777" w:rsidR="001F1D3F" w:rsidRPr="00FD1330" w:rsidRDefault="001F1D3F" w:rsidP="001F1D3F">
                  <w:pPr>
                    <w:rPr>
                      <w:rFonts w:ascii="Times New Roman" w:hAnsi="Times New Roman" w:cs="Times New Roman"/>
                      <w:sz w:val="20"/>
                      <w:szCs w:val="20"/>
                    </w:rPr>
                  </w:pPr>
                  <w:proofErr w:type="spellStart"/>
                  <w:r w:rsidRPr="00FD1330">
                    <w:rPr>
                      <w:rFonts w:ascii="Times New Roman" w:eastAsia="Times New Roman" w:hAnsi="Times New Roman" w:cs="Times New Roman"/>
                      <w:sz w:val="20"/>
                      <w:szCs w:val="20"/>
                      <w:lang w:val="en-US" w:eastAsia="lv-LV"/>
                    </w:rPr>
                    <w:t>Muitas</w:t>
                  </w:r>
                  <w:proofErr w:type="spellEnd"/>
                  <w:r w:rsidRPr="00FD1330">
                    <w:rPr>
                      <w:rFonts w:ascii="Times New Roman" w:eastAsia="Times New Roman" w:hAnsi="Times New Roman" w:cs="Times New Roman"/>
                      <w:sz w:val="20"/>
                      <w:szCs w:val="20"/>
                      <w:lang w:val="en-US" w:eastAsia="lv-LV"/>
                    </w:rPr>
                    <w:t xml:space="preserve"> </w:t>
                  </w:r>
                  <w:proofErr w:type="spellStart"/>
                  <w:r w:rsidRPr="00FD1330">
                    <w:rPr>
                      <w:rFonts w:ascii="Times New Roman" w:eastAsia="Times New Roman" w:hAnsi="Times New Roman" w:cs="Times New Roman"/>
                      <w:sz w:val="20"/>
                      <w:szCs w:val="20"/>
                      <w:lang w:val="en-US" w:eastAsia="lv-LV"/>
                    </w:rPr>
                    <w:t>lietu</w:t>
                  </w:r>
                  <w:proofErr w:type="spellEnd"/>
                  <w:r w:rsidRPr="00FD1330">
                    <w:rPr>
                      <w:rFonts w:ascii="Times New Roman" w:eastAsia="Times New Roman" w:hAnsi="Times New Roman" w:cs="Times New Roman"/>
                      <w:sz w:val="20"/>
                      <w:szCs w:val="20"/>
                      <w:lang w:val="en-US" w:eastAsia="lv-LV"/>
                    </w:rPr>
                    <w:t xml:space="preserve"> </w:t>
                  </w:r>
                  <w:proofErr w:type="spellStart"/>
                  <w:r w:rsidRPr="00FD1330">
                    <w:rPr>
                      <w:rFonts w:ascii="Times New Roman" w:eastAsia="Times New Roman" w:hAnsi="Times New Roman" w:cs="Times New Roman"/>
                      <w:sz w:val="20"/>
                      <w:szCs w:val="20"/>
                      <w:lang w:val="en-US" w:eastAsia="lv-LV"/>
                    </w:rPr>
                    <w:t>administrēšana</w:t>
                  </w:r>
                  <w:proofErr w:type="spellEnd"/>
                </w:p>
              </w:tc>
              <w:tc>
                <w:tcPr>
                  <w:tcW w:w="951" w:type="dxa"/>
                </w:tcPr>
                <w:p w14:paraId="68AC5A25"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4A1509F6" w14:textId="77777777" w:rsidTr="006D18FE">
              <w:tc>
                <w:tcPr>
                  <w:tcW w:w="4209" w:type="dxa"/>
                  <w:vAlign w:val="center"/>
                </w:tcPr>
                <w:p w14:paraId="40F8E646" w14:textId="77777777" w:rsidR="001F1D3F" w:rsidRPr="00FD1330" w:rsidRDefault="001F1D3F" w:rsidP="001F1D3F">
                  <w:pPr>
                    <w:rPr>
                      <w:rFonts w:ascii="Times New Roman" w:hAnsi="Times New Roman" w:cs="Times New Roman"/>
                      <w:sz w:val="20"/>
                      <w:szCs w:val="20"/>
                    </w:rPr>
                  </w:pPr>
                  <w:proofErr w:type="spellStart"/>
                  <w:r w:rsidRPr="00FD1330">
                    <w:rPr>
                      <w:rFonts w:ascii="Times New Roman" w:eastAsia="Times New Roman" w:hAnsi="Times New Roman" w:cs="Times New Roman"/>
                      <w:sz w:val="20"/>
                      <w:szCs w:val="20"/>
                      <w:lang w:val="en-US" w:eastAsia="lv-LV"/>
                    </w:rPr>
                    <w:t>Cilvēkresursu</w:t>
                  </w:r>
                  <w:proofErr w:type="spellEnd"/>
                  <w:r w:rsidRPr="00FD1330">
                    <w:rPr>
                      <w:rFonts w:ascii="Times New Roman" w:eastAsia="Times New Roman" w:hAnsi="Times New Roman" w:cs="Times New Roman"/>
                      <w:sz w:val="20"/>
                      <w:szCs w:val="20"/>
                      <w:lang w:val="en-US" w:eastAsia="lv-LV"/>
                    </w:rPr>
                    <w:t xml:space="preserve"> </w:t>
                  </w:r>
                  <w:proofErr w:type="spellStart"/>
                  <w:r w:rsidRPr="00FD1330">
                    <w:rPr>
                      <w:rFonts w:ascii="Times New Roman" w:eastAsia="Times New Roman" w:hAnsi="Times New Roman" w:cs="Times New Roman"/>
                      <w:sz w:val="20"/>
                      <w:szCs w:val="20"/>
                      <w:lang w:val="en-US" w:eastAsia="lv-LV"/>
                    </w:rPr>
                    <w:t>pārvaldība</w:t>
                  </w:r>
                  <w:proofErr w:type="spellEnd"/>
                  <w:r w:rsidRPr="00FD1330">
                    <w:rPr>
                      <w:rFonts w:ascii="Times New Roman" w:eastAsia="Times New Roman" w:hAnsi="Times New Roman" w:cs="Times New Roman"/>
                      <w:sz w:val="20"/>
                      <w:szCs w:val="20"/>
                      <w:lang w:val="en-US" w:eastAsia="lv-LV"/>
                    </w:rPr>
                    <w:t xml:space="preserve"> un personas </w:t>
                  </w:r>
                  <w:proofErr w:type="spellStart"/>
                  <w:r w:rsidRPr="00FD1330">
                    <w:rPr>
                      <w:rFonts w:ascii="Times New Roman" w:eastAsia="Times New Roman" w:hAnsi="Times New Roman" w:cs="Times New Roman"/>
                      <w:sz w:val="20"/>
                      <w:szCs w:val="20"/>
                      <w:lang w:val="en-US" w:eastAsia="lv-LV"/>
                    </w:rPr>
                    <w:t>datu</w:t>
                  </w:r>
                  <w:proofErr w:type="spellEnd"/>
                  <w:r w:rsidRPr="00FD1330">
                    <w:rPr>
                      <w:rFonts w:ascii="Times New Roman" w:eastAsia="Times New Roman" w:hAnsi="Times New Roman" w:cs="Times New Roman"/>
                      <w:sz w:val="20"/>
                      <w:szCs w:val="20"/>
                      <w:lang w:val="en-US" w:eastAsia="lv-LV"/>
                    </w:rPr>
                    <w:t xml:space="preserve"> </w:t>
                  </w:r>
                  <w:proofErr w:type="spellStart"/>
                  <w:r w:rsidRPr="00FD1330">
                    <w:rPr>
                      <w:rFonts w:ascii="Times New Roman" w:eastAsia="Times New Roman" w:hAnsi="Times New Roman" w:cs="Times New Roman"/>
                      <w:sz w:val="20"/>
                      <w:szCs w:val="20"/>
                      <w:lang w:val="en-US" w:eastAsia="lv-LV"/>
                    </w:rPr>
                    <w:t>aizsardzība</w:t>
                  </w:r>
                  <w:proofErr w:type="spellEnd"/>
                </w:p>
              </w:tc>
              <w:tc>
                <w:tcPr>
                  <w:tcW w:w="951" w:type="dxa"/>
                </w:tcPr>
                <w:p w14:paraId="27A6EE69"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119AE20D" w14:textId="77777777" w:rsidTr="006D18FE">
              <w:tc>
                <w:tcPr>
                  <w:tcW w:w="4209" w:type="dxa"/>
                  <w:vAlign w:val="center"/>
                </w:tcPr>
                <w:p w14:paraId="242BF7B6" w14:textId="77777777" w:rsidR="001F1D3F" w:rsidRPr="00FD1330" w:rsidRDefault="001F1D3F" w:rsidP="001F1D3F">
                  <w:pPr>
                    <w:rPr>
                      <w:rFonts w:ascii="Times New Roman" w:hAnsi="Times New Roman" w:cs="Times New Roman"/>
                      <w:sz w:val="20"/>
                      <w:szCs w:val="20"/>
                    </w:rPr>
                  </w:pPr>
                  <w:r w:rsidRPr="00FD1330">
                    <w:rPr>
                      <w:rFonts w:ascii="Times New Roman" w:eastAsia="Times New Roman" w:hAnsi="Times New Roman" w:cs="Times New Roman"/>
                      <w:sz w:val="20"/>
                      <w:szCs w:val="20"/>
                      <w:lang w:eastAsia="lv-LV"/>
                    </w:rPr>
                    <w:t>Starptautiskā drošība</w:t>
                  </w:r>
                </w:p>
              </w:tc>
              <w:tc>
                <w:tcPr>
                  <w:tcW w:w="951" w:type="dxa"/>
                </w:tcPr>
                <w:p w14:paraId="45CAD6AF"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FD1330" w:rsidRPr="00486432" w14:paraId="2006788D" w14:textId="77777777" w:rsidTr="006D18FE">
              <w:tc>
                <w:tcPr>
                  <w:tcW w:w="4209" w:type="dxa"/>
                </w:tcPr>
                <w:p w14:paraId="0E0A2A40" w14:textId="2F1FDEFF" w:rsidR="00FD1330" w:rsidRPr="00FD1330" w:rsidRDefault="00FD1330" w:rsidP="00FD1330">
                  <w:pPr>
                    <w:rPr>
                      <w:rFonts w:ascii="Times New Roman" w:hAnsi="Times New Roman" w:cs="Times New Roman"/>
                      <w:sz w:val="20"/>
                      <w:szCs w:val="20"/>
                    </w:rPr>
                  </w:pPr>
                  <w:r w:rsidRPr="00FD1330">
                    <w:rPr>
                      <w:rFonts w:ascii="Times New Roman" w:hAnsi="Times New Roman" w:cs="Times New Roman"/>
                      <w:sz w:val="20"/>
                      <w:szCs w:val="20"/>
                    </w:rPr>
                    <w:t>Ekonomiskās drošības menedžments</w:t>
                  </w:r>
                </w:p>
              </w:tc>
              <w:tc>
                <w:tcPr>
                  <w:tcW w:w="951" w:type="dxa"/>
                </w:tcPr>
                <w:p w14:paraId="370398B7" w14:textId="74BAA7C0" w:rsidR="00FD1330" w:rsidRPr="00FD1330" w:rsidRDefault="00FD1330" w:rsidP="00FD1330">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1059AFC3" w14:textId="77777777" w:rsidTr="006D18FE">
              <w:tc>
                <w:tcPr>
                  <w:tcW w:w="4209" w:type="dxa"/>
                </w:tcPr>
                <w:p w14:paraId="7DDEC477" w14:textId="77777777" w:rsidR="001F1D3F" w:rsidRPr="00FD1330" w:rsidRDefault="001F1D3F" w:rsidP="001F1D3F">
                  <w:pPr>
                    <w:rPr>
                      <w:rFonts w:ascii="Times New Roman" w:hAnsi="Times New Roman" w:cs="Times New Roman"/>
                      <w:sz w:val="20"/>
                      <w:szCs w:val="20"/>
                    </w:rPr>
                  </w:pPr>
                  <w:r w:rsidRPr="00FD1330">
                    <w:rPr>
                      <w:rFonts w:ascii="Times New Roman" w:hAnsi="Times New Roman" w:cs="Times New Roman"/>
                      <w:sz w:val="20"/>
                      <w:szCs w:val="20"/>
                    </w:rPr>
                    <w:t>Nacionālā drošība</w:t>
                  </w:r>
                </w:p>
              </w:tc>
              <w:tc>
                <w:tcPr>
                  <w:tcW w:w="951" w:type="dxa"/>
                </w:tcPr>
                <w:p w14:paraId="66240ED3"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7F679D17" w14:textId="77777777" w:rsidTr="006D18FE">
              <w:tc>
                <w:tcPr>
                  <w:tcW w:w="4209" w:type="dxa"/>
                </w:tcPr>
                <w:p w14:paraId="5B09D116" w14:textId="77777777" w:rsidR="001F1D3F" w:rsidRPr="00FD1330" w:rsidRDefault="001F1D3F" w:rsidP="001F1D3F">
                  <w:pPr>
                    <w:rPr>
                      <w:rFonts w:ascii="Times New Roman" w:hAnsi="Times New Roman" w:cs="Times New Roman"/>
                      <w:sz w:val="20"/>
                      <w:szCs w:val="20"/>
                    </w:rPr>
                  </w:pPr>
                  <w:r w:rsidRPr="00FD1330">
                    <w:rPr>
                      <w:rFonts w:ascii="Times New Roman" w:hAnsi="Times New Roman" w:cs="Times New Roman"/>
                      <w:sz w:val="20"/>
                      <w:szCs w:val="20"/>
                    </w:rPr>
                    <w:t>Stratēģiskā resursu pārvaldība</w:t>
                  </w:r>
                </w:p>
              </w:tc>
              <w:tc>
                <w:tcPr>
                  <w:tcW w:w="951" w:type="dxa"/>
                </w:tcPr>
                <w:p w14:paraId="22A7189A"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5ED4E8BF" w14:textId="77777777" w:rsidTr="006D18FE">
              <w:tc>
                <w:tcPr>
                  <w:tcW w:w="4209" w:type="dxa"/>
                </w:tcPr>
                <w:p w14:paraId="450270B1" w14:textId="77777777" w:rsidR="001F1D3F" w:rsidRPr="00FD1330" w:rsidRDefault="001F1D3F" w:rsidP="001F1D3F">
                  <w:pPr>
                    <w:rPr>
                      <w:rFonts w:ascii="Times New Roman" w:hAnsi="Times New Roman" w:cs="Times New Roman"/>
                      <w:sz w:val="20"/>
                      <w:szCs w:val="20"/>
                    </w:rPr>
                  </w:pPr>
                  <w:r w:rsidRPr="00FD1330">
                    <w:rPr>
                      <w:rFonts w:ascii="Times New Roman" w:hAnsi="Times New Roman" w:cs="Times New Roman"/>
                      <w:sz w:val="20"/>
                      <w:szCs w:val="20"/>
                    </w:rPr>
                    <w:t xml:space="preserve">Noziedzīgi iegūtu līdzekļu legalizācijas, terorisma un </w:t>
                  </w:r>
                  <w:proofErr w:type="spellStart"/>
                  <w:r w:rsidRPr="00FD1330">
                    <w:rPr>
                      <w:rFonts w:ascii="Times New Roman" w:hAnsi="Times New Roman" w:cs="Times New Roman"/>
                      <w:sz w:val="20"/>
                      <w:szCs w:val="20"/>
                    </w:rPr>
                    <w:t>proliferācijas</w:t>
                  </w:r>
                  <w:proofErr w:type="spellEnd"/>
                  <w:r w:rsidRPr="00FD1330">
                    <w:rPr>
                      <w:rFonts w:ascii="Times New Roman" w:hAnsi="Times New Roman" w:cs="Times New Roman"/>
                      <w:sz w:val="20"/>
                      <w:szCs w:val="20"/>
                    </w:rPr>
                    <w:t xml:space="preserve"> finansēšanas novēršanas analīze un vadība</w:t>
                  </w:r>
                </w:p>
              </w:tc>
              <w:tc>
                <w:tcPr>
                  <w:tcW w:w="951" w:type="dxa"/>
                </w:tcPr>
                <w:p w14:paraId="09AA2187" w14:textId="77777777" w:rsidR="001F1D3F" w:rsidRPr="00FD1330" w:rsidRDefault="001F1D3F" w:rsidP="001F1D3F">
                  <w:pPr>
                    <w:ind w:hanging="59"/>
                    <w:jc w:val="center"/>
                    <w:rPr>
                      <w:rFonts w:ascii="Times New Roman" w:hAnsi="Times New Roman" w:cs="Times New Roman"/>
                      <w:sz w:val="20"/>
                      <w:szCs w:val="20"/>
                    </w:rPr>
                  </w:pPr>
                  <w:r w:rsidRPr="00FD1330">
                    <w:rPr>
                      <w:rFonts w:ascii="Times New Roman" w:hAnsi="Times New Roman" w:cs="Times New Roman"/>
                      <w:sz w:val="20"/>
                      <w:szCs w:val="20"/>
                    </w:rPr>
                    <w:t>3</w:t>
                  </w:r>
                </w:p>
              </w:tc>
            </w:tr>
            <w:tr w:rsidR="001F1D3F" w:rsidRPr="00486432" w14:paraId="68ED25B1" w14:textId="77777777" w:rsidTr="006D18FE">
              <w:tc>
                <w:tcPr>
                  <w:tcW w:w="4209" w:type="dxa"/>
                </w:tcPr>
                <w:p w14:paraId="28F1C3C6" w14:textId="77777777" w:rsidR="001F1D3F" w:rsidRPr="00486432" w:rsidRDefault="001F1D3F" w:rsidP="001F1D3F">
                  <w:pPr>
                    <w:rPr>
                      <w:rFonts w:ascii="Times New Roman" w:hAnsi="Times New Roman" w:cs="Times New Roman"/>
                      <w:sz w:val="20"/>
                      <w:szCs w:val="20"/>
                    </w:rPr>
                  </w:pPr>
                  <w:r w:rsidRPr="00486432">
                    <w:rPr>
                      <w:rFonts w:ascii="Times New Roman" w:hAnsi="Times New Roman" w:cs="Times New Roman"/>
                      <w:sz w:val="20"/>
                      <w:szCs w:val="20"/>
                    </w:rPr>
                    <w:t>Prakse</w:t>
                  </w:r>
                </w:p>
              </w:tc>
              <w:tc>
                <w:tcPr>
                  <w:tcW w:w="951" w:type="dxa"/>
                </w:tcPr>
                <w:p w14:paraId="5DF05B58" w14:textId="77777777" w:rsidR="001F1D3F" w:rsidRPr="00486432" w:rsidRDefault="001F1D3F" w:rsidP="001F1D3F">
                  <w:pPr>
                    <w:ind w:hanging="59"/>
                    <w:jc w:val="center"/>
                    <w:rPr>
                      <w:rFonts w:ascii="Times New Roman" w:hAnsi="Times New Roman" w:cs="Times New Roman"/>
                      <w:sz w:val="20"/>
                      <w:szCs w:val="20"/>
                    </w:rPr>
                  </w:pPr>
                  <w:r w:rsidRPr="00486432">
                    <w:rPr>
                      <w:rFonts w:ascii="Times New Roman" w:hAnsi="Times New Roman" w:cs="Times New Roman"/>
                      <w:sz w:val="20"/>
                      <w:szCs w:val="20"/>
                    </w:rPr>
                    <w:t>9</w:t>
                  </w:r>
                </w:p>
              </w:tc>
            </w:tr>
            <w:tr w:rsidR="001F1D3F" w:rsidRPr="00486432" w14:paraId="7C135297" w14:textId="77777777" w:rsidTr="006D18FE">
              <w:tc>
                <w:tcPr>
                  <w:tcW w:w="4209" w:type="dxa"/>
                </w:tcPr>
                <w:p w14:paraId="6CCBF8A0" w14:textId="77777777" w:rsidR="001F1D3F" w:rsidRPr="00486432" w:rsidRDefault="001F1D3F" w:rsidP="001F1D3F">
                  <w:pPr>
                    <w:rPr>
                      <w:rFonts w:ascii="Times New Roman" w:hAnsi="Times New Roman" w:cs="Times New Roman"/>
                      <w:sz w:val="20"/>
                      <w:szCs w:val="20"/>
                    </w:rPr>
                  </w:pPr>
                  <w:r w:rsidRPr="00486432">
                    <w:rPr>
                      <w:rFonts w:ascii="Times New Roman" w:hAnsi="Times New Roman" w:cs="Times New Roman"/>
                      <w:sz w:val="20"/>
                      <w:szCs w:val="20"/>
                    </w:rPr>
                    <w:lastRenderedPageBreak/>
                    <w:t>Atvērto avotu un datu analīze</w:t>
                  </w:r>
                </w:p>
              </w:tc>
              <w:tc>
                <w:tcPr>
                  <w:tcW w:w="951" w:type="dxa"/>
                </w:tcPr>
                <w:p w14:paraId="680DFF98" w14:textId="77777777" w:rsidR="001F1D3F" w:rsidRPr="00486432" w:rsidRDefault="001F1D3F" w:rsidP="001F1D3F">
                  <w:pPr>
                    <w:ind w:hanging="59"/>
                    <w:jc w:val="center"/>
                    <w:rPr>
                      <w:rFonts w:ascii="Times New Roman" w:hAnsi="Times New Roman" w:cs="Times New Roman"/>
                      <w:sz w:val="20"/>
                      <w:szCs w:val="20"/>
                    </w:rPr>
                  </w:pPr>
                  <w:r w:rsidRPr="00486432">
                    <w:rPr>
                      <w:rFonts w:ascii="Times New Roman" w:hAnsi="Times New Roman" w:cs="Times New Roman"/>
                      <w:sz w:val="20"/>
                      <w:szCs w:val="20"/>
                    </w:rPr>
                    <w:t>3</w:t>
                  </w:r>
                </w:p>
              </w:tc>
            </w:tr>
            <w:tr w:rsidR="001F1D3F" w:rsidRPr="00486432" w14:paraId="39682F8F" w14:textId="77777777" w:rsidTr="006D18FE">
              <w:tc>
                <w:tcPr>
                  <w:tcW w:w="4209" w:type="dxa"/>
                </w:tcPr>
                <w:p w14:paraId="653FB724" w14:textId="77777777" w:rsidR="001F1D3F" w:rsidRPr="00486432" w:rsidRDefault="001F1D3F" w:rsidP="001F1D3F">
                  <w:pPr>
                    <w:rPr>
                      <w:rFonts w:ascii="Times New Roman" w:hAnsi="Times New Roman" w:cs="Times New Roman"/>
                      <w:sz w:val="20"/>
                      <w:szCs w:val="20"/>
                    </w:rPr>
                  </w:pPr>
                  <w:r w:rsidRPr="00486432">
                    <w:rPr>
                      <w:rFonts w:ascii="Times New Roman" w:hAnsi="Times New Roman" w:cs="Times New Roman"/>
                      <w:sz w:val="20"/>
                      <w:szCs w:val="20"/>
                    </w:rPr>
                    <w:t xml:space="preserve">Starptautiskā biznesa ekonomika </w:t>
                  </w:r>
                </w:p>
              </w:tc>
              <w:tc>
                <w:tcPr>
                  <w:tcW w:w="951" w:type="dxa"/>
                </w:tcPr>
                <w:p w14:paraId="5861C24F" w14:textId="77777777" w:rsidR="001F1D3F" w:rsidRPr="00486432" w:rsidRDefault="001F1D3F" w:rsidP="001F1D3F">
                  <w:pPr>
                    <w:ind w:hanging="59"/>
                    <w:jc w:val="center"/>
                    <w:rPr>
                      <w:rFonts w:ascii="Times New Roman" w:hAnsi="Times New Roman" w:cs="Times New Roman"/>
                      <w:sz w:val="20"/>
                      <w:szCs w:val="20"/>
                    </w:rPr>
                  </w:pPr>
                  <w:r w:rsidRPr="00486432">
                    <w:rPr>
                      <w:rFonts w:ascii="Times New Roman" w:hAnsi="Times New Roman" w:cs="Times New Roman"/>
                      <w:sz w:val="20"/>
                      <w:szCs w:val="20"/>
                    </w:rPr>
                    <w:t>3</w:t>
                  </w:r>
                </w:p>
              </w:tc>
            </w:tr>
          </w:tbl>
          <w:p w14:paraId="487C1991" w14:textId="31447BE5" w:rsidR="001F1D3F" w:rsidRPr="00E32B3B" w:rsidRDefault="001F1D3F" w:rsidP="3F1BAA57">
            <w:pPr>
              <w:rPr>
                <w:rFonts w:ascii="Times New Roman" w:hAnsi="Times New Roman" w:cs="Times New Roman"/>
                <w:sz w:val="24"/>
              </w:rPr>
            </w:pPr>
          </w:p>
        </w:tc>
      </w:tr>
      <w:tr w:rsidR="00DA10E3" w:rsidRPr="00561205" w14:paraId="232FD772"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471FC38A" w14:textId="77777777" w:rsidR="00DA10E3" w:rsidRPr="00561205" w:rsidRDefault="00DA10E3" w:rsidP="00DA10E3">
            <w:pPr>
              <w:rPr>
                <w:rFonts w:ascii="Times New Roman" w:hAnsi="Times New Roman" w:cs="Times New Roman"/>
                <w:sz w:val="24"/>
                <w:szCs w:val="24"/>
              </w:rPr>
            </w:pPr>
            <w:r w:rsidRPr="00561205">
              <w:rPr>
                <w:rFonts w:ascii="Times New Roman" w:hAnsi="Times New Roman" w:cs="Times New Roman"/>
                <w:sz w:val="24"/>
                <w:szCs w:val="24"/>
              </w:rPr>
              <w:t>Atbilstība Vides aizsardzības likuma un Civilās aizsardzības un katastrofas pārvaldīšanas likuma noteiktajām prasībām</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289D61AC" w14:textId="017E1094" w:rsidR="00DA10E3" w:rsidRPr="00561205" w:rsidRDefault="00DA10E3" w:rsidP="00DA10E3">
            <w:pPr>
              <w:pStyle w:val="tv213"/>
              <w:shd w:val="clear" w:color="auto" w:fill="FFFFFF" w:themeFill="background1"/>
              <w:spacing w:before="0" w:beforeAutospacing="0" w:after="0" w:afterAutospacing="0"/>
              <w:rPr>
                <w:highlight w:val="yellow"/>
              </w:rPr>
            </w:pPr>
            <w:r>
              <w:t>Ja studējošais Vides aizsardzības likumā un Civilās aizsardzības un katastrofas pārvaldīšanas likumā noteiktās prasības nav apguvis zemāka cikla studiju programmā, viņš tās apgūst papildus maģistra studiju programmai.</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38B8C379" w14:textId="0367F8B4" w:rsidR="00DA10E3" w:rsidRPr="00561205" w:rsidRDefault="00DA10E3" w:rsidP="00DA10E3">
            <w:pPr>
              <w:pStyle w:val="tv213"/>
              <w:shd w:val="clear" w:color="auto" w:fill="FFFFFF" w:themeFill="background1"/>
              <w:spacing w:before="0" w:beforeAutospacing="0" w:after="0" w:afterAutospacing="0"/>
              <w:rPr>
                <w:shd w:val="clear" w:color="auto" w:fill="FFFF00"/>
              </w:rPr>
            </w:pPr>
            <w:r w:rsidRPr="00560C5C">
              <w:t>Ja studējošais Vides aizsardzības likumā un Civilās aizsardzības likumā noteiktās prasības nav apguvis zemāka līmeņa studiju programmā, profesionālās maģistra studiju programmas ietvaros ir paredzēts apgūt studiju kursu “</w:t>
            </w:r>
            <w:r w:rsidRPr="00560C5C">
              <w:rPr>
                <w:color w:val="000000"/>
              </w:rPr>
              <w:t>Civilā un vides aizsardzība</w:t>
            </w:r>
            <w:r w:rsidRPr="00560C5C">
              <w:t>” (2</w:t>
            </w:r>
            <w:r>
              <w:t> </w:t>
            </w:r>
            <w:r w:rsidRPr="00560C5C">
              <w:t>KP</w:t>
            </w:r>
            <w:r>
              <w:t xml:space="preserve"> / 3 ECTS</w:t>
            </w:r>
            <w:r w:rsidRPr="00560C5C">
              <w:t>).</w:t>
            </w:r>
          </w:p>
        </w:tc>
      </w:tr>
      <w:tr w:rsidR="00DA10E3" w:rsidRPr="00561205" w14:paraId="12A683FF"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7D68E5C2" w14:textId="77777777" w:rsidR="00DA10E3" w:rsidRPr="00561205" w:rsidRDefault="00DA10E3" w:rsidP="00DA10E3">
            <w:pPr>
              <w:rPr>
                <w:rFonts w:ascii="Times New Roman" w:hAnsi="Times New Roman" w:cs="Times New Roman"/>
                <w:sz w:val="24"/>
                <w:szCs w:val="24"/>
              </w:rPr>
            </w:pPr>
            <w:r w:rsidRPr="00561205">
              <w:rPr>
                <w:rFonts w:ascii="Times New Roman" w:hAnsi="Times New Roman" w:cs="Times New Roman"/>
                <w:sz w:val="24"/>
                <w:szCs w:val="24"/>
              </w:rPr>
              <w:t>Piešķiramais grāds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3C435044" w14:textId="4CEE1547" w:rsidR="00DA10E3" w:rsidRPr="00561205" w:rsidRDefault="00DA10E3" w:rsidP="00DA10E3">
            <w:pPr>
              <w:rPr>
                <w:rFonts w:ascii="Times New Roman" w:hAnsi="Times New Roman" w:cs="Times New Roman"/>
                <w:sz w:val="24"/>
                <w:szCs w:val="24"/>
              </w:rPr>
            </w:pPr>
            <w:r w:rsidRPr="37051B10">
              <w:rPr>
                <w:rFonts w:ascii="Times New Roman" w:hAnsi="Times New Roman" w:cs="Times New Roman"/>
                <w:sz w:val="24"/>
                <w:szCs w:val="24"/>
              </w:rPr>
              <w:t>Pēc maģistra studiju programmas apguves studējošajam piešķir maģistra grādu, kas atbilst attiecīgajā studiju jomā sasniegtajiem studiju rezultātiem. Latvijas izglītības klasifikācijai atbilstošās studiju programmas nosaukums, saturs un iegūstamā grāda nosaukums ir savstarpēji saistīti un izriet no studiju programmā sasniedzamajiem studiju rezultātiem.</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7D6B263A" w14:textId="7D1DE11C" w:rsidR="00DA10E3" w:rsidRPr="00561205" w:rsidRDefault="00DA10E3" w:rsidP="00DA10E3">
            <w:pPr>
              <w:rPr>
                <w:rFonts w:ascii="Times New Roman" w:hAnsi="Times New Roman" w:cs="Times New Roman"/>
                <w:sz w:val="24"/>
                <w:szCs w:val="24"/>
                <w:shd w:val="clear" w:color="auto" w:fill="FFFF00"/>
              </w:rPr>
            </w:pPr>
            <w:r w:rsidRPr="00560C5C">
              <w:rPr>
                <w:rFonts w:ascii="Times New Roman" w:hAnsi="Times New Roman" w:cs="Times New Roman"/>
                <w:iCs/>
                <w:sz w:val="24"/>
                <w:szCs w:val="24"/>
              </w:rPr>
              <w:t xml:space="preserve">Kopīgi īstenotās programmas absolventiem tiek piešķirts </w:t>
            </w:r>
            <w:r>
              <w:rPr>
                <w:rFonts w:ascii="Times New Roman" w:hAnsi="Times New Roman" w:cs="Times New Roman"/>
                <w:iCs/>
                <w:sz w:val="24"/>
                <w:szCs w:val="24"/>
              </w:rPr>
              <w:t>sociālo zinātņu maģistra grāds ekonomiskajā drošībā</w:t>
            </w:r>
            <w:r w:rsidRPr="00560C5C">
              <w:rPr>
                <w:rFonts w:ascii="Times New Roman" w:hAnsi="Times New Roman" w:cs="Times New Roman"/>
                <w:iCs/>
                <w:sz w:val="24"/>
                <w:szCs w:val="24"/>
              </w:rPr>
              <w:t>.</w:t>
            </w:r>
          </w:p>
        </w:tc>
      </w:tr>
      <w:tr w:rsidR="00DA10E3" w:rsidRPr="00561205" w14:paraId="1B650180"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19228A1B" w14:textId="77777777" w:rsidR="00DA10E3" w:rsidRPr="00561205" w:rsidRDefault="00DA10E3" w:rsidP="00DA10E3">
            <w:pPr>
              <w:rPr>
                <w:rFonts w:ascii="Times New Roman" w:hAnsi="Times New Roman" w:cs="Times New Roman"/>
                <w:sz w:val="24"/>
                <w:szCs w:val="24"/>
              </w:rPr>
            </w:pPr>
            <w:r w:rsidRPr="00561205">
              <w:rPr>
                <w:rFonts w:ascii="Times New Roman" w:hAnsi="Times New Roman" w:cs="Times New Roman"/>
                <w:sz w:val="24"/>
                <w:szCs w:val="24"/>
              </w:rPr>
              <w:t>Studiju turpināšanas iespējas</w:t>
            </w:r>
          </w:p>
        </w:tc>
        <w:tc>
          <w:tcPr>
            <w:tcW w:w="5386" w:type="dxa"/>
            <w:tcBorders>
              <w:top w:val="single" w:sz="4" w:space="0" w:color="auto"/>
              <w:left w:val="single" w:sz="4" w:space="0" w:color="auto"/>
              <w:bottom w:val="single" w:sz="4" w:space="0" w:color="auto"/>
              <w:right w:val="single" w:sz="4" w:space="0" w:color="auto"/>
            </w:tcBorders>
            <w:shd w:val="clear" w:color="auto" w:fill="auto"/>
            <w:noWrap/>
            <w:tcMar>
              <w:top w:w="28" w:type="dxa"/>
              <w:left w:w="85" w:type="dxa"/>
              <w:bottom w:w="57" w:type="dxa"/>
              <w:right w:w="85" w:type="dxa"/>
            </w:tcMar>
          </w:tcPr>
          <w:p w14:paraId="5D18F7B0" w14:textId="322FFEAF" w:rsidR="00DA10E3" w:rsidRPr="00561205" w:rsidRDefault="00DA10E3" w:rsidP="00DA10E3">
            <w:pPr>
              <w:rPr>
                <w:rFonts w:ascii="Times New Roman" w:hAnsi="Times New Roman" w:cs="Times New Roman"/>
                <w:sz w:val="24"/>
                <w:szCs w:val="24"/>
              </w:rPr>
            </w:pPr>
            <w:r w:rsidRPr="37051B10">
              <w:rPr>
                <w:rFonts w:ascii="Times New Roman" w:hAnsi="Times New Roman" w:cs="Times New Roman"/>
                <w:sz w:val="24"/>
                <w:szCs w:val="24"/>
              </w:rPr>
              <w:t>Iegūtais maģistra grāds, par ko tiek izsniegts maģistra diploms, dod tiesības turpināt izglītību trešā cikla augstākās izglītības studiju programmā, izpildot uzņemšanas prasības attiecīgajā studiju programmā.</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21E2F886" w14:textId="1DF78E08" w:rsidR="00DA10E3" w:rsidRPr="00F36C46" w:rsidRDefault="00DA10E3" w:rsidP="00DA10E3">
            <w:pPr>
              <w:rPr>
                <w:rFonts w:ascii="Times New Roman" w:hAnsi="Times New Roman" w:cs="Times New Roman"/>
                <w:sz w:val="24"/>
                <w:szCs w:val="24"/>
              </w:rPr>
            </w:pPr>
            <w:r w:rsidRPr="37051B10">
              <w:rPr>
                <w:rFonts w:ascii="Times New Roman" w:hAnsi="Times New Roman" w:cs="Times New Roman"/>
                <w:sz w:val="24"/>
                <w:szCs w:val="24"/>
              </w:rPr>
              <w:t>Iegūtais maģistra grāds</w:t>
            </w:r>
            <w:r>
              <w:rPr>
                <w:rFonts w:ascii="Times New Roman" w:hAnsi="Times New Roman" w:cs="Times New Roman"/>
                <w:sz w:val="24"/>
                <w:szCs w:val="24"/>
              </w:rPr>
              <w:t xml:space="preserve"> </w:t>
            </w:r>
            <w:r w:rsidRPr="37051B10">
              <w:rPr>
                <w:rFonts w:ascii="Times New Roman" w:hAnsi="Times New Roman" w:cs="Times New Roman"/>
                <w:sz w:val="24"/>
                <w:szCs w:val="24"/>
              </w:rPr>
              <w:t>dod tiesības turpināt izglītību trešā cikla augstākās izglītības studiju programmā, izpildot uzņemšanas prasības attiecīgajā studiju programmā</w:t>
            </w:r>
            <w:r>
              <w:rPr>
                <w:rFonts w:ascii="Times New Roman" w:hAnsi="Times New Roman" w:cs="Times New Roman"/>
                <w:sz w:val="24"/>
                <w:szCs w:val="24"/>
              </w:rPr>
              <w:t>.</w:t>
            </w:r>
          </w:p>
        </w:tc>
      </w:tr>
      <w:tr w:rsidR="00DA10E3" w:rsidRPr="00561205" w14:paraId="25DA1BB2" w14:textId="77777777" w:rsidTr="3F1BAA57">
        <w:trPr>
          <w:jc w:val="center"/>
        </w:trPr>
        <w:tc>
          <w:tcPr>
            <w:tcW w:w="31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8" w:type="dxa"/>
              <w:left w:w="85" w:type="dxa"/>
              <w:bottom w:w="57" w:type="dxa"/>
              <w:right w:w="85" w:type="dxa"/>
            </w:tcMar>
          </w:tcPr>
          <w:p w14:paraId="0CF756A8" w14:textId="77777777" w:rsidR="00DA10E3" w:rsidRPr="00561205" w:rsidRDefault="00DA10E3" w:rsidP="00DA10E3">
            <w:pPr>
              <w:rPr>
                <w:rFonts w:ascii="Times New Roman" w:hAnsi="Times New Roman" w:cs="Times New Roman"/>
                <w:sz w:val="24"/>
                <w:szCs w:val="24"/>
              </w:rPr>
            </w:pPr>
            <w:r w:rsidRPr="00561205">
              <w:rPr>
                <w:rFonts w:ascii="Times New Roman" w:hAnsi="Times New Roman" w:cs="Times New Roman"/>
                <w:sz w:val="24"/>
                <w:szCs w:val="24"/>
              </w:rPr>
              <w:t>Studiju programmas apguves vērtēšanas pamatprincipi un kārtība</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5C4AF768" w14:textId="5A3F6B00" w:rsidR="00DA10E3" w:rsidRPr="00561205" w:rsidRDefault="00DA10E3" w:rsidP="00DA10E3">
            <w:pPr>
              <w:pStyle w:val="tv213"/>
              <w:shd w:val="clear" w:color="auto" w:fill="FFFFFF" w:themeFill="background1"/>
              <w:spacing w:before="0" w:beforeAutospacing="0" w:after="0" w:afterAutospacing="0"/>
            </w:pPr>
            <w:r>
              <w:t>Vērtējot iegūto akadēmisko izglītību, ievēro šādus vērtēšanas pamatprincipus:</w:t>
            </w:r>
          </w:p>
          <w:p w14:paraId="1B7DFD61" w14:textId="165A331A" w:rsidR="00DA10E3" w:rsidRPr="00561205" w:rsidRDefault="00DA10E3" w:rsidP="00DA10E3">
            <w:pPr>
              <w:pStyle w:val="tv213"/>
              <w:spacing w:before="0" w:beforeAutospacing="0" w:after="0" w:afterAutospacing="0"/>
            </w:pPr>
            <w:r>
              <w:t>1. vērtēšanas atklātības princips – atbilstoši izvirzītajiem studiju programmu mērķiem un uzdevumiem, kā arī studiju kursu mērķiem un uzdevumiem augstskola ir noteikusi prasību kopumu studiju rezultātu vērtēšanai;</w:t>
            </w:r>
          </w:p>
          <w:p w14:paraId="005993C2" w14:textId="1AF82028" w:rsidR="00DA10E3" w:rsidRPr="00561205" w:rsidRDefault="00DA10E3" w:rsidP="00DA10E3">
            <w:pPr>
              <w:pStyle w:val="tv213"/>
              <w:spacing w:before="0" w:beforeAutospacing="0" w:after="0" w:afterAutospacing="0"/>
            </w:pPr>
            <w:r>
              <w:t>2. vērtējuma obligātuma princips – nepieciešams iegūt sekmīgu vērtējumu par visa studiju programmas satura apguvi;</w:t>
            </w:r>
          </w:p>
          <w:p w14:paraId="05ECF23E" w14:textId="64157854" w:rsidR="00DA10E3" w:rsidRPr="00561205" w:rsidRDefault="00DA10E3" w:rsidP="00DA10E3">
            <w:pPr>
              <w:pStyle w:val="tv213"/>
              <w:spacing w:before="0" w:beforeAutospacing="0" w:after="0" w:afterAutospacing="0"/>
            </w:pPr>
            <w:r>
              <w:t>3. vērtējuma pārskatīšanas iespēju princips – augstskola nosaka iegūtā vērtējuma pārskatīšanas kārtību;</w:t>
            </w:r>
          </w:p>
          <w:p w14:paraId="2F4A4D51" w14:textId="2EE34D8F" w:rsidR="00DA10E3" w:rsidRPr="00561205" w:rsidRDefault="00DA10E3" w:rsidP="00DA10E3">
            <w:pPr>
              <w:pStyle w:val="tv213"/>
              <w:spacing w:before="0" w:beforeAutospacing="0" w:after="0" w:afterAutospacing="0"/>
            </w:pPr>
            <w:r>
              <w:lastRenderedPageBreak/>
              <w:t>4. vērtēšanā izmantoto pārbaudes veidu dažādības princips – studiju programmas apguves vērtēšanā izmanto dažādus pārbaudes veidus.</w:t>
            </w:r>
          </w:p>
          <w:p w14:paraId="51BBE43F" w14:textId="5EA18422" w:rsidR="00DA10E3" w:rsidRPr="00561205" w:rsidRDefault="00DA10E3" w:rsidP="00DA10E3">
            <w:pPr>
              <w:pStyle w:val="tv213"/>
              <w:spacing w:before="0" w:beforeAutospacing="0" w:after="0" w:afterAutospacing="0"/>
            </w:pPr>
            <w:r>
              <w:t xml:space="preserve">Studiju rezultātu sasniegšanas pakāpi vērtē 10 </w:t>
            </w:r>
            <w:proofErr w:type="spellStart"/>
            <w:r>
              <w:t>ballu</w:t>
            </w:r>
            <w:proofErr w:type="spellEnd"/>
            <w:r>
              <w:t xml:space="preserve"> skalā vai ar vērtējumu "ieskaitīts/neieskaitīts". Studiju rezultātu sasniegšanas pakāpi studiju programmas obligātās daļas studiju kursa gala pārbaudījuma ietvaros ar vērtējumu "ieskaitīts/neieskaitīts" var vērtēt, ja studiju kursa apjoms nepārsniedz trīs kredītpunktus. Ar vērtējumu "ieskaitīts/neieskaitīts" var vērtēt arī studiju rezultātu sasniegšanas pakāpi studiju kursā noteikto pārbaudījumu ietvaros, kuri nav studiju kursa gala pārbaudījumi.</w:t>
            </w:r>
          </w:p>
          <w:p w14:paraId="26E75F86" w14:textId="7A987F7D" w:rsidR="00DA10E3" w:rsidRPr="00561205" w:rsidRDefault="00DA10E3" w:rsidP="00DA10E3">
            <w:pPr>
              <w:pStyle w:val="tv213"/>
              <w:spacing w:before="0" w:beforeAutospacing="0" w:after="0" w:afterAutospacing="0"/>
            </w:pPr>
            <w:r>
              <w:t>Ar vērtējumiem "ieskaitīts" vai "neieskaitīts" novērtē atkarībā no tā, vai pārbaudījumā uzrādītās studējošā zināšanas, prasmes un kompetence atbilst augstskolas noteiktajam zināšanu, prasmju un kompetences līmenim attiecīgajā pārbaudījumā.</w:t>
            </w:r>
          </w:p>
          <w:p w14:paraId="65C9C5AF" w14:textId="6E7DB6C7" w:rsidR="00DA10E3" w:rsidRPr="00561205" w:rsidRDefault="00DA10E3" w:rsidP="00DA10E3">
            <w:pPr>
              <w:pStyle w:val="tv213"/>
              <w:spacing w:before="0" w:beforeAutospacing="0" w:after="0" w:afterAutospacing="0"/>
            </w:pPr>
            <w:r>
              <w:t>Par sekmīgiem uzskata vērtējumus no "izcili" (10) līdz "gandrīz viduvēji" (4) un vērtējumu "ieskaitīts".</w:t>
            </w:r>
          </w:p>
        </w:tc>
        <w:tc>
          <w:tcPr>
            <w:tcW w:w="5386" w:type="dxa"/>
            <w:tcBorders>
              <w:top w:val="single" w:sz="4" w:space="0" w:color="auto"/>
              <w:left w:val="single" w:sz="4" w:space="0" w:color="auto"/>
              <w:bottom w:val="single" w:sz="4" w:space="0" w:color="auto"/>
              <w:right w:val="single" w:sz="4" w:space="0" w:color="auto"/>
            </w:tcBorders>
            <w:noWrap/>
            <w:tcMar>
              <w:top w:w="28" w:type="dxa"/>
              <w:left w:w="85" w:type="dxa"/>
              <w:bottom w:w="57" w:type="dxa"/>
              <w:right w:w="85" w:type="dxa"/>
            </w:tcMar>
          </w:tcPr>
          <w:p w14:paraId="1FFD2FD7" w14:textId="77777777" w:rsidR="00DA10E3" w:rsidRPr="00560C5C" w:rsidRDefault="00DA10E3" w:rsidP="00DA10E3">
            <w:pPr>
              <w:rPr>
                <w:rFonts w:ascii="Times New Roman" w:hAnsi="Times New Roman" w:cs="Times New Roman"/>
                <w:sz w:val="24"/>
                <w:szCs w:val="24"/>
              </w:rPr>
            </w:pPr>
            <w:r w:rsidRPr="00560C5C">
              <w:rPr>
                <w:rFonts w:ascii="Times New Roman" w:hAnsi="Times New Roman" w:cs="Times New Roman"/>
                <w:sz w:val="24"/>
                <w:szCs w:val="24"/>
              </w:rPr>
              <w:lastRenderedPageBreak/>
              <w:t xml:space="preserve">Vērtēšanā tiek ievērots atklātības un citi vērtēšanas principi, ievērojot RSU un DU prasības studiju kursu rezultātu vērtēšanai.  </w:t>
            </w:r>
          </w:p>
          <w:p w14:paraId="4431997E" w14:textId="2EE15A1C" w:rsidR="00DA10E3" w:rsidRPr="00560C5C" w:rsidRDefault="00DA10E3" w:rsidP="00DA10E3">
            <w:pPr>
              <w:rPr>
                <w:rFonts w:ascii="Times New Roman" w:hAnsi="Times New Roman" w:cs="Times New Roman"/>
                <w:sz w:val="24"/>
                <w:szCs w:val="24"/>
              </w:rPr>
            </w:pPr>
            <w:r w:rsidRPr="00560C5C">
              <w:rPr>
                <w:rFonts w:ascii="Times New Roman" w:hAnsi="Times New Roman" w:cs="Times New Roman"/>
                <w:sz w:val="24"/>
                <w:szCs w:val="24"/>
              </w:rPr>
              <w:t xml:space="preserve">Studiju rezultātu (zināšanu, prasmju un kompetences) vērtēšanas/ pārbaudījumu formas, studiju rezultātu vērtēšanas sistēmu, vērtējuma apstrīdēšanas un apelācijas iesniegšanas un izskatīšanas kārtība noteikta RSU un DU vērtēšanu regulējošos iekšējos normatīvajos aktos. </w:t>
            </w:r>
          </w:p>
          <w:p w14:paraId="7C7B7B62" w14:textId="70510247" w:rsidR="00DA10E3" w:rsidRPr="00560C5C" w:rsidRDefault="00DA10E3" w:rsidP="00DA10E3">
            <w:pPr>
              <w:rPr>
                <w:rFonts w:ascii="Times New Roman" w:hAnsi="Times New Roman" w:cs="Times New Roman"/>
                <w:sz w:val="24"/>
                <w:szCs w:val="24"/>
              </w:rPr>
            </w:pPr>
            <w:r w:rsidRPr="00560C5C">
              <w:rPr>
                <w:rFonts w:ascii="Times New Roman" w:hAnsi="Times New Roman" w:cs="Times New Roman"/>
                <w:sz w:val="24"/>
                <w:szCs w:val="24"/>
              </w:rPr>
              <w:t xml:space="preserve">Studējošam ir nepieciešams iegūt sekmīgu vērtējumu par visa studiju programmas satura apguvi. </w:t>
            </w:r>
          </w:p>
          <w:p w14:paraId="3B86BB8D" w14:textId="621F1E6A" w:rsidR="00DA10E3" w:rsidRPr="00560C5C" w:rsidRDefault="00DA10E3" w:rsidP="00DA10E3">
            <w:pPr>
              <w:rPr>
                <w:rFonts w:ascii="Times New Roman" w:hAnsi="Times New Roman" w:cs="Times New Roman"/>
                <w:sz w:val="24"/>
                <w:szCs w:val="24"/>
              </w:rPr>
            </w:pPr>
            <w:r w:rsidRPr="00560C5C">
              <w:rPr>
                <w:rFonts w:ascii="Times New Roman" w:hAnsi="Times New Roman" w:cs="Times New Roman"/>
                <w:sz w:val="24"/>
                <w:szCs w:val="24"/>
              </w:rPr>
              <w:t xml:space="preserve">Studiju rezultātu vērtēšanā tiek izmantoti dažādi pārbaudes veidi (testi, patstāvīgi pētījumi, prezentācijas, mutiski un rakstiski eksāmeni, tiek </w:t>
            </w:r>
            <w:r w:rsidRPr="00560C5C">
              <w:rPr>
                <w:rFonts w:ascii="Times New Roman" w:hAnsi="Times New Roman" w:cs="Times New Roman"/>
                <w:sz w:val="24"/>
                <w:szCs w:val="24"/>
              </w:rPr>
              <w:lastRenderedPageBreak/>
              <w:t xml:space="preserve">vērtēta arī līdzdalība, aktivitāte un atbilžu kvalitāte lekciju un nodarbību diskusijās). </w:t>
            </w:r>
          </w:p>
          <w:p w14:paraId="3AD5F0E1" w14:textId="3196DB72" w:rsidR="00DA10E3" w:rsidRPr="00560C5C" w:rsidRDefault="00DA10E3" w:rsidP="00DA10E3">
            <w:pPr>
              <w:rPr>
                <w:rFonts w:ascii="Times New Roman" w:hAnsi="Times New Roman" w:cs="Times New Roman"/>
                <w:sz w:val="24"/>
                <w:szCs w:val="24"/>
              </w:rPr>
            </w:pPr>
            <w:r w:rsidRPr="00560C5C">
              <w:rPr>
                <w:rFonts w:ascii="Times New Roman" w:hAnsi="Times New Roman" w:cs="Times New Roman"/>
                <w:sz w:val="24"/>
                <w:szCs w:val="24"/>
              </w:rPr>
              <w:t xml:space="preserve">Studiju rezultātu apguvi vērtē tikai 10 </w:t>
            </w:r>
            <w:proofErr w:type="spellStart"/>
            <w:r w:rsidRPr="00560C5C">
              <w:rPr>
                <w:rFonts w:ascii="Times New Roman" w:hAnsi="Times New Roman" w:cs="Times New Roman"/>
                <w:sz w:val="24"/>
                <w:szCs w:val="24"/>
              </w:rPr>
              <w:t>ballu</w:t>
            </w:r>
            <w:proofErr w:type="spellEnd"/>
            <w:r w:rsidRPr="00560C5C">
              <w:rPr>
                <w:rFonts w:ascii="Times New Roman" w:hAnsi="Times New Roman" w:cs="Times New Roman"/>
                <w:sz w:val="24"/>
                <w:szCs w:val="24"/>
              </w:rPr>
              <w:t xml:space="preserve"> skalā, jo </w:t>
            </w:r>
            <w:r>
              <w:rPr>
                <w:rFonts w:ascii="Times New Roman" w:hAnsi="Times New Roman" w:cs="Times New Roman"/>
                <w:sz w:val="24"/>
                <w:szCs w:val="24"/>
              </w:rPr>
              <w:t>akadēmiskajā</w:t>
            </w:r>
            <w:r w:rsidRPr="00560C5C">
              <w:rPr>
                <w:rFonts w:ascii="Times New Roman" w:hAnsi="Times New Roman" w:cs="Times New Roman"/>
                <w:sz w:val="24"/>
                <w:szCs w:val="24"/>
              </w:rPr>
              <w:t xml:space="preserve"> maģistra studiju programmā nav studiju kursu mazāk kā</w:t>
            </w:r>
            <w:r w:rsidR="00486432">
              <w:rPr>
                <w:rFonts w:ascii="Times New Roman" w:hAnsi="Times New Roman" w:cs="Times New Roman"/>
                <w:sz w:val="24"/>
                <w:szCs w:val="24"/>
              </w:rPr>
              <w:t xml:space="preserve"> </w:t>
            </w:r>
            <w:r>
              <w:rPr>
                <w:rFonts w:ascii="Times New Roman" w:hAnsi="Times New Roman" w:cs="Times New Roman"/>
                <w:sz w:val="24"/>
                <w:szCs w:val="24"/>
              </w:rPr>
              <w:t>3 ECTS</w:t>
            </w:r>
            <w:r w:rsidRPr="00560C5C">
              <w:rPr>
                <w:rFonts w:ascii="Times New Roman" w:hAnsi="Times New Roman" w:cs="Times New Roman"/>
                <w:sz w:val="24"/>
                <w:szCs w:val="24"/>
              </w:rPr>
              <w:t xml:space="preserve"> apjomā. Studiju rezultātu vērtējumi un studiju kursu rezultātu vērtējumi 10 </w:t>
            </w:r>
            <w:proofErr w:type="spellStart"/>
            <w:r w:rsidRPr="00560C5C">
              <w:rPr>
                <w:rFonts w:ascii="Times New Roman" w:hAnsi="Times New Roman" w:cs="Times New Roman"/>
                <w:sz w:val="24"/>
                <w:szCs w:val="24"/>
              </w:rPr>
              <w:t>ballu</w:t>
            </w:r>
            <w:proofErr w:type="spellEnd"/>
            <w:r w:rsidRPr="00560C5C">
              <w:rPr>
                <w:rFonts w:ascii="Times New Roman" w:hAnsi="Times New Roman" w:cs="Times New Roman"/>
                <w:sz w:val="24"/>
                <w:szCs w:val="24"/>
              </w:rPr>
              <w:t xml:space="preserve"> skalā tieši atbilst valsts augstākās izglītības standartā noteiktajam. </w:t>
            </w:r>
          </w:p>
          <w:p w14:paraId="3C86CDB7" w14:textId="77777777" w:rsidR="00DA10E3" w:rsidRPr="00560C5C" w:rsidRDefault="00DA10E3" w:rsidP="00DA10E3">
            <w:pPr>
              <w:rPr>
                <w:rFonts w:ascii="Times New Roman" w:hAnsi="Times New Roman" w:cs="Times New Roman"/>
                <w:sz w:val="24"/>
                <w:szCs w:val="24"/>
              </w:rPr>
            </w:pPr>
          </w:p>
          <w:p w14:paraId="08B1BE31" w14:textId="4345BF05" w:rsidR="00DA10E3" w:rsidRPr="00DA10E3" w:rsidRDefault="00DA10E3" w:rsidP="00DA10E3">
            <w:pPr>
              <w:rPr>
                <w:rFonts w:ascii="Times New Roman" w:hAnsi="Times New Roman" w:cs="Times New Roman"/>
                <w:iCs/>
                <w:sz w:val="24"/>
                <w:szCs w:val="24"/>
                <w:shd w:val="clear" w:color="auto" w:fill="FFFF00"/>
              </w:rPr>
            </w:pPr>
          </w:p>
        </w:tc>
      </w:tr>
    </w:tbl>
    <w:p w14:paraId="6E7D34B3" w14:textId="77777777" w:rsidR="001A0ABB" w:rsidRPr="00F06B97" w:rsidRDefault="001A0ABB" w:rsidP="001A0ABB">
      <w:pPr>
        <w:ind w:left="360" w:hanging="360"/>
        <w:rPr>
          <w:color w:val="000000" w:themeColor="text1"/>
        </w:rPr>
      </w:pPr>
    </w:p>
    <w:p w14:paraId="42A140D7" w14:textId="037784EB" w:rsidR="001A0ABB" w:rsidRPr="00F06B97" w:rsidRDefault="001A0ABB" w:rsidP="001A0ABB">
      <w:pPr>
        <w:ind w:left="360" w:hanging="360"/>
        <w:rPr>
          <w:rFonts w:ascii="Times New Roman" w:hAnsi="Times New Roman" w:cs="Times New Roman"/>
          <w:color w:val="000000" w:themeColor="text1"/>
        </w:rPr>
      </w:pPr>
      <w:r w:rsidRPr="00F06B97">
        <w:rPr>
          <w:rFonts w:ascii="Times New Roman" w:hAnsi="Times New Roman" w:cs="Times New Roman"/>
          <w:color w:val="000000" w:themeColor="text1"/>
        </w:rPr>
        <w:t>*Atbilstoši piemērojamajam valsts izglītības standartam</w:t>
      </w:r>
    </w:p>
    <w:p w14:paraId="21B66BBC" w14:textId="77777777" w:rsidR="003F7B36" w:rsidRPr="00F06B97" w:rsidRDefault="003F7B36" w:rsidP="00FD6CA6">
      <w:pPr>
        <w:rPr>
          <w:rFonts w:ascii="Times New Roman" w:hAnsi="Times New Roman" w:cs="Times New Roman"/>
          <w:color w:val="000000" w:themeColor="text1"/>
          <w:sz w:val="24"/>
          <w:szCs w:val="24"/>
        </w:rPr>
      </w:pPr>
    </w:p>
    <w:sectPr w:rsidR="003F7B36" w:rsidRPr="00F06B97" w:rsidSect="002251FD">
      <w:footerReference w:type="default" r:id="rId11"/>
      <w:pgSz w:w="16838" w:h="11906" w:orient="landscape"/>
      <w:pgMar w:top="851" w:right="1440" w:bottom="993" w:left="1440" w:header="708" w:footer="4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CF66E" w14:textId="77777777" w:rsidR="00E57130" w:rsidRDefault="00E57130" w:rsidP="00753408">
      <w:r>
        <w:separator/>
      </w:r>
    </w:p>
  </w:endnote>
  <w:endnote w:type="continuationSeparator" w:id="0">
    <w:p w14:paraId="646CAC19" w14:textId="77777777" w:rsidR="00E57130" w:rsidRDefault="00E57130" w:rsidP="00753408">
      <w:r>
        <w:continuationSeparator/>
      </w:r>
    </w:p>
  </w:endnote>
  <w:endnote w:type="continuationNotice" w:id="1">
    <w:p w14:paraId="53AE1E83" w14:textId="77777777" w:rsidR="00E57130" w:rsidRDefault="00E571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738138093"/>
      <w:docPartObj>
        <w:docPartGallery w:val="Page Numbers (Bottom of Page)"/>
        <w:docPartUnique/>
      </w:docPartObj>
    </w:sdtPr>
    <w:sdtEndPr>
      <w:rPr>
        <w:noProof/>
      </w:rPr>
    </w:sdtEndPr>
    <w:sdtContent>
      <w:p w14:paraId="4E48508A" w14:textId="7D82979F" w:rsidR="00753408" w:rsidRPr="00CC7ED3" w:rsidRDefault="00753408">
        <w:pPr>
          <w:pStyle w:val="Footer"/>
          <w:jc w:val="center"/>
          <w:rPr>
            <w:rFonts w:ascii="Times New Roman" w:hAnsi="Times New Roman" w:cs="Times New Roman"/>
          </w:rPr>
        </w:pPr>
        <w:r w:rsidRPr="00CC7ED3">
          <w:rPr>
            <w:rFonts w:ascii="Times New Roman" w:hAnsi="Times New Roman" w:cs="Times New Roman"/>
          </w:rPr>
          <w:fldChar w:fldCharType="begin"/>
        </w:r>
        <w:r w:rsidRPr="00CC7ED3">
          <w:rPr>
            <w:rFonts w:ascii="Times New Roman" w:hAnsi="Times New Roman" w:cs="Times New Roman"/>
          </w:rPr>
          <w:instrText xml:space="preserve"> PAGE   \* MERGEFORMAT </w:instrText>
        </w:r>
        <w:r w:rsidRPr="00CC7ED3">
          <w:rPr>
            <w:rFonts w:ascii="Times New Roman" w:hAnsi="Times New Roman" w:cs="Times New Roman"/>
          </w:rPr>
          <w:fldChar w:fldCharType="separate"/>
        </w:r>
        <w:r w:rsidRPr="00CC7ED3">
          <w:rPr>
            <w:rFonts w:ascii="Times New Roman" w:hAnsi="Times New Roman" w:cs="Times New Roman"/>
            <w:noProof/>
          </w:rPr>
          <w:t>2</w:t>
        </w:r>
        <w:r w:rsidRPr="00CC7ED3">
          <w:rPr>
            <w:rFonts w:ascii="Times New Roman" w:hAnsi="Times New Roman" w:cs="Times New Roman"/>
            <w:noProof/>
          </w:rPr>
          <w:fldChar w:fldCharType="end"/>
        </w:r>
      </w:p>
    </w:sdtContent>
  </w:sdt>
  <w:p w14:paraId="65B36BE4" w14:textId="77777777" w:rsidR="00753408" w:rsidRPr="00CC7ED3" w:rsidRDefault="00753408">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552C2" w14:textId="77777777" w:rsidR="00E57130" w:rsidRDefault="00E57130" w:rsidP="00753408">
      <w:r>
        <w:separator/>
      </w:r>
    </w:p>
  </w:footnote>
  <w:footnote w:type="continuationSeparator" w:id="0">
    <w:p w14:paraId="7BA2C860" w14:textId="77777777" w:rsidR="00E57130" w:rsidRDefault="00E57130" w:rsidP="00753408">
      <w:r>
        <w:continuationSeparator/>
      </w:r>
    </w:p>
  </w:footnote>
  <w:footnote w:type="continuationNotice" w:id="1">
    <w:p w14:paraId="7E95FFB7" w14:textId="77777777" w:rsidR="00E57130" w:rsidRDefault="00E57130"/>
  </w:footnote>
  <w:footnote w:id="2">
    <w:p w14:paraId="7240D6D0" w14:textId="77777777" w:rsidR="0035364C" w:rsidRDefault="0035364C" w:rsidP="37051B10">
      <w:pPr>
        <w:pStyle w:val="FootnoteText"/>
        <w:rPr>
          <w:rFonts w:ascii="Times New Roman" w:eastAsia="Times New Roman" w:hAnsi="Times New Roman" w:cs="Times New Roman"/>
        </w:rPr>
      </w:pPr>
      <w:r w:rsidRPr="37051B10">
        <w:rPr>
          <w:rStyle w:val="FootnoteReference"/>
          <w:rFonts w:ascii="Times New Roman" w:eastAsia="Times New Roman" w:hAnsi="Times New Roman" w:cs="Times New Roman"/>
        </w:rPr>
        <w:footnoteRef/>
      </w:r>
      <w:r w:rsidRPr="37051B10">
        <w:rPr>
          <w:rFonts w:ascii="Times New Roman" w:eastAsia="Times New Roman" w:hAnsi="Times New Roman" w:cs="Times New Roman"/>
        </w:rPr>
        <w:t xml:space="preserve"> Saskaņā ar Augstskolu likumu. </w:t>
      </w:r>
      <w:hyperlink r:id="rId1" w:history="1">
        <w:r w:rsidRPr="00545B2D">
          <w:rPr>
            <w:rStyle w:val="Hyperlink"/>
            <w:rFonts w:ascii="Times New Roman" w:eastAsia="Times New Roman" w:hAnsi="Times New Roman" w:cs="Times New Roman"/>
          </w:rPr>
          <w:t>https://likumi.lv/ta/id/37967-augstskolu-likums</w:t>
        </w:r>
      </w:hyperlink>
      <w:r>
        <w:rPr>
          <w:rFonts w:ascii="Times New Roman" w:eastAsia="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D35E3E"/>
    <w:multiLevelType w:val="hybridMultilevel"/>
    <w:tmpl w:val="5888EDD8"/>
    <w:lvl w:ilvl="0" w:tplc="48C287EC">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3672FCE"/>
    <w:multiLevelType w:val="hybridMultilevel"/>
    <w:tmpl w:val="4E543D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D1D476E"/>
    <w:multiLevelType w:val="hybridMultilevel"/>
    <w:tmpl w:val="F42E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07D390E"/>
    <w:multiLevelType w:val="hybridMultilevel"/>
    <w:tmpl w:val="2B629B38"/>
    <w:lvl w:ilvl="0" w:tplc="F354A34C">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B566521"/>
    <w:multiLevelType w:val="hybridMultilevel"/>
    <w:tmpl w:val="E24076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9747D06"/>
    <w:multiLevelType w:val="hybridMultilevel"/>
    <w:tmpl w:val="E7121E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56935C4"/>
    <w:multiLevelType w:val="hybridMultilevel"/>
    <w:tmpl w:val="B560D5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8C759B3"/>
    <w:multiLevelType w:val="hybridMultilevel"/>
    <w:tmpl w:val="E17CE5BA"/>
    <w:lvl w:ilvl="0" w:tplc="48C287EC">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B343B23"/>
    <w:multiLevelType w:val="hybridMultilevel"/>
    <w:tmpl w:val="C2D892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10"/>
  </w:num>
  <w:num w:numId="5">
    <w:abstractNumId w:val="2"/>
  </w:num>
  <w:num w:numId="6">
    <w:abstractNumId w:val="3"/>
  </w:num>
  <w:num w:numId="7">
    <w:abstractNumId w:val="7"/>
  </w:num>
  <w:num w:numId="8">
    <w:abstractNumId w:val="6"/>
  </w:num>
  <w:num w:numId="9">
    <w:abstractNumId w:val="9"/>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3C"/>
    <w:rsid w:val="00027E39"/>
    <w:rsid w:val="0003369F"/>
    <w:rsid w:val="00052D09"/>
    <w:rsid w:val="00064267"/>
    <w:rsid w:val="000758D6"/>
    <w:rsid w:val="00083799"/>
    <w:rsid w:val="00084A01"/>
    <w:rsid w:val="00091437"/>
    <w:rsid w:val="0009511E"/>
    <w:rsid w:val="000A5A83"/>
    <w:rsid w:val="000A62CE"/>
    <w:rsid w:val="000A7B4F"/>
    <w:rsid w:val="000B5332"/>
    <w:rsid w:val="000C3544"/>
    <w:rsid w:val="000C7DE3"/>
    <w:rsid w:val="000D1988"/>
    <w:rsid w:val="001401C0"/>
    <w:rsid w:val="00140464"/>
    <w:rsid w:val="001533F4"/>
    <w:rsid w:val="0016378C"/>
    <w:rsid w:val="00170405"/>
    <w:rsid w:val="00174667"/>
    <w:rsid w:val="0018061F"/>
    <w:rsid w:val="00185543"/>
    <w:rsid w:val="00190A53"/>
    <w:rsid w:val="0019759E"/>
    <w:rsid w:val="001A0069"/>
    <w:rsid w:val="001A0ABB"/>
    <w:rsid w:val="001A165A"/>
    <w:rsid w:val="001A30F5"/>
    <w:rsid w:val="001A44DD"/>
    <w:rsid w:val="001B0326"/>
    <w:rsid w:val="001B60C2"/>
    <w:rsid w:val="001C241C"/>
    <w:rsid w:val="001D2148"/>
    <w:rsid w:val="001F1D3F"/>
    <w:rsid w:val="002014E5"/>
    <w:rsid w:val="002064B5"/>
    <w:rsid w:val="00216C6A"/>
    <w:rsid w:val="002251FD"/>
    <w:rsid w:val="002319F2"/>
    <w:rsid w:val="00231E27"/>
    <w:rsid w:val="00270139"/>
    <w:rsid w:val="00292A79"/>
    <w:rsid w:val="00293422"/>
    <w:rsid w:val="002A02F8"/>
    <w:rsid w:val="002B03EA"/>
    <w:rsid w:val="002C24AE"/>
    <w:rsid w:val="002C4EC3"/>
    <w:rsid w:val="002D063D"/>
    <w:rsid w:val="002D663C"/>
    <w:rsid w:val="002E65D1"/>
    <w:rsid w:val="002F1591"/>
    <w:rsid w:val="002F3944"/>
    <w:rsid w:val="002F43A4"/>
    <w:rsid w:val="0031479A"/>
    <w:rsid w:val="00315CEB"/>
    <w:rsid w:val="003223E7"/>
    <w:rsid w:val="00334B65"/>
    <w:rsid w:val="00343B5C"/>
    <w:rsid w:val="00347F3C"/>
    <w:rsid w:val="0035364C"/>
    <w:rsid w:val="0036278E"/>
    <w:rsid w:val="003634FB"/>
    <w:rsid w:val="0036512B"/>
    <w:rsid w:val="00390F8D"/>
    <w:rsid w:val="003A2F19"/>
    <w:rsid w:val="003A39F5"/>
    <w:rsid w:val="003B0A60"/>
    <w:rsid w:val="003B25B2"/>
    <w:rsid w:val="003B5C33"/>
    <w:rsid w:val="003B6DB3"/>
    <w:rsid w:val="003B7287"/>
    <w:rsid w:val="003C7C0B"/>
    <w:rsid w:val="003D12AE"/>
    <w:rsid w:val="003D6B75"/>
    <w:rsid w:val="003E36AD"/>
    <w:rsid w:val="003F7B36"/>
    <w:rsid w:val="00402414"/>
    <w:rsid w:val="0040384D"/>
    <w:rsid w:val="00407536"/>
    <w:rsid w:val="0041606A"/>
    <w:rsid w:val="0044128A"/>
    <w:rsid w:val="00445AB8"/>
    <w:rsid w:val="00451992"/>
    <w:rsid w:val="004653BC"/>
    <w:rsid w:val="004722A2"/>
    <w:rsid w:val="004752D7"/>
    <w:rsid w:val="004754FC"/>
    <w:rsid w:val="00483F3E"/>
    <w:rsid w:val="00486432"/>
    <w:rsid w:val="004A76B3"/>
    <w:rsid w:val="004B39CF"/>
    <w:rsid w:val="004B4EB9"/>
    <w:rsid w:val="004B7CD2"/>
    <w:rsid w:val="004D50DD"/>
    <w:rsid w:val="004E2C9F"/>
    <w:rsid w:val="004E56F8"/>
    <w:rsid w:val="004F0F69"/>
    <w:rsid w:val="004F4033"/>
    <w:rsid w:val="00513840"/>
    <w:rsid w:val="00521B28"/>
    <w:rsid w:val="00524B30"/>
    <w:rsid w:val="00542D88"/>
    <w:rsid w:val="00547E11"/>
    <w:rsid w:val="00561205"/>
    <w:rsid w:val="00562AF4"/>
    <w:rsid w:val="005655D5"/>
    <w:rsid w:val="005A6570"/>
    <w:rsid w:val="005C3F6F"/>
    <w:rsid w:val="005C565E"/>
    <w:rsid w:val="005D1918"/>
    <w:rsid w:val="005E3607"/>
    <w:rsid w:val="005E4F0A"/>
    <w:rsid w:val="00621243"/>
    <w:rsid w:val="006272F0"/>
    <w:rsid w:val="00632933"/>
    <w:rsid w:val="0063761F"/>
    <w:rsid w:val="00652585"/>
    <w:rsid w:val="00654C19"/>
    <w:rsid w:val="0066409D"/>
    <w:rsid w:val="00664E8C"/>
    <w:rsid w:val="006733E5"/>
    <w:rsid w:val="006A4BCB"/>
    <w:rsid w:val="006A4EE1"/>
    <w:rsid w:val="006B1565"/>
    <w:rsid w:val="006B6C9F"/>
    <w:rsid w:val="006E20D8"/>
    <w:rsid w:val="006E5045"/>
    <w:rsid w:val="006F5577"/>
    <w:rsid w:val="007012C8"/>
    <w:rsid w:val="00701E5B"/>
    <w:rsid w:val="00713B7F"/>
    <w:rsid w:val="0074304D"/>
    <w:rsid w:val="0074412F"/>
    <w:rsid w:val="00753408"/>
    <w:rsid w:val="00760087"/>
    <w:rsid w:val="007707F4"/>
    <w:rsid w:val="007730F1"/>
    <w:rsid w:val="00781E99"/>
    <w:rsid w:val="00787733"/>
    <w:rsid w:val="007919B8"/>
    <w:rsid w:val="007A4D58"/>
    <w:rsid w:val="007A5F0A"/>
    <w:rsid w:val="007C236B"/>
    <w:rsid w:val="007D2EC2"/>
    <w:rsid w:val="007E1187"/>
    <w:rsid w:val="007E1962"/>
    <w:rsid w:val="007E1C2E"/>
    <w:rsid w:val="007E7B53"/>
    <w:rsid w:val="007F2E6E"/>
    <w:rsid w:val="00833220"/>
    <w:rsid w:val="00841347"/>
    <w:rsid w:val="00843BDB"/>
    <w:rsid w:val="0086055D"/>
    <w:rsid w:val="008649BE"/>
    <w:rsid w:val="008667F0"/>
    <w:rsid w:val="0087321D"/>
    <w:rsid w:val="00885EFB"/>
    <w:rsid w:val="00890073"/>
    <w:rsid w:val="00890BF4"/>
    <w:rsid w:val="008913A8"/>
    <w:rsid w:val="008957E4"/>
    <w:rsid w:val="008A3EC2"/>
    <w:rsid w:val="008B0EBC"/>
    <w:rsid w:val="008B5A13"/>
    <w:rsid w:val="008C204D"/>
    <w:rsid w:val="008C407B"/>
    <w:rsid w:val="008F3E76"/>
    <w:rsid w:val="009038B3"/>
    <w:rsid w:val="0091027B"/>
    <w:rsid w:val="00911276"/>
    <w:rsid w:val="009151D4"/>
    <w:rsid w:val="00915DFF"/>
    <w:rsid w:val="009340DE"/>
    <w:rsid w:val="00943343"/>
    <w:rsid w:val="00946AF8"/>
    <w:rsid w:val="00964B5A"/>
    <w:rsid w:val="00976411"/>
    <w:rsid w:val="009B4DF0"/>
    <w:rsid w:val="009C1A5F"/>
    <w:rsid w:val="009D462C"/>
    <w:rsid w:val="009E1BBC"/>
    <w:rsid w:val="009E2E17"/>
    <w:rsid w:val="009F30D7"/>
    <w:rsid w:val="00A00B6D"/>
    <w:rsid w:val="00A037A2"/>
    <w:rsid w:val="00A14667"/>
    <w:rsid w:val="00A20DD6"/>
    <w:rsid w:val="00A22C59"/>
    <w:rsid w:val="00A22E7F"/>
    <w:rsid w:val="00A27A1D"/>
    <w:rsid w:val="00A336D8"/>
    <w:rsid w:val="00A3538B"/>
    <w:rsid w:val="00A63344"/>
    <w:rsid w:val="00A775DC"/>
    <w:rsid w:val="00A852BA"/>
    <w:rsid w:val="00A90FE8"/>
    <w:rsid w:val="00AA7F7F"/>
    <w:rsid w:val="00AB50A1"/>
    <w:rsid w:val="00AB50BB"/>
    <w:rsid w:val="00AC0085"/>
    <w:rsid w:val="00AC0766"/>
    <w:rsid w:val="00AC511A"/>
    <w:rsid w:val="00AD2B62"/>
    <w:rsid w:val="00AD4600"/>
    <w:rsid w:val="00AF234F"/>
    <w:rsid w:val="00AF6966"/>
    <w:rsid w:val="00B002E6"/>
    <w:rsid w:val="00B02BA1"/>
    <w:rsid w:val="00B033E7"/>
    <w:rsid w:val="00B10E50"/>
    <w:rsid w:val="00B14382"/>
    <w:rsid w:val="00B31ECC"/>
    <w:rsid w:val="00B43EFD"/>
    <w:rsid w:val="00B57608"/>
    <w:rsid w:val="00B62E3C"/>
    <w:rsid w:val="00B66277"/>
    <w:rsid w:val="00B6634D"/>
    <w:rsid w:val="00B75D45"/>
    <w:rsid w:val="00B81637"/>
    <w:rsid w:val="00BB6E24"/>
    <w:rsid w:val="00BE0D0C"/>
    <w:rsid w:val="00C05144"/>
    <w:rsid w:val="00C50B6D"/>
    <w:rsid w:val="00C6091D"/>
    <w:rsid w:val="00C61650"/>
    <w:rsid w:val="00C76903"/>
    <w:rsid w:val="00C91303"/>
    <w:rsid w:val="00C95F8E"/>
    <w:rsid w:val="00C97F87"/>
    <w:rsid w:val="00CB336A"/>
    <w:rsid w:val="00CC55C5"/>
    <w:rsid w:val="00CC6F89"/>
    <w:rsid w:val="00CC7ED3"/>
    <w:rsid w:val="00CF6169"/>
    <w:rsid w:val="00D026DF"/>
    <w:rsid w:val="00D15724"/>
    <w:rsid w:val="00D16DA5"/>
    <w:rsid w:val="00D255A6"/>
    <w:rsid w:val="00D279FA"/>
    <w:rsid w:val="00D43A2E"/>
    <w:rsid w:val="00D83C3A"/>
    <w:rsid w:val="00D9637F"/>
    <w:rsid w:val="00DA10E3"/>
    <w:rsid w:val="00DA5334"/>
    <w:rsid w:val="00DB3A16"/>
    <w:rsid w:val="00DB4F81"/>
    <w:rsid w:val="00DD04AD"/>
    <w:rsid w:val="00DD2A99"/>
    <w:rsid w:val="00DD5949"/>
    <w:rsid w:val="00DE0890"/>
    <w:rsid w:val="00DE4739"/>
    <w:rsid w:val="00DE7FFA"/>
    <w:rsid w:val="00DF681D"/>
    <w:rsid w:val="00E06D0A"/>
    <w:rsid w:val="00E150F0"/>
    <w:rsid w:val="00E2591E"/>
    <w:rsid w:val="00E2E02F"/>
    <w:rsid w:val="00E32B3B"/>
    <w:rsid w:val="00E333A8"/>
    <w:rsid w:val="00E57130"/>
    <w:rsid w:val="00E6062E"/>
    <w:rsid w:val="00E671CD"/>
    <w:rsid w:val="00E778BD"/>
    <w:rsid w:val="00E873FE"/>
    <w:rsid w:val="00EA780A"/>
    <w:rsid w:val="00EB58A6"/>
    <w:rsid w:val="00ED14B1"/>
    <w:rsid w:val="00EE1F5C"/>
    <w:rsid w:val="00EE3FAF"/>
    <w:rsid w:val="00EE56E9"/>
    <w:rsid w:val="00EE5A43"/>
    <w:rsid w:val="00EF4812"/>
    <w:rsid w:val="00EF483F"/>
    <w:rsid w:val="00EF71AB"/>
    <w:rsid w:val="00F06B97"/>
    <w:rsid w:val="00F22FC7"/>
    <w:rsid w:val="00F36991"/>
    <w:rsid w:val="00F36C46"/>
    <w:rsid w:val="00F544B2"/>
    <w:rsid w:val="00F60AA1"/>
    <w:rsid w:val="00F67B1B"/>
    <w:rsid w:val="00F704F6"/>
    <w:rsid w:val="00F714CA"/>
    <w:rsid w:val="00FA0DF6"/>
    <w:rsid w:val="00FD1330"/>
    <w:rsid w:val="00FD6CA6"/>
    <w:rsid w:val="017C3111"/>
    <w:rsid w:val="025E69E8"/>
    <w:rsid w:val="034CD31F"/>
    <w:rsid w:val="0445546B"/>
    <w:rsid w:val="04754B30"/>
    <w:rsid w:val="051FEF1B"/>
    <w:rsid w:val="052C8691"/>
    <w:rsid w:val="05D249A5"/>
    <w:rsid w:val="05F9DF1E"/>
    <w:rsid w:val="060308BC"/>
    <w:rsid w:val="07A09DB6"/>
    <w:rsid w:val="08AB527A"/>
    <w:rsid w:val="097B7A0E"/>
    <w:rsid w:val="0A1B6963"/>
    <w:rsid w:val="0A324880"/>
    <w:rsid w:val="0AE48CB4"/>
    <w:rsid w:val="0B4F8CA6"/>
    <w:rsid w:val="0B7A55A6"/>
    <w:rsid w:val="0B8376F3"/>
    <w:rsid w:val="0BD80EB8"/>
    <w:rsid w:val="0C24C51E"/>
    <w:rsid w:val="0C805D15"/>
    <w:rsid w:val="0CDDEE4A"/>
    <w:rsid w:val="0D170971"/>
    <w:rsid w:val="0D9341CE"/>
    <w:rsid w:val="0E66DA9A"/>
    <w:rsid w:val="0F1A93FE"/>
    <w:rsid w:val="0F46174C"/>
    <w:rsid w:val="111D1037"/>
    <w:rsid w:val="12390C63"/>
    <w:rsid w:val="137E90F6"/>
    <w:rsid w:val="13D345D4"/>
    <w:rsid w:val="14229604"/>
    <w:rsid w:val="15B41BFA"/>
    <w:rsid w:val="1776741B"/>
    <w:rsid w:val="1787AF85"/>
    <w:rsid w:val="1811140B"/>
    <w:rsid w:val="186FF2C9"/>
    <w:rsid w:val="18B5FDAA"/>
    <w:rsid w:val="192F09D6"/>
    <w:rsid w:val="1AC88E2F"/>
    <w:rsid w:val="1AEA0143"/>
    <w:rsid w:val="1BC8FCD8"/>
    <w:rsid w:val="1BF5E6AB"/>
    <w:rsid w:val="1C6150AF"/>
    <w:rsid w:val="1CC8CD18"/>
    <w:rsid w:val="1DC76C06"/>
    <w:rsid w:val="1DEA5AEC"/>
    <w:rsid w:val="1DF7DD23"/>
    <w:rsid w:val="1E9C870D"/>
    <w:rsid w:val="2049FFBF"/>
    <w:rsid w:val="21D14231"/>
    <w:rsid w:val="2344B4DA"/>
    <w:rsid w:val="23A6E339"/>
    <w:rsid w:val="243985D0"/>
    <w:rsid w:val="24F2E1D2"/>
    <w:rsid w:val="264066FE"/>
    <w:rsid w:val="29172310"/>
    <w:rsid w:val="29219E6A"/>
    <w:rsid w:val="2926B9A7"/>
    <w:rsid w:val="2936CA93"/>
    <w:rsid w:val="29E6C587"/>
    <w:rsid w:val="29EAFDE2"/>
    <w:rsid w:val="2A3E22B7"/>
    <w:rsid w:val="2B432081"/>
    <w:rsid w:val="2B75EE59"/>
    <w:rsid w:val="2BB39707"/>
    <w:rsid w:val="2DD70BD2"/>
    <w:rsid w:val="2E7AC143"/>
    <w:rsid w:val="2E7ADE29"/>
    <w:rsid w:val="2E85A6DB"/>
    <w:rsid w:val="2E8FC018"/>
    <w:rsid w:val="2EBA36AA"/>
    <w:rsid w:val="2F146801"/>
    <w:rsid w:val="2F9CA30D"/>
    <w:rsid w:val="301E7F2A"/>
    <w:rsid w:val="31CA9D9E"/>
    <w:rsid w:val="31F1D76C"/>
    <w:rsid w:val="32104DCE"/>
    <w:rsid w:val="32D6C6A9"/>
    <w:rsid w:val="32E2C4BF"/>
    <w:rsid w:val="332EBD68"/>
    <w:rsid w:val="34EC3D3F"/>
    <w:rsid w:val="358602E8"/>
    <w:rsid w:val="35B4F04A"/>
    <w:rsid w:val="360412C4"/>
    <w:rsid w:val="37051B10"/>
    <w:rsid w:val="373708D8"/>
    <w:rsid w:val="37D1CE3D"/>
    <w:rsid w:val="3829910F"/>
    <w:rsid w:val="382E3430"/>
    <w:rsid w:val="3875B309"/>
    <w:rsid w:val="39618CCF"/>
    <w:rsid w:val="3983DA7B"/>
    <w:rsid w:val="39C525FE"/>
    <w:rsid w:val="39ED3E75"/>
    <w:rsid w:val="3A483934"/>
    <w:rsid w:val="3AD783E7"/>
    <w:rsid w:val="3B37BEA5"/>
    <w:rsid w:val="3B6131D1"/>
    <w:rsid w:val="3BA62DA5"/>
    <w:rsid w:val="3BC22307"/>
    <w:rsid w:val="3BC45509"/>
    <w:rsid w:val="3C44CDDA"/>
    <w:rsid w:val="3C517110"/>
    <w:rsid w:val="3CFD0232"/>
    <w:rsid w:val="3D08C5E2"/>
    <w:rsid w:val="3DA77B50"/>
    <w:rsid w:val="3E211EA5"/>
    <w:rsid w:val="3E7FAA36"/>
    <w:rsid w:val="3F1BAA57"/>
    <w:rsid w:val="3F428B6F"/>
    <w:rsid w:val="3FC899FB"/>
    <w:rsid w:val="3FD47A11"/>
    <w:rsid w:val="4011FD5C"/>
    <w:rsid w:val="401829C8"/>
    <w:rsid w:val="40677835"/>
    <w:rsid w:val="40E43937"/>
    <w:rsid w:val="417E9F9D"/>
    <w:rsid w:val="445114DF"/>
    <w:rsid w:val="458AEBDB"/>
    <w:rsid w:val="46B76B6B"/>
    <w:rsid w:val="46C64D57"/>
    <w:rsid w:val="471D20D0"/>
    <w:rsid w:val="486126C0"/>
    <w:rsid w:val="4887E6AA"/>
    <w:rsid w:val="48B7EAD7"/>
    <w:rsid w:val="4909E965"/>
    <w:rsid w:val="4B586A94"/>
    <w:rsid w:val="4BC4DFDE"/>
    <w:rsid w:val="4C4D0373"/>
    <w:rsid w:val="4CBB632A"/>
    <w:rsid w:val="4D7401C7"/>
    <w:rsid w:val="4D95FDC0"/>
    <w:rsid w:val="4DBDC85F"/>
    <w:rsid w:val="4DE8914C"/>
    <w:rsid w:val="4EC7CA3E"/>
    <w:rsid w:val="4EF1A8FB"/>
    <w:rsid w:val="50817072"/>
    <w:rsid w:val="51B140AF"/>
    <w:rsid w:val="520987DF"/>
    <w:rsid w:val="52696EE3"/>
    <w:rsid w:val="52A80958"/>
    <w:rsid w:val="53DCCDB7"/>
    <w:rsid w:val="54053F44"/>
    <w:rsid w:val="54834F20"/>
    <w:rsid w:val="54B6938B"/>
    <w:rsid w:val="5511D876"/>
    <w:rsid w:val="55122791"/>
    <w:rsid w:val="5598BF23"/>
    <w:rsid w:val="567BAA3B"/>
    <w:rsid w:val="56F9B310"/>
    <w:rsid w:val="5794A2D8"/>
    <w:rsid w:val="58D8B067"/>
    <w:rsid w:val="58E09DED"/>
    <w:rsid w:val="5956C043"/>
    <w:rsid w:val="5974F44F"/>
    <w:rsid w:val="59BF9939"/>
    <w:rsid w:val="5A7480C8"/>
    <w:rsid w:val="5A78DA53"/>
    <w:rsid w:val="5ACA09D3"/>
    <w:rsid w:val="5ACC439A"/>
    <w:rsid w:val="5B1C832B"/>
    <w:rsid w:val="5B8A8AB7"/>
    <w:rsid w:val="5C183EAF"/>
    <w:rsid w:val="5D01A16B"/>
    <w:rsid w:val="5DA97E5D"/>
    <w:rsid w:val="5DF7D70F"/>
    <w:rsid w:val="5E737B85"/>
    <w:rsid w:val="5EB0F256"/>
    <w:rsid w:val="5F4185F3"/>
    <w:rsid w:val="5F4FDF71"/>
    <w:rsid w:val="5FD4DFB9"/>
    <w:rsid w:val="6015B260"/>
    <w:rsid w:val="602EDABD"/>
    <w:rsid w:val="6041F348"/>
    <w:rsid w:val="6062FD4E"/>
    <w:rsid w:val="60E3C24C"/>
    <w:rsid w:val="60FB113D"/>
    <w:rsid w:val="613EA8D2"/>
    <w:rsid w:val="61407F5A"/>
    <w:rsid w:val="615D8247"/>
    <w:rsid w:val="61C5B651"/>
    <w:rsid w:val="61ED5450"/>
    <w:rsid w:val="636B3F42"/>
    <w:rsid w:val="64235094"/>
    <w:rsid w:val="649972EA"/>
    <w:rsid w:val="64AEC335"/>
    <w:rsid w:val="64D55D69"/>
    <w:rsid w:val="656B52A5"/>
    <w:rsid w:val="66E3C682"/>
    <w:rsid w:val="680096C5"/>
    <w:rsid w:val="6814DBAB"/>
    <w:rsid w:val="68CB903C"/>
    <w:rsid w:val="6C07420D"/>
    <w:rsid w:val="6C48E155"/>
    <w:rsid w:val="6C4B673C"/>
    <w:rsid w:val="6CB49304"/>
    <w:rsid w:val="6CC62AC4"/>
    <w:rsid w:val="6D07D700"/>
    <w:rsid w:val="6DC49662"/>
    <w:rsid w:val="6E41883E"/>
    <w:rsid w:val="6EF90C8E"/>
    <w:rsid w:val="6FA17F3F"/>
    <w:rsid w:val="6FA49DB0"/>
    <w:rsid w:val="6FACB099"/>
    <w:rsid w:val="6FE0C1A9"/>
    <w:rsid w:val="708F3638"/>
    <w:rsid w:val="70B6C027"/>
    <w:rsid w:val="719E75FA"/>
    <w:rsid w:val="7230AD50"/>
    <w:rsid w:val="72E16BFC"/>
    <w:rsid w:val="735DB98D"/>
    <w:rsid w:val="7439745E"/>
    <w:rsid w:val="745739DF"/>
    <w:rsid w:val="7555A067"/>
    <w:rsid w:val="758A314A"/>
    <w:rsid w:val="76AFDF55"/>
    <w:rsid w:val="76F170C8"/>
    <w:rsid w:val="76FFB4A1"/>
    <w:rsid w:val="772601AB"/>
    <w:rsid w:val="77351ED8"/>
    <w:rsid w:val="774FF432"/>
    <w:rsid w:val="788794A2"/>
    <w:rsid w:val="788D4129"/>
    <w:rsid w:val="78C1D20C"/>
    <w:rsid w:val="790113F2"/>
    <w:rsid w:val="790CE581"/>
    <w:rsid w:val="797386B2"/>
    <w:rsid w:val="79A21D64"/>
    <w:rsid w:val="79F5FCB6"/>
    <w:rsid w:val="7A4B12D6"/>
    <w:rsid w:val="7ACBFFE5"/>
    <w:rsid w:val="7BC413DA"/>
    <w:rsid w:val="7BDB134A"/>
    <w:rsid w:val="7C075458"/>
    <w:rsid w:val="7C45A9EA"/>
    <w:rsid w:val="7CE63CBA"/>
    <w:rsid w:val="7EC1303C"/>
    <w:rsid w:val="7ED920D0"/>
    <w:rsid w:val="7FDAD5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B658C"/>
  <w15:chartTrackingRefBased/>
  <w15:docId w15:val="{FE118897-6593-47D6-96B0-A14097A6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E3C"/>
    <w:pPr>
      <w:spacing w:after="0" w:line="240"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39"/>
    <w:rsid w:val="0031479A"/>
    <w:pPr>
      <w:tabs>
        <w:tab w:val="right" w:leader="dot" w:pos="9770"/>
      </w:tabs>
      <w:autoSpaceDN w:val="0"/>
      <w:ind w:left="284"/>
      <w:textAlignment w:val="baseline"/>
    </w:pPr>
    <w:rPr>
      <w:rFonts w:eastAsia="Calibri"/>
      <w:iCs/>
      <w:noProof/>
      <w:szCs w:val="20"/>
      <w:lang w:val="en-GB"/>
    </w:rPr>
  </w:style>
  <w:style w:type="character" w:styleId="Hyperlink">
    <w:name w:val="Hyperlink"/>
    <w:basedOn w:val="DefaultParagraphFont"/>
    <w:uiPriority w:val="99"/>
    <w:unhideWhenUsed/>
    <w:rsid w:val="00B62E3C"/>
    <w:rPr>
      <w:color w:val="0563C1"/>
      <w:u w:val="single"/>
    </w:rPr>
  </w:style>
  <w:style w:type="character" w:customStyle="1" w:styleId="ListParagraphChar">
    <w:name w:val="List Paragraph Char"/>
    <w:aliases w:val="H&amp;P List Paragraph Char,2 Char,Colorful List - Accent 11 Char,Strip Char,Colorful List - Accent 12 Char,List Paragraph1 Char,List1 Char,Akapit z listą BS Char,Normal bullet 2 Char,Bullet list Char"/>
    <w:basedOn w:val="DefaultParagraphFont"/>
    <w:link w:val="ListParagraph"/>
    <w:uiPriority w:val="34"/>
    <w:locked/>
    <w:rsid w:val="00B62E3C"/>
    <w:rPr>
      <w:rFonts w:ascii="Calibri" w:hAnsi="Calibri" w:cs="Calibri"/>
    </w:rPr>
  </w:style>
  <w:style w:type="paragraph" w:styleId="ListParagraph">
    <w:name w:val="List Paragraph"/>
    <w:aliases w:val="H&amp;P List Paragraph,2,Colorful List - Accent 11,Strip,Colorful List - Accent 12,List Paragraph1,List1,Akapit z listą BS,Normal bullet 2,Bullet list"/>
    <w:basedOn w:val="Normal"/>
    <w:link w:val="ListParagraphChar"/>
    <w:uiPriority w:val="34"/>
    <w:qFormat/>
    <w:rsid w:val="00B62E3C"/>
    <w:pPr>
      <w:numPr>
        <w:numId w:val="1"/>
      </w:numPr>
      <w:autoSpaceDN w:val="0"/>
      <w:spacing w:after="160"/>
    </w:pPr>
    <w:rPr>
      <w:sz w:val="24"/>
      <w:szCs w:val="24"/>
    </w:rPr>
  </w:style>
  <w:style w:type="numbering" w:customStyle="1" w:styleId="LFO27">
    <w:name w:val="LFO27"/>
    <w:rsid w:val="00B62E3C"/>
    <w:pPr>
      <w:numPr>
        <w:numId w:val="1"/>
      </w:numPr>
    </w:pPr>
  </w:style>
  <w:style w:type="character" w:styleId="FollowedHyperlink">
    <w:name w:val="FollowedHyperlink"/>
    <w:basedOn w:val="DefaultParagraphFont"/>
    <w:uiPriority w:val="99"/>
    <w:semiHidden/>
    <w:unhideWhenUsed/>
    <w:rsid w:val="006B1565"/>
    <w:rPr>
      <w:color w:val="954F72" w:themeColor="followedHyperlink"/>
      <w:u w:val="single"/>
    </w:rPr>
  </w:style>
  <w:style w:type="paragraph" w:customStyle="1" w:styleId="tv213">
    <w:name w:val="tv213"/>
    <w:basedOn w:val="Normal"/>
    <w:rsid w:val="00F704F6"/>
    <w:pPr>
      <w:spacing w:before="100" w:beforeAutospacing="1" w:after="100" w:afterAutospacing="1"/>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9B4D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DF0"/>
    <w:rPr>
      <w:rFonts w:ascii="Segoe UI" w:hAnsi="Segoe UI" w:cs="Segoe UI"/>
      <w:sz w:val="18"/>
      <w:szCs w:val="18"/>
    </w:rPr>
  </w:style>
  <w:style w:type="paragraph" w:customStyle="1" w:styleId="Sarakstarindkopa">
    <w:name w:val="Saraksta rindkopa"/>
    <w:basedOn w:val="Normal"/>
    <w:rsid w:val="00F36991"/>
    <w:pPr>
      <w:suppressAutoHyphens/>
      <w:autoSpaceDN w:val="0"/>
      <w:spacing w:after="160"/>
      <w:ind w:left="720"/>
      <w:jc w:val="both"/>
      <w:textAlignment w:val="baseline"/>
    </w:pPr>
    <w:rPr>
      <w:rFonts w:ascii="Times New Roman" w:eastAsia="Calibri" w:hAnsi="Times New Roman" w:cs="Times New Roman"/>
      <w:sz w:val="24"/>
      <w:lang w:val="en-GB"/>
    </w:rPr>
  </w:style>
  <w:style w:type="paragraph" w:styleId="NormalWeb">
    <w:name w:val="Normal (Web)"/>
    <w:basedOn w:val="Normal"/>
    <w:uiPriority w:val="99"/>
    <w:rsid w:val="00F36991"/>
    <w:pPr>
      <w:autoSpaceDN w:val="0"/>
      <w:spacing w:before="100" w:after="100"/>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753408"/>
    <w:pPr>
      <w:tabs>
        <w:tab w:val="center" w:pos="4513"/>
        <w:tab w:val="right" w:pos="9026"/>
      </w:tabs>
    </w:pPr>
  </w:style>
  <w:style w:type="character" w:customStyle="1" w:styleId="HeaderChar">
    <w:name w:val="Header Char"/>
    <w:basedOn w:val="DefaultParagraphFont"/>
    <w:link w:val="Header"/>
    <w:uiPriority w:val="99"/>
    <w:rsid w:val="00753408"/>
    <w:rPr>
      <w:rFonts w:ascii="Calibri" w:hAnsi="Calibri" w:cs="Calibri"/>
      <w:sz w:val="22"/>
      <w:szCs w:val="22"/>
    </w:rPr>
  </w:style>
  <w:style w:type="paragraph" w:styleId="Footer">
    <w:name w:val="footer"/>
    <w:basedOn w:val="Normal"/>
    <w:link w:val="FooterChar"/>
    <w:uiPriority w:val="99"/>
    <w:unhideWhenUsed/>
    <w:rsid w:val="00753408"/>
    <w:pPr>
      <w:tabs>
        <w:tab w:val="center" w:pos="4513"/>
        <w:tab w:val="right" w:pos="9026"/>
      </w:tabs>
    </w:pPr>
  </w:style>
  <w:style w:type="character" w:customStyle="1" w:styleId="FooterChar">
    <w:name w:val="Footer Char"/>
    <w:basedOn w:val="DefaultParagraphFont"/>
    <w:link w:val="Footer"/>
    <w:uiPriority w:val="99"/>
    <w:rsid w:val="00753408"/>
    <w:rPr>
      <w:rFonts w:ascii="Calibri" w:hAnsi="Calibri" w:cs="Calibri"/>
      <w:sz w:val="22"/>
      <w:szCs w:val="22"/>
    </w:rPr>
  </w:style>
  <w:style w:type="character" w:styleId="CommentReference">
    <w:name w:val="annotation reference"/>
    <w:basedOn w:val="DefaultParagraphFont"/>
    <w:uiPriority w:val="99"/>
    <w:semiHidden/>
    <w:unhideWhenUsed/>
    <w:rsid w:val="00052D09"/>
    <w:rPr>
      <w:sz w:val="16"/>
      <w:szCs w:val="16"/>
    </w:rPr>
  </w:style>
  <w:style w:type="paragraph" w:styleId="CommentText">
    <w:name w:val="annotation text"/>
    <w:basedOn w:val="Normal"/>
    <w:link w:val="CommentTextChar"/>
    <w:uiPriority w:val="99"/>
    <w:unhideWhenUsed/>
    <w:rsid w:val="00052D09"/>
    <w:rPr>
      <w:sz w:val="20"/>
      <w:szCs w:val="20"/>
    </w:rPr>
  </w:style>
  <w:style w:type="character" w:customStyle="1" w:styleId="CommentTextChar">
    <w:name w:val="Comment Text Char"/>
    <w:basedOn w:val="DefaultParagraphFont"/>
    <w:link w:val="CommentText"/>
    <w:uiPriority w:val="99"/>
    <w:rsid w:val="00052D0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52D09"/>
    <w:rPr>
      <w:b/>
      <w:bCs/>
    </w:rPr>
  </w:style>
  <w:style w:type="character" w:customStyle="1" w:styleId="CommentSubjectChar">
    <w:name w:val="Comment Subject Char"/>
    <w:basedOn w:val="CommentTextChar"/>
    <w:link w:val="CommentSubject"/>
    <w:uiPriority w:val="99"/>
    <w:semiHidden/>
    <w:rsid w:val="00052D09"/>
    <w:rPr>
      <w:rFonts w:ascii="Calibri" w:hAnsi="Calibri" w:cs="Calibri"/>
      <w:b/>
      <w:bCs/>
      <w:sz w:val="20"/>
      <w:szCs w:val="20"/>
    </w:rPr>
  </w:style>
  <w:style w:type="paragraph" w:styleId="FootnoteText">
    <w:name w:val="footnote text"/>
    <w:basedOn w:val="Normal"/>
    <w:link w:val="FootnoteTextChar"/>
    <w:uiPriority w:val="99"/>
    <w:semiHidden/>
    <w:unhideWhenUsed/>
    <w:rsid w:val="00DA5334"/>
    <w:rPr>
      <w:sz w:val="20"/>
      <w:szCs w:val="20"/>
    </w:rPr>
  </w:style>
  <w:style w:type="character" w:customStyle="1" w:styleId="FootnoteTextChar">
    <w:name w:val="Footnote Text Char"/>
    <w:basedOn w:val="DefaultParagraphFont"/>
    <w:link w:val="FootnoteText"/>
    <w:uiPriority w:val="99"/>
    <w:semiHidden/>
    <w:rsid w:val="00DA5334"/>
    <w:rPr>
      <w:rFonts w:ascii="Calibri" w:hAnsi="Calibri" w:cs="Calibri"/>
      <w:sz w:val="20"/>
      <w:szCs w:val="20"/>
    </w:rPr>
  </w:style>
  <w:style w:type="character" w:styleId="FootnoteReference">
    <w:name w:val="footnote reference"/>
    <w:basedOn w:val="DefaultParagraphFont"/>
    <w:uiPriority w:val="99"/>
    <w:semiHidden/>
    <w:unhideWhenUsed/>
    <w:rsid w:val="00DA5334"/>
    <w:rPr>
      <w:vertAlign w:val="superscript"/>
    </w:rPr>
  </w:style>
  <w:style w:type="character" w:styleId="Mention">
    <w:name w:val="Mention"/>
    <w:basedOn w:val="DefaultParagraphFont"/>
    <w:uiPriority w:val="99"/>
    <w:unhideWhenUsed/>
    <w:rsid w:val="00562AF4"/>
    <w:rPr>
      <w:color w:val="2B579A"/>
      <w:shd w:val="clear" w:color="auto" w:fill="E1DFDD"/>
    </w:rPr>
  </w:style>
  <w:style w:type="character" w:styleId="UnresolvedMention">
    <w:name w:val="Unresolved Mention"/>
    <w:basedOn w:val="DefaultParagraphFont"/>
    <w:uiPriority w:val="99"/>
    <w:semiHidden/>
    <w:unhideWhenUsed/>
    <w:rsid w:val="0035364C"/>
    <w:rPr>
      <w:color w:val="605E5C"/>
      <w:shd w:val="clear" w:color="auto" w:fill="E1DFDD"/>
    </w:rPr>
  </w:style>
  <w:style w:type="table" w:styleId="TableGrid">
    <w:name w:val="Table Grid"/>
    <w:basedOn w:val="TableNormal"/>
    <w:uiPriority w:val="39"/>
    <w:rsid w:val="00486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381579">
      <w:bodyDiv w:val="1"/>
      <w:marLeft w:val="0"/>
      <w:marRight w:val="0"/>
      <w:marTop w:val="0"/>
      <w:marBottom w:val="0"/>
      <w:divBdr>
        <w:top w:val="none" w:sz="0" w:space="0" w:color="auto"/>
        <w:left w:val="none" w:sz="0" w:space="0" w:color="auto"/>
        <w:bottom w:val="none" w:sz="0" w:space="0" w:color="auto"/>
        <w:right w:val="none" w:sz="0" w:space="0" w:color="auto"/>
      </w:divBdr>
      <w:divsChild>
        <w:div w:id="601912921">
          <w:marLeft w:val="0"/>
          <w:marRight w:val="0"/>
          <w:marTop w:val="0"/>
          <w:marBottom w:val="0"/>
          <w:divBdr>
            <w:top w:val="none" w:sz="0" w:space="0" w:color="auto"/>
            <w:left w:val="none" w:sz="0" w:space="0" w:color="auto"/>
            <w:bottom w:val="none" w:sz="0" w:space="0" w:color="auto"/>
            <w:right w:val="none" w:sz="0" w:space="0" w:color="auto"/>
          </w:divBdr>
        </w:div>
        <w:div w:id="613636480">
          <w:marLeft w:val="0"/>
          <w:marRight w:val="0"/>
          <w:marTop w:val="0"/>
          <w:marBottom w:val="0"/>
          <w:divBdr>
            <w:top w:val="none" w:sz="0" w:space="0" w:color="auto"/>
            <w:left w:val="none" w:sz="0" w:space="0" w:color="auto"/>
            <w:bottom w:val="none" w:sz="0" w:space="0" w:color="auto"/>
            <w:right w:val="none" w:sz="0" w:space="0" w:color="auto"/>
          </w:divBdr>
        </w:div>
        <w:div w:id="1721053409">
          <w:marLeft w:val="0"/>
          <w:marRight w:val="0"/>
          <w:marTop w:val="0"/>
          <w:marBottom w:val="0"/>
          <w:divBdr>
            <w:top w:val="none" w:sz="0" w:space="0" w:color="auto"/>
            <w:left w:val="none" w:sz="0" w:space="0" w:color="auto"/>
            <w:bottom w:val="none" w:sz="0" w:space="0" w:color="auto"/>
            <w:right w:val="none" w:sz="0" w:space="0" w:color="auto"/>
          </w:divBdr>
        </w:div>
      </w:divsChild>
    </w:div>
    <w:div w:id="1029069126">
      <w:bodyDiv w:val="1"/>
      <w:marLeft w:val="0"/>
      <w:marRight w:val="0"/>
      <w:marTop w:val="0"/>
      <w:marBottom w:val="0"/>
      <w:divBdr>
        <w:top w:val="none" w:sz="0" w:space="0" w:color="auto"/>
        <w:left w:val="none" w:sz="0" w:space="0" w:color="auto"/>
        <w:bottom w:val="none" w:sz="0" w:space="0" w:color="auto"/>
        <w:right w:val="none" w:sz="0" w:space="0" w:color="auto"/>
      </w:divBdr>
    </w:div>
    <w:div w:id="1145783082">
      <w:bodyDiv w:val="1"/>
      <w:marLeft w:val="0"/>
      <w:marRight w:val="0"/>
      <w:marTop w:val="0"/>
      <w:marBottom w:val="0"/>
      <w:divBdr>
        <w:top w:val="none" w:sz="0" w:space="0" w:color="auto"/>
        <w:left w:val="none" w:sz="0" w:space="0" w:color="auto"/>
        <w:bottom w:val="none" w:sz="0" w:space="0" w:color="auto"/>
        <w:right w:val="none" w:sz="0" w:space="0" w:color="auto"/>
      </w:divBdr>
    </w:div>
    <w:div w:id="1379620443">
      <w:bodyDiv w:val="1"/>
      <w:marLeft w:val="0"/>
      <w:marRight w:val="0"/>
      <w:marTop w:val="0"/>
      <w:marBottom w:val="0"/>
      <w:divBdr>
        <w:top w:val="none" w:sz="0" w:space="0" w:color="auto"/>
        <w:left w:val="none" w:sz="0" w:space="0" w:color="auto"/>
        <w:bottom w:val="none" w:sz="0" w:space="0" w:color="auto"/>
        <w:right w:val="none" w:sz="0" w:space="0" w:color="auto"/>
      </w:divBdr>
    </w:div>
    <w:div w:id="160264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likumi.lv/doc.php?id=266187"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7967-augstskolu-likums" TargetMode="External"/></Relationships>
</file>

<file path=word/documenttasks/documenttasks1.xml><?xml version="1.0" encoding="utf-8"?>
<t:Tasks xmlns:t="http://schemas.microsoft.com/office/tasks/2019/documenttasks" xmlns:oel="http://schemas.microsoft.com/office/2019/extlst">
  <t:Task id="{B0A8F0B4-C73E-4AF8-B76D-2E63119A18E9}">
    <t:Anchor>
      <t:Comment id="669506412"/>
    </t:Anchor>
    <t:History>
      <t:Event id="{95CEECD7-4317-45ED-AF85-590CD3F0F006}" time="2023-04-17T11:51:24.745Z">
        <t:Attribution userId="S::ilzvoi@rsu.lv::6a036024-a5a5-443c-8239-96e0ffd0c0c6" userProvider="AD" userName="Ilze Voitiņa"/>
        <t:Anchor>
          <t:Comment id="669506412"/>
        </t:Anchor>
        <t:Create/>
      </t:Event>
      <t:Event id="{2CE27808-B01B-448F-B13B-528590BA66E0}" time="2023-04-17T11:51:24.745Z">
        <t:Attribution userId="S::ilzvoi@rsu.lv::6a036024-a5a5-443c-8239-96e0ffd0c0c6" userProvider="AD" userName="Ilze Voitiņa"/>
        <t:Anchor>
          <t:Comment id="669506412"/>
        </t:Anchor>
        <t:Assign userId="S::mardau@rsu.lv::1d381d03-e2b6-47c7-87fc-880a92f17150" userProvider="AD" userName="Mārtiņš Daugulis"/>
      </t:Event>
      <t:Event id="{A1D3658E-EDE6-4730-976A-ECB5013446E6}" time="2023-04-17T11:51:24.745Z">
        <t:Attribution userId="S::ilzvoi@rsu.lv::6a036024-a5a5-443c-8239-96e0ffd0c0c6" userProvider="AD" userName="Ilze Voitiņa"/>
        <t:Anchor>
          <t:Comment id="669506412"/>
        </t:Anchor>
        <t:SetTitle title="@Mārtiņš Daugulis lūdzu aizpildīt pirmos 2 punktus, pārskatīt pielikuma info kopumā"/>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aa88e-46c6-407e-84c8-78cf5708990a" xsi:nil="true"/>
    <lcf76f155ced4ddcb4097134ff3c332f xmlns="5f074339-dcf9-4432-9008-db78946666b0">
      <Terms xmlns="http://schemas.microsoft.com/office/infopath/2007/PartnerControls"/>
    </lcf76f155ced4ddcb4097134ff3c332f>
    <SharedWithUsers xmlns="e2daa88e-46c6-407e-84c8-78cf5708990a">
      <UserInfo>
        <DisplayName/>
        <AccountId xsi:nil="true"/>
        <AccountType/>
      </UserInfo>
    </SharedWithUsers>
    <MediaLengthInSeconds xmlns="5f074339-dcf9-4432-9008-db78946666b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82971BFB21A4CAE9C17CE8EAF0A50" ma:contentTypeVersion="14" ma:contentTypeDescription="Create a new document." ma:contentTypeScope="" ma:versionID="9e2fd868e60cd40364d53cad43357075">
  <xsd:schema xmlns:xsd="http://www.w3.org/2001/XMLSchema" xmlns:xs="http://www.w3.org/2001/XMLSchema" xmlns:p="http://schemas.microsoft.com/office/2006/metadata/properties" xmlns:ns2="5f074339-dcf9-4432-9008-db78946666b0" xmlns:ns3="e2daa88e-46c6-407e-84c8-78cf5708990a" targetNamespace="http://schemas.microsoft.com/office/2006/metadata/properties" ma:root="true" ma:fieldsID="520065217d03ae8e094fca5adaaede6b" ns2:_="" ns3:_="">
    <xsd:import namespace="5f074339-dcf9-4432-9008-db78946666b0"/>
    <xsd:import namespace="e2daa88e-46c6-407e-84c8-78cf570899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74339-dcf9-4432-9008-db789466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e33c868-91b6-4098-a4a1-cbe5720a53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daa88e-46c6-407e-84c8-78cf5708990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2285714-799e-4e7b-8cae-5b041bc1691b}" ma:internalName="TaxCatchAll" ma:showField="CatchAllData" ma:web="e2daa88e-46c6-407e-84c8-78cf5708990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96445-7F76-4A0F-A740-63D9C9074D28}">
  <ds:schemaRefs>
    <ds:schemaRef ds:uri="http://schemas.microsoft.com/office/2006/metadata/properties"/>
    <ds:schemaRef ds:uri="http://schemas.microsoft.com/office/infopath/2007/PartnerControls"/>
    <ds:schemaRef ds:uri="e2daa88e-46c6-407e-84c8-78cf5708990a"/>
    <ds:schemaRef ds:uri="5f074339-dcf9-4432-9008-db78946666b0"/>
  </ds:schemaRefs>
</ds:datastoreItem>
</file>

<file path=customXml/itemProps2.xml><?xml version="1.0" encoding="utf-8"?>
<ds:datastoreItem xmlns:ds="http://schemas.openxmlformats.org/officeDocument/2006/customXml" ds:itemID="{56A92D39-F792-4ED6-8112-AD024C4DBDB3}">
  <ds:schemaRefs>
    <ds:schemaRef ds:uri="http://schemas.microsoft.com/sharepoint/v3/contenttype/forms"/>
  </ds:schemaRefs>
</ds:datastoreItem>
</file>

<file path=customXml/itemProps3.xml><?xml version="1.0" encoding="utf-8"?>
<ds:datastoreItem xmlns:ds="http://schemas.openxmlformats.org/officeDocument/2006/customXml" ds:itemID="{DCE79B07-C2E9-4188-9F0C-76CAA2524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74339-dcf9-4432-9008-db78946666b0"/>
    <ds:schemaRef ds:uri="e2daa88e-46c6-407e-84c8-78cf57089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5562</Words>
  <Characters>3171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RSU</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Alise Šnēbaha</dc:creator>
  <cp:keywords/>
  <dc:description/>
  <cp:lastModifiedBy>Admin</cp:lastModifiedBy>
  <cp:revision>15</cp:revision>
  <cp:lastPrinted>2024-04-25T11:55:00Z</cp:lastPrinted>
  <dcterms:created xsi:type="dcterms:W3CDTF">2024-05-09T15:28:00Z</dcterms:created>
  <dcterms:modified xsi:type="dcterms:W3CDTF">2024-07-08T12:10:00Z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0x0101007A682971BFB21A4CAE9C17CE8EAF0A50</vt:lpwstr>
  </property>
  <property fmtid="{D5CDD505-2E9C-101B-9397-08002B2CF9AE}" pid="3" name="Order">
    <vt:r8>31600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