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D44C91" w:rsidP="001A6313">
            <w:pPr>
              <w:jc w:val="both"/>
              <w:rPr>
                <w:rFonts w:eastAsia="Times New Roman"/>
                <w:b/>
                <w:bCs w:val="0"/>
                <w:lang w:eastAsia="lv-LV"/>
              </w:rPr>
            </w:pPr>
            <w:r w:rsidRPr="00AF1753">
              <w:rPr>
                <w:b/>
                <w:bCs w:val="0"/>
                <w:sz w:val="22"/>
                <w:szCs w:val="22"/>
              </w:rPr>
              <w:t>Ķīmisko vielu izmantošanas drošība</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3912B3" w:rsidRDefault="00D44C91" w:rsidP="001A6313">
            <w:pPr>
              <w:rPr>
                <w:sz w:val="22"/>
                <w:szCs w:val="22"/>
                <w:lang w:eastAsia="lv-LV"/>
              </w:rPr>
            </w:pPr>
            <w:r w:rsidRPr="003912B3">
              <w:rPr>
                <w:rFonts w:eastAsia="Times New Roman"/>
                <w:sz w:val="22"/>
                <w:szCs w:val="22"/>
              </w:rPr>
              <w:t>ĶīmiP005</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6E0206" w:rsidRDefault="00D44C91" w:rsidP="001A6313">
            <w:pPr>
              <w:snapToGrid w:val="0"/>
            </w:pPr>
            <w:r w:rsidRPr="006E0206">
              <w:rPr>
                <w:bCs w:val="0"/>
                <w:sz w:val="22"/>
                <w:szCs w:val="22"/>
              </w:rPr>
              <w:t>Ķīmija</w:t>
            </w:r>
          </w:p>
        </w:tc>
      </w:tr>
      <w:tr w:rsidR="00D44C91" w:rsidRPr="00026C21" w:rsidTr="001A6313">
        <w:trPr>
          <w:jc w:val="center"/>
        </w:trPr>
        <w:tc>
          <w:tcPr>
            <w:tcW w:w="4639" w:type="dxa"/>
          </w:tcPr>
          <w:p w:rsidR="00D44C91" w:rsidRPr="00026C21" w:rsidRDefault="00D44C91" w:rsidP="00D44C91">
            <w:pPr>
              <w:pStyle w:val="Nosaukumi"/>
            </w:pPr>
            <w:r w:rsidRPr="00026C21">
              <w:t>Kursa līmenis</w:t>
            </w:r>
          </w:p>
        </w:tc>
        <w:tc>
          <w:tcPr>
            <w:tcW w:w="4943" w:type="dxa"/>
            <w:shd w:val="clear" w:color="auto" w:fill="auto"/>
          </w:tcPr>
          <w:p w:rsidR="00D44C91" w:rsidRDefault="00D44C91" w:rsidP="00D44C91">
            <w:pPr>
              <w:rPr>
                <w:lang w:eastAsia="lv-LV"/>
              </w:rPr>
            </w:pPr>
          </w:p>
        </w:tc>
      </w:tr>
      <w:tr w:rsidR="00D44C91" w:rsidRPr="00026C21" w:rsidTr="001A6313">
        <w:trPr>
          <w:jc w:val="center"/>
        </w:trPr>
        <w:tc>
          <w:tcPr>
            <w:tcW w:w="4639" w:type="dxa"/>
          </w:tcPr>
          <w:p w:rsidR="00D44C91" w:rsidRPr="00026C21" w:rsidRDefault="00D44C91" w:rsidP="00D44C91">
            <w:pPr>
              <w:pStyle w:val="Nosaukumi"/>
              <w:rPr>
                <w:u w:val="single"/>
              </w:rPr>
            </w:pPr>
            <w:r w:rsidRPr="00026C21">
              <w:t>Kredītpunkti</w:t>
            </w:r>
          </w:p>
        </w:tc>
        <w:tc>
          <w:tcPr>
            <w:tcW w:w="4943" w:type="dxa"/>
            <w:vAlign w:val="center"/>
          </w:tcPr>
          <w:p w:rsidR="00D44C91" w:rsidRDefault="00D44C91" w:rsidP="00D44C91">
            <w:pPr>
              <w:rPr>
                <w:lang w:eastAsia="lv-LV"/>
              </w:rPr>
            </w:pPr>
            <w:r>
              <w:rPr>
                <w:lang w:eastAsia="lv-LV"/>
              </w:rPr>
              <w:t>2</w:t>
            </w:r>
          </w:p>
        </w:tc>
      </w:tr>
      <w:tr w:rsidR="00D44C91" w:rsidRPr="00026C21" w:rsidTr="001A6313">
        <w:trPr>
          <w:jc w:val="center"/>
        </w:trPr>
        <w:tc>
          <w:tcPr>
            <w:tcW w:w="4639" w:type="dxa"/>
          </w:tcPr>
          <w:p w:rsidR="00D44C91" w:rsidRPr="00026C21" w:rsidRDefault="00D44C91" w:rsidP="00D44C91">
            <w:pPr>
              <w:pStyle w:val="Nosaukumi"/>
              <w:rPr>
                <w:u w:val="single"/>
              </w:rPr>
            </w:pPr>
            <w:r w:rsidRPr="00026C21">
              <w:t>ECTS kredītpunkti</w:t>
            </w:r>
          </w:p>
        </w:tc>
        <w:tc>
          <w:tcPr>
            <w:tcW w:w="4943" w:type="dxa"/>
          </w:tcPr>
          <w:p w:rsidR="00D44C91" w:rsidRDefault="00D44C91" w:rsidP="00D44C91">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3912B3"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3912B3"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3912B3"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7825D8"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3912B3" w:rsidP="008D4CBD">
            <w:r w:rsidRPr="00FF4155">
              <w:t>Dr. chem., doc. Jelena Kirilova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3912B3" w:rsidP="008D4CBD">
            <w:r w:rsidRPr="00FF4155">
              <w:t>Dr. chem., doc. Jelena Kirilova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A83CDE" w:rsidRDefault="00A83CDE" w:rsidP="008D4CBD">
            <w:pPr>
              <w:snapToGrid w:val="0"/>
            </w:pPr>
            <w:r>
              <w:t>Dabaszinātnes</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A83CDE" w:rsidRDefault="008D4CBD" w:rsidP="00026C21">
            <w:pPr>
              <w:snapToGrid w:val="0"/>
            </w:pPr>
            <w:r w:rsidRPr="00A83CDE">
              <w:t xml:space="preserve">KURSA MĒRĶIS: </w:t>
            </w:r>
          </w:p>
          <w:p w:rsidR="00A83CDE" w:rsidRPr="00A83CDE" w:rsidRDefault="00A83CDE" w:rsidP="00026C21">
            <w:r w:rsidRPr="00A83CDE">
              <w:t>Attīstīt studentos aktīvo un radošu attieksmi pret mācību procesu, veidot studentiem pareizu attieksmi pret darba vidi un sniegt pamatzināšanas par ķīmiskām vielām un produktiem, kuri tiek izmantotas rūpniecībā un sadzīvē un par riska faktoriem darba vidē, to ietekmi uz organismu, drošām darba metodēm, aizsardzību un profilaksi.</w:t>
            </w:r>
          </w:p>
          <w:p w:rsidR="00A83CDE" w:rsidRPr="00A83CDE" w:rsidRDefault="00A83CDE" w:rsidP="00026C21"/>
          <w:p w:rsidR="008D4CBD" w:rsidRPr="00A83CDE" w:rsidRDefault="008D4CBD" w:rsidP="00026C21">
            <w:pPr>
              <w:suppressAutoHyphens/>
              <w:autoSpaceDE/>
              <w:autoSpaceDN/>
              <w:adjustRightInd/>
              <w:jc w:val="both"/>
            </w:pPr>
            <w:r w:rsidRPr="00A83CDE">
              <w:t xml:space="preserve">KURSA UZDEVUMI: </w:t>
            </w:r>
          </w:p>
          <w:p w:rsidR="00A83CDE" w:rsidRPr="00A83CDE" w:rsidRDefault="00A83CDE" w:rsidP="00A83CDE">
            <w:r w:rsidRPr="00A83CDE">
              <w:t xml:space="preserve">1. Iepazīstināt studējošos ar ķīmisko vielu </w:t>
            </w:r>
            <w:r w:rsidR="006858E1">
              <w:t xml:space="preserve">izmantošanas </w:t>
            </w:r>
            <w:r w:rsidRPr="00A83CDE">
              <w:t>drošību, drošības tehnikas metodēm;</w:t>
            </w:r>
          </w:p>
          <w:p w:rsidR="00A83CDE" w:rsidRPr="00A83CDE" w:rsidRDefault="00A83CDE" w:rsidP="00A83CDE">
            <w:r w:rsidRPr="00A83CDE">
              <w:t>2. Dot sistematizētas zināšanas par zinātnisko pētījumu metodēm un līdzekļiem,</w:t>
            </w:r>
          </w:p>
          <w:p w:rsidR="00A83CDE" w:rsidRPr="00A83CDE" w:rsidRDefault="00A83CDE" w:rsidP="00A83CDE">
            <w:r w:rsidRPr="00A83CDE">
              <w:t>3. Dot studējošiem izpratni par dažādo ķīmisko procesu norisi darba vidē;</w:t>
            </w:r>
          </w:p>
          <w:p w:rsidR="00A83CDE" w:rsidRPr="00A83CDE" w:rsidRDefault="00A83CDE" w:rsidP="00A83CDE">
            <w:r w:rsidRPr="00A83CDE">
              <w:t xml:space="preserve">4. Veicināt studējošo patstāvīgā darba iemaņu stiprināšanu darbam ar zinātniskās literatūras izpēti; </w:t>
            </w:r>
          </w:p>
          <w:p w:rsidR="00A83CDE" w:rsidRPr="00A83CDE" w:rsidRDefault="00A83CDE" w:rsidP="00A83CDE">
            <w:pPr>
              <w:suppressAutoHyphens/>
              <w:snapToGrid w:val="0"/>
            </w:pPr>
            <w:r w:rsidRPr="00A83CDE">
              <w:t>5. Veicināt studējošo iemaņu stiprināšanu laboratorijas darbu tehnikas apgūšanā un  darba organizācijā, plānošanā, atbilstošo metožu izvēlē, to pielietošanu profesionālajā darbībā;</w:t>
            </w:r>
          </w:p>
          <w:p w:rsidR="00A83CDE" w:rsidRPr="00A83CDE" w:rsidRDefault="00A83CDE" w:rsidP="00A83CDE">
            <w:pPr>
              <w:suppressAutoHyphens/>
              <w:snapToGrid w:val="0"/>
            </w:pPr>
            <w:r w:rsidRPr="00A83CDE">
              <w:t>6. Veicināt studējošo prāsmes analizēt mūsdienu ķīmisko vielu izmantošanas problēmas un atrast to risinājumus saskaņā ar Latvijas likumdošanu.</w:t>
            </w:r>
          </w:p>
          <w:p w:rsidR="00A83CDE" w:rsidRPr="00A83CDE" w:rsidRDefault="00A83CDE" w:rsidP="00A83CDE">
            <w:pPr>
              <w:suppressAutoHyphens/>
              <w:snapToGrid w:val="0"/>
              <w:rPr>
                <w:color w:val="0070C0"/>
              </w:rPr>
            </w:pPr>
          </w:p>
        </w:tc>
      </w:tr>
      <w:tr w:rsidR="008D4CBD" w:rsidRPr="00026C21" w:rsidTr="001A6313">
        <w:trPr>
          <w:jc w:val="center"/>
        </w:trPr>
        <w:tc>
          <w:tcPr>
            <w:tcW w:w="9582" w:type="dxa"/>
            <w:gridSpan w:val="2"/>
          </w:tcPr>
          <w:p w:rsidR="008D4CBD" w:rsidRDefault="008D4CBD" w:rsidP="008D4CBD">
            <w:pPr>
              <w:pStyle w:val="Nosaukumi"/>
            </w:pPr>
            <w:r w:rsidRPr="00026C21">
              <w:t>Studiju kursa kalendārais plāns</w:t>
            </w:r>
          </w:p>
          <w:p w:rsidR="00AF7231" w:rsidRPr="00026C21" w:rsidRDefault="00AF7231" w:rsidP="008D4CBD">
            <w:pPr>
              <w:pStyle w:val="Nosaukumi"/>
            </w:pPr>
          </w:p>
        </w:tc>
      </w:tr>
      <w:tr w:rsidR="008D4CBD" w:rsidRPr="00026C21" w:rsidTr="001A6313">
        <w:trPr>
          <w:jc w:val="center"/>
        </w:trPr>
        <w:tc>
          <w:tcPr>
            <w:tcW w:w="9582" w:type="dxa"/>
            <w:gridSpan w:val="2"/>
          </w:tcPr>
          <w:p w:rsidR="00660766" w:rsidRPr="00F808CD" w:rsidRDefault="00660766" w:rsidP="00660766">
            <w:pPr>
              <w:keepNext/>
              <w:keepLines/>
              <w:widowControl w:val="0"/>
              <w:jc w:val="both"/>
              <w:rPr>
                <w:rFonts w:eastAsia="Times New Roman"/>
                <w:bCs w:val="0"/>
                <w:iCs w:val="0"/>
                <w:color w:val="000000" w:themeColor="text1"/>
              </w:rPr>
            </w:pPr>
            <w:r w:rsidRPr="00F808CD">
              <w:rPr>
                <w:bCs w:val="0"/>
                <w:iCs w:val="0"/>
                <w:color w:val="000000" w:themeColor="text1"/>
              </w:rPr>
              <w:lastRenderedPageBreak/>
              <w:t>STUDIJU KURSA STRUKTŪRA: lekcijas (L) – 16 st.,</w:t>
            </w:r>
            <w:r>
              <w:rPr>
                <w:bCs w:val="0"/>
                <w:iCs w:val="0"/>
                <w:color w:val="000000" w:themeColor="text1"/>
              </w:rPr>
              <w:t xml:space="preserve"> </w:t>
            </w:r>
            <w:r>
              <w:t>p</w:t>
            </w:r>
            <w:r w:rsidRPr="00026C21">
              <w:t>raktisk</w:t>
            </w:r>
            <w:r>
              <w:t>ie</w:t>
            </w:r>
            <w:r w:rsidRPr="00026C21">
              <w:t xml:space="preserve"> darb</w:t>
            </w:r>
            <w:r>
              <w:t>i</w:t>
            </w:r>
            <w:r>
              <w:rPr>
                <w:bCs w:val="0"/>
                <w:iCs w:val="0"/>
                <w:color w:val="000000" w:themeColor="text1"/>
              </w:rPr>
              <w:t xml:space="preserve"> (P) – 16 st.,</w:t>
            </w:r>
            <w:r w:rsidRPr="00F808CD">
              <w:rPr>
                <w:bCs w:val="0"/>
                <w:iCs w:val="0"/>
                <w:color w:val="000000" w:themeColor="text1"/>
              </w:rPr>
              <w:t xml:space="preserve"> </w:t>
            </w:r>
            <w:r w:rsidRPr="00F808CD">
              <w:rPr>
                <w:rFonts w:eastAsia="Times New Roman"/>
                <w:bCs w:val="0"/>
                <w:iCs w:val="0"/>
                <w:color w:val="000000" w:themeColor="text1"/>
              </w:rPr>
              <w:t xml:space="preserve">studējošo patstāvīgais darbs (Pd) – </w:t>
            </w:r>
            <w:r>
              <w:rPr>
                <w:rFonts w:eastAsia="Times New Roman"/>
                <w:bCs w:val="0"/>
                <w:iCs w:val="0"/>
                <w:color w:val="000000" w:themeColor="text1"/>
              </w:rPr>
              <w:t>32</w:t>
            </w:r>
            <w:r w:rsidRPr="00F808CD">
              <w:rPr>
                <w:rFonts w:eastAsia="Times New Roman"/>
                <w:bCs w:val="0"/>
                <w:iCs w:val="0"/>
                <w:color w:val="000000" w:themeColor="text1"/>
              </w:rPr>
              <w:t xml:space="preserve"> st.</w:t>
            </w:r>
          </w:p>
          <w:p w:rsidR="00026C21" w:rsidRPr="00AF7231" w:rsidRDefault="00026C21" w:rsidP="00026C21">
            <w:pPr>
              <w:ind w:left="34"/>
              <w:jc w:val="both"/>
              <w:rPr>
                <w:i/>
                <w:color w:val="0070C0"/>
                <w:sz w:val="16"/>
                <w:szCs w:val="16"/>
                <w:lang w:eastAsia="ko-KR"/>
              </w:rPr>
            </w:pPr>
          </w:p>
          <w:p w:rsidR="006858E1" w:rsidRPr="004F79FA" w:rsidRDefault="006858E1" w:rsidP="006858E1">
            <w:pPr>
              <w:ind w:left="360"/>
            </w:pPr>
            <w:r w:rsidRPr="00C04ACD">
              <w:t>1</w:t>
            </w:r>
            <w:r w:rsidRPr="004F79FA">
              <w:t>.</w:t>
            </w:r>
            <w:r>
              <w:t xml:space="preserve"> </w:t>
            </w:r>
            <w:r w:rsidRPr="004F79FA">
              <w:t>Pamatnostādnes par ķīmiskām vielām un produktiem.</w:t>
            </w:r>
            <w:r>
              <w:t xml:space="preserve"> </w:t>
            </w:r>
            <w:r w:rsidRPr="004F79FA">
              <w:t xml:space="preserve">Ķīmisko vielu fizikālas, ķīmiskas īpašības. </w:t>
            </w:r>
            <w:r>
              <w:t>L2, P2, Pd4</w:t>
            </w:r>
            <w:r w:rsidRPr="004F79FA">
              <w:t xml:space="preserve"> </w:t>
            </w:r>
          </w:p>
          <w:p w:rsidR="006858E1" w:rsidRPr="004F79FA" w:rsidRDefault="006858E1" w:rsidP="006858E1">
            <w:pPr>
              <w:ind w:left="360"/>
            </w:pPr>
            <w:r>
              <w:t>2</w:t>
            </w:r>
            <w:r w:rsidRPr="004F79FA">
              <w:t xml:space="preserve">. Toksikoloģijas pamati. Ķīmisko vielu bīstamība; iedarbība uz cilvēku. </w:t>
            </w:r>
            <w:r>
              <w:t>L2, Pd4</w:t>
            </w:r>
          </w:p>
          <w:p w:rsidR="006858E1" w:rsidRPr="004F79FA" w:rsidRDefault="006858E1" w:rsidP="006858E1">
            <w:pPr>
              <w:ind w:left="360"/>
            </w:pPr>
            <w:r>
              <w:t>3</w:t>
            </w:r>
            <w:r w:rsidRPr="004F79FA">
              <w:t>. Ķīmisko vielu un produktu klasifikācija un marķējums. Darbs ar ķīmiskām vielām.</w:t>
            </w:r>
            <w:r>
              <w:t xml:space="preserve"> L2, P2, Pd4</w:t>
            </w:r>
          </w:p>
          <w:p w:rsidR="006858E1" w:rsidRPr="004F79FA" w:rsidRDefault="006858E1" w:rsidP="006858E1">
            <w:pPr>
              <w:ind w:left="360"/>
            </w:pPr>
            <w:r>
              <w:t>4</w:t>
            </w:r>
            <w:r w:rsidRPr="004F79FA">
              <w:t>. Ķīmisko vielu un ķīmisko produktu bīstamo īpašību noteikšanas metodes.</w:t>
            </w:r>
            <w:r>
              <w:t xml:space="preserve"> L2, P2, Pd4</w:t>
            </w:r>
          </w:p>
          <w:p w:rsidR="006858E1" w:rsidRPr="004F79FA" w:rsidRDefault="006858E1" w:rsidP="006858E1">
            <w:pPr>
              <w:ind w:left="360"/>
            </w:pPr>
            <w:r>
              <w:t>5</w:t>
            </w:r>
            <w:r w:rsidRPr="004F79FA">
              <w:t>. Metodes, ar kurām var noteikt ķīmiskās vielas daudzumu vidē vai tās emisiju.</w:t>
            </w:r>
            <w:r>
              <w:t xml:space="preserve"> L2, P4, Pd4</w:t>
            </w:r>
          </w:p>
          <w:p w:rsidR="006858E1" w:rsidRPr="004F79FA" w:rsidRDefault="006858E1" w:rsidP="006858E1">
            <w:pPr>
              <w:ind w:left="360"/>
            </w:pPr>
            <w:r>
              <w:t>6</w:t>
            </w:r>
            <w:r w:rsidRPr="004F79FA">
              <w:t xml:space="preserve">. Ķīmisko </w:t>
            </w:r>
            <w:r w:rsidR="00FB72AA">
              <w:t>vielu</w:t>
            </w:r>
            <w:r w:rsidRPr="004F79FA">
              <w:t xml:space="preserve"> darbības kontrole. Ķīmisko risku samazināšana un novērtēšana.</w:t>
            </w:r>
            <w:r>
              <w:t xml:space="preserve"> L2, </w:t>
            </w:r>
            <w:r w:rsidR="00660766">
              <w:t xml:space="preserve">P2, </w:t>
            </w:r>
            <w:r>
              <w:t>Pd4</w:t>
            </w:r>
          </w:p>
          <w:p w:rsidR="006858E1" w:rsidRPr="004F79FA" w:rsidRDefault="006858E1" w:rsidP="006858E1">
            <w:pPr>
              <w:ind w:left="360"/>
            </w:pPr>
            <w:r>
              <w:t>7</w:t>
            </w:r>
            <w:r w:rsidRPr="004F79FA">
              <w:t>. Ugunsdrošības, sprādziendrošības, darba drošības pasākumi. Neatliekamie pasākumi.</w:t>
            </w:r>
            <w:r>
              <w:t xml:space="preserve"> L2, Pd4</w:t>
            </w:r>
          </w:p>
          <w:p w:rsidR="006858E1" w:rsidRPr="00660766" w:rsidRDefault="006858E1" w:rsidP="006858E1">
            <w:pPr>
              <w:ind w:left="360"/>
            </w:pPr>
            <w:r>
              <w:t>8</w:t>
            </w:r>
            <w:r w:rsidRPr="004F79FA">
              <w:t xml:space="preserve">. </w:t>
            </w:r>
            <w:r w:rsidRPr="00660766">
              <w:t>Ķīmisko vielu un produktu datu lapu analīze. Ķīmisko risku novērtēšana darba vidē. L2, P4, Pd4</w:t>
            </w:r>
          </w:p>
          <w:p w:rsidR="008D4CBD" w:rsidRPr="00AF7231" w:rsidRDefault="008D4CBD" w:rsidP="00660766">
            <w:pPr>
              <w:spacing w:after="160" w:line="259" w:lineRule="auto"/>
              <w:rPr>
                <w:color w:val="0070C0"/>
                <w:sz w:val="16"/>
                <w:szCs w:val="16"/>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Studiju rezultāti</w:t>
            </w:r>
          </w:p>
        </w:tc>
      </w:tr>
      <w:tr w:rsidR="008D4CBD" w:rsidRPr="00026C21" w:rsidTr="001A6313">
        <w:trPr>
          <w:jc w:val="center"/>
        </w:trPr>
        <w:tc>
          <w:tcPr>
            <w:tcW w:w="9582" w:type="dxa"/>
            <w:gridSpan w:val="2"/>
          </w:tcPr>
          <w:p w:rsidR="008D4CBD" w:rsidRPr="00D1616C" w:rsidRDefault="00026C21" w:rsidP="00026C21">
            <w:pPr>
              <w:pStyle w:val="ListParagraph"/>
              <w:spacing w:after="160" w:line="259" w:lineRule="auto"/>
              <w:ind w:left="20"/>
              <w:rPr>
                <w:color w:val="auto"/>
              </w:rPr>
            </w:pPr>
            <w:r w:rsidRPr="00D1616C">
              <w:rPr>
                <w:color w:val="auto"/>
              </w:rPr>
              <w:t>ZINĀŠANAS:</w:t>
            </w:r>
          </w:p>
          <w:p w:rsidR="00660766" w:rsidRPr="00F808CD" w:rsidRDefault="00660766" w:rsidP="00660766">
            <w:pPr>
              <w:pStyle w:val="ListParagraph"/>
              <w:numPr>
                <w:ilvl w:val="0"/>
                <w:numId w:val="39"/>
              </w:numPr>
              <w:ind w:left="397" w:hanging="397"/>
              <w:jc w:val="both"/>
            </w:pPr>
            <w:r w:rsidRPr="00F808CD">
              <w:t xml:space="preserve">Pārzina </w:t>
            </w:r>
            <w:r>
              <w:t>darba</w:t>
            </w:r>
            <w:r w:rsidRPr="00F808CD">
              <w:t xml:space="preserve"> aizsardzīb</w:t>
            </w:r>
            <w:r w:rsidR="00FB72AA">
              <w:t>as principus</w:t>
            </w:r>
            <w:r w:rsidRPr="00F808CD">
              <w:t>, tās saturu un nepieciešamību.</w:t>
            </w:r>
          </w:p>
          <w:p w:rsidR="00660766" w:rsidRPr="00F808CD" w:rsidRDefault="00FB72AA" w:rsidP="00660766">
            <w:pPr>
              <w:pStyle w:val="ListParagraph"/>
              <w:numPr>
                <w:ilvl w:val="0"/>
                <w:numId w:val="39"/>
              </w:numPr>
              <w:ind w:left="397" w:hanging="397"/>
              <w:jc w:val="both"/>
            </w:pPr>
            <w:r>
              <w:t>D</w:t>
            </w:r>
            <w:r w:rsidR="00660766" w:rsidRPr="007340B6">
              <w:t xml:space="preserve">emonstrē teorētiskās zināšanas par </w:t>
            </w:r>
            <w:r>
              <w:t>ķ</w:t>
            </w:r>
            <w:r w:rsidRPr="004F79FA">
              <w:t xml:space="preserve">īmisko </w:t>
            </w:r>
            <w:r>
              <w:t>vielu</w:t>
            </w:r>
            <w:r w:rsidR="00D1616C">
              <w:t xml:space="preserve"> </w:t>
            </w:r>
            <w:r w:rsidR="00D1616C" w:rsidRPr="004F79FA">
              <w:t>klasifikācij</w:t>
            </w:r>
            <w:r w:rsidR="00D1616C">
              <w:t>u,</w:t>
            </w:r>
            <w:r>
              <w:t xml:space="preserve"> īpašībām un pielietojumu.</w:t>
            </w:r>
          </w:p>
          <w:p w:rsidR="00660766" w:rsidRDefault="00660766" w:rsidP="00660766">
            <w:pPr>
              <w:pStyle w:val="ListParagraph"/>
              <w:numPr>
                <w:ilvl w:val="0"/>
                <w:numId w:val="39"/>
              </w:numPr>
              <w:ind w:left="397" w:hanging="397"/>
              <w:jc w:val="both"/>
            </w:pPr>
            <w:r>
              <w:t>P</w:t>
            </w:r>
            <w:r w:rsidRPr="007340B6">
              <w:t xml:space="preserve">ārzina dažādu ķīmisko </w:t>
            </w:r>
            <w:r w:rsidRPr="002C45C5">
              <w:t xml:space="preserve">vielu iedarbības riska </w:t>
            </w:r>
            <w:r w:rsidRPr="00541968">
              <w:t>analīzes metodes un riska novērtējuma principus</w:t>
            </w:r>
            <w:r>
              <w:t>.</w:t>
            </w:r>
          </w:p>
          <w:p w:rsidR="00FB72AA" w:rsidRDefault="00FB72AA" w:rsidP="00660766">
            <w:pPr>
              <w:pStyle w:val="ListParagraph"/>
              <w:numPr>
                <w:ilvl w:val="0"/>
                <w:numId w:val="39"/>
              </w:numPr>
              <w:ind w:left="397" w:hanging="397"/>
              <w:jc w:val="both"/>
            </w:pPr>
            <w:r>
              <w:t>D</w:t>
            </w:r>
            <w:r w:rsidRPr="007340B6">
              <w:t>emonstrē vispusīgas faktu, teoriju un likumsakarību zināšanas par</w:t>
            </w:r>
            <w:r>
              <w:t xml:space="preserve"> ķ</w:t>
            </w:r>
            <w:r w:rsidRPr="004F79FA">
              <w:t xml:space="preserve">īmisko </w:t>
            </w:r>
            <w:r>
              <w:t>vielu</w:t>
            </w:r>
            <w:r w:rsidRPr="007340B6">
              <w:t xml:space="preserve"> </w:t>
            </w:r>
            <w:r>
              <w:t>iedarbības</w:t>
            </w:r>
            <w:r w:rsidRPr="007340B6">
              <w:t xml:space="preserve"> pētījumu metodēm</w:t>
            </w:r>
            <w:r>
              <w:t>.</w:t>
            </w:r>
          </w:p>
          <w:p w:rsidR="00660766" w:rsidRPr="00F808CD" w:rsidRDefault="00660766" w:rsidP="00660766">
            <w:pPr>
              <w:widowControl w:val="0"/>
              <w:ind w:left="37" w:hanging="397"/>
              <w:rPr>
                <w:rFonts w:eastAsia="Times New Roman"/>
                <w:bCs w:val="0"/>
                <w:iCs w:val="0"/>
                <w:color w:val="000000" w:themeColor="text1"/>
                <w:kern w:val="1"/>
              </w:rPr>
            </w:pPr>
          </w:p>
          <w:p w:rsidR="00660766" w:rsidRPr="00F808CD" w:rsidRDefault="00660766" w:rsidP="00660766">
            <w:pPr>
              <w:jc w:val="both"/>
              <w:rPr>
                <w:color w:val="000000" w:themeColor="text1"/>
              </w:rPr>
            </w:pPr>
            <w:r w:rsidRPr="00F808CD">
              <w:rPr>
                <w:color w:val="000000" w:themeColor="text1"/>
              </w:rPr>
              <w:t>PRASMES:</w:t>
            </w:r>
          </w:p>
          <w:p w:rsidR="00660766" w:rsidRPr="00F808CD" w:rsidRDefault="00660766" w:rsidP="00660766">
            <w:pPr>
              <w:pStyle w:val="ListParagraph"/>
              <w:numPr>
                <w:ilvl w:val="0"/>
                <w:numId w:val="39"/>
              </w:numPr>
              <w:ind w:left="397" w:hanging="397"/>
              <w:jc w:val="both"/>
            </w:pPr>
            <w:r w:rsidRPr="00F808CD">
              <w:t xml:space="preserve">Spēj patstāvīgi analizēt un sistematizēt informāciju par </w:t>
            </w:r>
            <w:r w:rsidR="00FB72AA">
              <w:t xml:space="preserve">darba </w:t>
            </w:r>
            <w:r w:rsidRPr="00F808CD">
              <w:t>vides stāvokli un to ietekmējošajiem faktoriem, darboties komandā dažāda mēroga problēmu un situāciju analīzē.</w:t>
            </w:r>
          </w:p>
          <w:p w:rsidR="00660766" w:rsidRPr="00F808CD" w:rsidRDefault="00660766" w:rsidP="00660766">
            <w:pPr>
              <w:pStyle w:val="ListParagraph"/>
              <w:numPr>
                <w:ilvl w:val="0"/>
                <w:numId w:val="39"/>
              </w:numPr>
              <w:ind w:left="397" w:hanging="397"/>
              <w:jc w:val="both"/>
            </w:pPr>
            <w:r w:rsidRPr="00F808CD">
              <w:t xml:space="preserve">Spēj analizēt </w:t>
            </w:r>
            <w:r w:rsidR="00D1616C">
              <w:t>ķ</w:t>
            </w:r>
            <w:r w:rsidR="00D1616C" w:rsidRPr="004F79FA">
              <w:t>īmisko risku samazināšana</w:t>
            </w:r>
            <w:r w:rsidR="00D1616C">
              <w:t>s</w:t>
            </w:r>
            <w:r w:rsidR="00D1616C" w:rsidRPr="004F79FA">
              <w:t xml:space="preserve"> un novērtēšana</w:t>
            </w:r>
            <w:r w:rsidR="00D1616C">
              <w:t xml:space="preserve">s </w:t>
            </w:r>
            <w:r w:rsidR="00AF7231">
              <w:t>pasākumus</w:t>
            </w:r>
            <w:r w:rsidR="00D1616C">
              <w:t xml:space="preserve">, </w:t>
            </w:r>
            <w:r w:rsidR="00AF7231" w:rsidRPr="007340B6">
              <w:t>to  priekšrocības un trūkumus</w:t>
            </w:r>
            <w:r w:rsidR="00AF7231">
              <w:t>.</w:t>
            </w:r>
          </w:p>
          <w:p w:rsidR="00660766" w:rsidRPr="00AF7231" w:rsidRDefault="00660766" w:rsidP="00660766">
            <w:pPr>
              <w:tabs>
                <w:tab w:val="left" w:pos="283"/>
              </w:tabs>
              <w:ind w:left="283" w:hanging="226"/>
              <w:jc w:val="both"/>
              <w:rPr>
                <w:bCs w:val="0"/>
                <w:iCs w:val="0"/>
                <w:color w:val="000000" w:themeColor="text1"/>
                <w:sz w:val="16"/>
                <w:szCs w:val="16"/>
              </w:rPr>
            </w:pPr>
          </w:p>
          <w:p w:rsidR="00660766" w:rsidRPr="00F808CD" w:rsidRDefault="00660766" w:rsidP="00660766">
            <w:pPr>
              <w:jc w:val="both"/>
              <w:rPr>
                <w:color w:val="000000" w:themeColor="text1"/>
              </w:rPr>
            </w:pPr>
            <w:r w:rsidRPr="00F808CD">
              <w:rPr>
                <w:color w:val="000000" w:themeColor="text1"/>
              </w:rPr>
              <w:t>KOMPETENCE:</w:t>
            </w:r>
          </w:p>
          <w:p w:rsidR="00660766" w:rsidRPr="00F808CD" w:rsidRDefault="00660766" w:rsidP="00660766">
            <w:pPr>
              <w:pStyle w:val="ListParagraph"/>
              <w:numPr>
                <w:ilvl w:val="0"/>
                <w:numId w:val="39"/>
              </w:numPr>
              <w:ind w:left="397" w:hanging="397"/>
              <w:jc w:val="both"/>
            </w:pPr>
            <w:r w:rsidRPr="00F808CD">
              <w:t>Spēj patstāvīgi iegūt, atlasīt un analizēt informāciju un to izmantot, pieņemt lēmumus un risināt problēmas cilvēka un da</w:t>
            </w:r>
            <w:r w:rsidR="00AF7231">
              <w:t>rba vides</w:t>
            </w:r>
            <w:r w:rsidRPr="00F808CD">
              <w:t xml:space="preserve"> mijiedarbības procesos.</w:t>
            </w:r>
          </w:p>
          <w:p w:rsidR="00660766" w:rsidRDefault="00660766" w:rsidP="00660766">
            <w:pPr>
              <w:pStyle w:val="ListParagraph"/>
              <w:numPr>
                <w:ilvl w:val="0"/>
                <w:numId w:val="39"/>
              </w:numPr>
              <w:ind w:left="397" w:hanging="397"/>
              <w:jc w:val="both"/>
            </w:pPr>
            <w:r w:rsidRPr="00F808CD">
              <w:t>Spēj izvērtēt savas darbības ietekmi uz vidi un sabiedrību.</w:t>
            </w:r>
          </w:p>
          <w:p w:rsidR="00026C21" w:rsidRDefault="00AF7231" w:rsidP="00AF7231">
            <w:pPr>
              <w:pStyle w:val="ListParagraph"/>
              <w:numPr>
                <w:ilvl w:val="0"/>
                <w:numId w:val="39"/>
              </w:numPr>
              <w:ind w:left="397" w:hanging="397"/>
              <w:jc w:val="both"/>
            </w:pPr>
            <w:r w:rsidRPr="00F808CD">
              <w:t>Spēj strādāt un komunicēt grupā, izpratni un toleranci attiecībā uz citu cilvēku pausto viedokli un viņu izteiktajām domām</w:t>
            </w:r>
            <w:r>
              <w:t>.</w:t>
            </w:r>
          </w:p>
          <w:p w:rsidR="00AF7231" w:rsidRPr="00AF7231" w:rsidRDefault="00AF7231" w:rsidP="00AF7231">
            <w:pPr>
              <w:pStyle w:val="ListParagraph"/>
              <w:ind w:left="397"/>
              <w:jc w:val="both"/>
              <w:rPr>
                <w:sz w:val="16"/>
                <w:szCs w:val="16"/>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AF7231" w:rsidRDefault="00AF7231" w:rsidP="00AF7231">
            <w:r w:rsidRPr="00B846E9">
              <w:t xml:space="preserve">Studējošo darbs tiek organizēts individuāli un grupās, patstāvīgi sagatavojoties </w:t>
            </w:r>
            <w:r>
              <w:t xml:space="preserve">praktiskiem </w:t>
            </w:r>
            <w:r w:rsidRPr="00CE15D9">
              <w:t>darbiem</w:t>
            </w:r>
            <w:r>
              <w:t>.</w:t>
            </w:r>
          </w:p>
          <w:p w:rsidR="00AF7231" w:rsidRPr="002356D0" w:rsidRDefault="00AF7231" w:rsidP="00AF7231">
            <w:r w:rsidRPr="00C07DEE">
              <w:t>Pirms katras nodarbības studējošie ie</w:t>
            </w:r>
            <w:r w:rsidRPr="002356D0">
              <w:t>pazīstas ar nodarbības tematu un atbilstošo zinātnisko un mācību literatūru.</w:t>
            </w:r>
          </w:p>
          <w:p w:rsidR="00AF7231" w:rsidRPr="005F5AAD" w:rsidRDefault="00AF7231" w:rsidP="00AF7231">
            <w:r w:rsidRPr="00C07DEE">
              <w:t>Patstāvīgais darbs paredzēts pēc katra</w:t>
            </w:r>
            <w:r w:rsidRPr="002356D0">
              <w:t xml:space="preserve">s lekcijas un ir saistīts ar lekcijas tēmu padziļinātu analīzi. Patstāvīgā darba ietvaros tiek veikta literatūras avotu analīze. </w:t>
            </w:r>
            <w:r w:rsidRPr="005F5AAD">
              <w:t xml:space="preserve">Studējošie patstāvīgā darba ietvaros gatavojas kursa starppārbaudījumiem (2 kontroldarbi) un noslēguma pārbaudījumam. </w:t>
            </w:r>
          </w:p>
          <w:p w:rsidR="00AF7231" w:rsidRPr="00B866D3" w:rsidRDefault="00AF7231" w:rsidP="00AF7231">
            <w:pPr>
              <w:rPr>
                <w:sz w:val="16"/>
                <w:szCs w:val="16"/>
              </w:rPr>
            </w:pPr>
          </w:p>
          <w:p w:rsidR="00AF7231" w:rsidRPr="005F5AAD" w:rsidRDefault="00AF7231" w:rsidP="00AF7231">
            <w:r w:rsidRPr="00C07DEE">
              <w:t xml:space="preserve">1. kontroldarbs. </w:t>
            </w:r>
            <w:r w:rsidRPr="004F79FA">
              <w:t>Ķīmisko vielu un produktu marķējums</w:t>
            </w:r>
            <w:r w:rsidRPr="005F5AAD">
              <w:t xml:space="preserve">. </w:t>
            </w:r>
          </w:p>
          <w:p w:rsidR="00026C21" w:rsidRPr="00026C21" w:rsidRDefault="00AF7231" w:rsidP="00AF7231">
            <w:pPr>
              <w:spacing w:after="160" w:line="259" w:lineRule="auto"/>
            </w:pPr>
            <w:r w:rsidRPr="00C07DEE">
              <w:t>2. kontroldarbs.</w:t>
            </w:r>
            <w:r w:rsidRPr="005F5AAD">
              <w:t xml:space="preserve"> </w:t>
            </w:r>
            <w:r w:rsidRPr="004F79FA">
              <w:t>Ķīmisko vielu un produktu datu lapu analīze</w:t>
            </w:r>
            <w:r w:rsidRPr="00A166F9">
              <w:t xml:space="preserve">. </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8D4CBD" w:rsidRDefault="008D4CBD" w:rsidP="008D4CBD">
            <w:pPr>
              <w:rPr>
                <w:color w:val="0070C0"/>
              </w:rPr>
            </w:pPr>
          </w:p>
          <w:p w:rsidR="00962EAE" w:rsidRPr="00F808CD" w:rsidRDefault="00962EAE" w:rsidP="00962EAE">
            <w:pPr>
              <w:jc w:val="both"/>
              <w:rPr>
                <w:color w:val="000000" w:themeColor="text1"/>
              </w:rPr>
            </w:pPr>
            <w:r w:rsidRPr="00F808CD">
              <w:rPr>
                <w:rFonts w:eastAsia="Times New Roman"/>
                <w:bCs w:val="0"/>
                <w:iCs w:val="0"/>
                <w:color w:val="000000" w:themeColor="text1"/>
              </w:rPr>
              <w:t>Studiju kursa vērtējums veidojas no starppārbaudījum</w:t>
            </w:r>
            <w:r>
              <w:rPr>
                <w:rFonts w:eastAsia="Times New Roman"/>
                <w:bCs w:val="0"/>
                <w:iCs w:val="0"/>
                <w:color w:val="000000" w:themeColor="text1"/>
              </w:rPr>
              <w:t xml:space="preserve">iem (2 </w:t>
            </w:r>
            <w:r w:rsidRPr="008C614E">
              <w:t>kontroldarbi</w:t>
            </w:r>
            <w:r>
              <w:t>)</w:t>
            </w:r>
            <w:r w:rsidRPr="00F808CD">
              <w:rPr>
                <w:rFonts w:eastAsia="Times New Roman"/>
                <w:bCs w:val="0"/>
                <w:iCs w:val="0"/>
                <w:color w:val="000000" w:themeColor="text1"/>
              </w:rPr>
              <w:t xml:space="preserve"> un noslēguma pārbaudījuma par kursa ietvaros apgūto informāciju.</w:t>
            </w:r>
            <w:r w:rsidRPr="00F808CD">
              <w:rPr>
                <w:color w:val="000000" w:themeColor="text1"/>
              </w:rPr>
              <w:t xml:space="preserve"> </w:t>
            </w:r>
          </w:p>
          <w:p w:rsidR="00B866D3" w:rsidRDefault="00B866D3" w:rsidP="00B866D3"/>
          <w:p w:rsidR="00B866D3" w:rsidRPr="009B5EB2" w:rsidRDefault="00B866D3" w:rsidP="00B866D3">
            <w:r w:rsidRPr="00FC78B9">
              <w:t>S</w:t>
            </w:r>
            <w:r w:rsidRPr="009B5EB2">
              <w:t xml:space="preserve">tudējošo prasmes un kompetences tiek novērtētas </w:t>
            </w:r>
            <w:r>
              <w:t>praktiskos</w:t>
            </w:r>
            <w:r w:rsidRPr="009B5EB2">
              <w:t xml:space="preserve"> darbos.</w:t>
            </w:r>
            <w:r w:rsidR="00962EAE">
              <w:t xml:space="preserve"> </w:t>
            </w:r>
            <w:r w:rsidRPr="00FC78B9">
              <w:t xml:space="preserve">Studējošie apgūst prasmes: sagatavot </w:t>
            </w:r>
            <w:r>
              <w:t>praktiska</w:t>
            </w:r>
            <w:r w:rsidRPr="00FC78B9">
              <w:t xml:space="preserve"> darba teorētisko pamatojumu, individuāli un kolektīvi</w:t>
            </w:r>
            <w:r w:rsidRPr="009B5EB2">
              <w:t xml:space="preserve"> </w:t>
            </w:r>
            <w:r>
              <w:t>izpildīt uzdevumus</w:t>
            </w:r>
            <w:r w:rsidRPr="009B5EB2">
              <w:t xml:space="preserve">, </w:t>
            </w:r>
            <w:r>
              <w:t xml:space="preserve">analizēt </w:t>
            </w:r>
            <w:r w:rsidRPr="009B5EB2">
              <w:t xml:space="preserve">iegūtos rezultātus, salīdzināt ar literatūras datiem. </w:t>
            </w:r>
          </w:p>
          <w:p w:rsidR="00B866D3" w:rsidRPr="009B5EB2" w:rsidRDefault="00B866D3" w:rsidP="00B866D3">
            <w:r w:rsidRPr="00FC78B9">
              <w:t xml:space="preserve"> </w:t>
            </w:r>
          </w:p>
          <w:p w:rsidR="00B866D3" w:rsidRPr="009B5EB2" w:rsidRDefault="00B866D3" w:rsidP="00B866D3">
            <w:r w:rsidRPr="008C614E">
              <w:t xml:space="preserve">Summatīvā zināšanu un kompetenču vērtēšana kontroldarbos. Obligāti ir sekmīgi jāuzraksta visi kontroldarbi. </w:t>
            </w:r>
            <w:r w:rsidR="00962EAE">
              <w:t xml:space="preserve"> </w:t>
            </w:r>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rsidR="00B866D3" w:rsidRPr="008C614E" w:rsidRDefault="00B866D3" w:rsidP="00B866D3"/>
          <w:p w:rsidR="00B866D3" w:rsidRPr="002356D0" w:rsidRDefault="00B866D3" w:rsidP="00B866D3">
            <w:r w:rsidRPr="00D801AD">
              <w:t xml:space="preserve">Gala vērtējumu par studiju kursu nosaka vidējais vērtējums par </w:t>
            </w:r>
            <w:r w:rsidR="00962EAE">
              <w:t>praktisku</w:t>
            </w:r>
            <w:r w:rsidRPr="009B5EB2">
              <w:t xml:space="preserve"> darbu </w:t>
            </w:r>
            <w:r w:rsidR="00962EAE">
              <w:t xml:space="preserve">izpildi </w:t>
            </w:r>
            <w:r w:rsidRPr="009B5EB2">
              <w:t>(</w:t>
            </w:r>
            <w:r w:rsidR="00962EAE">
              <w:t>4</w:t>
            </w:r>
            <w:r w:rsidRPr="009B5EB2">
              <w:t>0%) un atbildes eksāmenā (</w:t>
            </w:r>
            <w:r w:rsidR="00962EAE">
              <w:t>6</w:t>
            </w:r>
            <w:r w:rsidRPr="009B5EB2">
              <w:t>0%).</w:t>
            </w:r>
            <w:r>
              <w:t xml:space="preserve"> </w:t>
            </w:r>
            <w:r w:rsidRPr="0048087E">
              <w:t>Studiju kursa noslēguma pārbaudījums</w:t>
            </w:r>
            <w:r w:rsidRPr="002356D0">
              <w:t xml:space="preserve"> - rakstisks eksāmens. </w:t>
            </w:r>
          </w:p>
          <w:p w:rsidR="00B866D3" w:rsidRDefault="00B866D3" w:rsidP="00B866D3">
            <w:r>
              <w:t>Pie</w:t>
            </w:r>
            <w:r w:rsidRPr="002356D0">
              <w:t xml:space="preserve"> eksāmena kārtošanas tiek pielaisti tikai tie studējošie, kas ir nokārtojuši </w:t>
            </w:r>
            <w:r>
              <w:t>divus</w:t>
            </w:r>
            <w:r w:rsidRPr="002356D0">
              <w:t xml:space="preserve"> kontroldarbus</w:t>
            </w:r>
            <w:r w:rsidR="00962EAE">
              <w:t>.</w:t>
            </w:r>
          </w:p>
          <w:p w:rsidR="00026C21" w:rsidRDefault="00026C21" w:rsidP="008D4CBD">
            <w:pPr>
              <w:rPr>
                <w:color w:val="0070C0"/>
              </w:rPr>
            </w:pPr>
          </w:p>
          <w:p w:rsidR="008D4CBD" w:rsidRPr="00BC5823" w:rsidRDefault="008D4CBD" w:rsidP="008D4CBD">
            <w:r w:rsidRPr="00BC5823">
              <w:t>STUDIJU REZULTĀTU VĒRTĒŠANAS KRITĒRIJI</w:t>
            </w:r>
          </w:p>
          <w:p w:rsidR="008D4CBD" w:rsidRPr="00BC5823" w:rsidRDefault="008D4CBD" w:rsidP="008D4CBD"/>
          <w:p w:rsidR="008D4CBD" w:rsidRPr="00BC5823" w:rsidRDefault="008D4CBD" w:rsidP="008D4CBD">
            <w:pPr>
              <w:rPr>
                <w:rFonts w:eastAsia="Times New Roman"/>
              </w:rPr>
            </w:pPr>
            <w:r w:rsidRPr="00BC5823">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BC5823" w:rsidRDefault="008D4CBD" w:rsidP="008D4CBD"/>
          <w:p w:rsidR="00962EAE" w:rsidRPr="00AC1670" w:rsidRDefault="00962EAE" w:rsidP="00962EAE">
            <w:r w:rsidRPr="00C816D9">
              <w:t>STUDIJU REZULTĀTU VĒRTĒŠANA</w:t>
            </w:r>
          </w:p>
          <w:p w:rsidR="00962EAE" w:rsidRDefault="00962EAE" w:rsidP="00962EAE"/>
          <w:tbl>
            <w:tblPr>
              <w:tblW w:w="7604" w:type="dxa"/>
              <w:jc w:val="center"/>
              <w:tblCellMar>
                <w:left w:w="10" w:type="dxa"/>
                <w:right w:w="10" w:type="dxa"/>
              </w:tblCellMar>
              <w:tblLook w:val="04A0" w:firstRow="1" w:lastRow="0" w:firstColumn="1" w:lastColumn="0" w:noHBand="0" w:noVBand="1"/>
            </w:tblPr>
            <w:tblGrid>
              <w:gridCol w:w="1993"/>
              <w:gridCol w:w="613"/>
              <w:gridCol w:w="630"/>
              <w:gridCol w:w="630"/>
              <w:gridCol w:w="540"/>
              <w:gridCol w:w="630"/>
              <w:gridCol w:w="540"/>
              <w:gridCol w:w="630"/>
              <w:gridCol w:w="720"/>
              <w:gridCol w:w="678"/>
            </w:tblGrid>
            <w:tr w:rsidR="00F73095" w:rsidRPr="00026C21" w:rsidTr="005C7E67">
              <w:trPr>
                <w:jc w:val="center"/>
              </w:trPr>
              <w:tc>
                <w:tcPr>
                  <w:tcW w:w="19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Pārbaudījumu veidi</w:t>
                  </w:r>
                </w:p>
              </w:tc>
              <w:tc>
                <w:tcPr>
                  <w:tcW w:w="5611"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A849CC">
                    <w:t>Studiju rezultāti</w:t>
                  </w:r>
                </w:p>
              </w:tc>
            </w:tr>
            <w:tr w:rsidR="00F73095" w:rsidRPr="00026C21" w:rsidTr="005C7E67">
              <w:trPr>
                <w:jc w:val="center"/>
              </w:trPr>
              <w:tc>
                <w:tcPr>
                  <w:tcW w:w="1993" w:type="dxa"/>
                  <w:vMerge/>
                  <w:tcBorders>
                    <w:top w:val="single" w:sz="4" w:space="0" w:color="000000"/>
                    <w:left w:val="single" w:sz="4" w:space="0" w:color="000000"/>
                    <w:bottom w:val="single" w:sz="4" w:space="0" w:color="000000"/>
                    <w:right w:val="single" w:sz="4" w:space="0" w:color="000000"/>
                  </w:tcBorders>
                  <w:vAlign w:val="center"/>
                  <w:hideMark/>
                </w:tcPr>
                <w:p w:rsidR="00F73095" w:rsidRPr="00C816D9" w:rsidRDefault="00F73095" w:rsidP="00F73095"/>
              </w:tc>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1.</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2.</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3.</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4.</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5.</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3095" w:rsidRPr="00AC1670" w:rsidRDefault="00F73095" w:rsidP="00F73095">
                  <w:r w:rsidRPr="00C816D9">
                    <w:t>6.</w:t>
                  </w:r>
                </w:p>
              </w:tc>
              <w:tc>
                <w:tcPr>
                  <w:tcW w:w="630" w:type="dxa"/>
                  <w:tcBorders>
                    <w:top w:val="single" w:sz="4" w:space="0" w:color="000000"/>
                    <w:left w:val="single" w:sz="4" w:space="0" w:color="000000"/>
                    <w:bottom w:val="single" w:sz="4" w:space="0" w:color="000000"/>
                    <w:right w:val="single" w:sz="4" w:space="0" w:color="000000"/>
                  </w:tcBorders>
                </w:tcPr>
                <w:p w:rsidR="00F73095" w:rsidRPr="00AC1670" w:rsidRDefault="00F73095" w:rsidP="00F73095">
                  <w:r>
                    <w:t>7.</w:t>
                  </w:r>
                </w:p>
              </w:tc>
              <w:tc>
                <w:tcPr>
                  <w:tcW w:w="720" w:type="dxa"/>
                  <w:tcBorders>
                    <w:top w:val="single" w:sz="4" w:space="0" w:color="000000"/>
                    <w:left w:val="single" w:sz="4" w:space="0" w:color="000000"/>
                    <w:bottom w:val="single" w:sz="4" w:space="0" w:color="000000"/>
                    <w:right w:val="single" w:sz="4" w:space="0" w:color="000000"/>
                  </w:tcBorders>
                </w:tcPr>
                <w:p w:rsidR="00F73095" w:rsidRPr="00AC1670" w:rsidRDefault="00F73095" w:rsidP="00F73095">
                  <w:r>
                    <w:t>8.</w:t>
                  </w:r>
                </w:p>
              </w:tc>
              <w:tc>
                <w:tcPr>
                  <w:tcW w:w="678" w:type="dxa"/>
                  <w:tcBorders>
                    <w:top w:val="single" w:sz="4" w:space="0" w:color="000000"/>
                    <w:left w:val="single" w:sz="4" w:space="0" w:color="000000"/>
                    <w:bottom w:val="single" w:sz="4" w:space="0" w:color="000000"/>
                    <w:right w:val="single" w:sz="4" w:space="0" w:color="000000"/>
                  </w:tcBorders>
                </w:tcPr>
                <w:p w:rsidR="00F73095" w:rsidRPr="00AC1670" w:rsidRDefault="00F73095" w:rsidP="00F73095">
                  <w:r>
                    <w:t>9.</w:t>
                  </w:r>
                </w:p>
              </w:tc>
            </w:tr>
            <w:tr w:rsidR="00F73095" w:rsidRPr="00026C21" w:rsidTr="005C7E67">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73095" w:rsidRPr="00AC1670" w:rsidRDefault="00F73095" w:rsidP="00F73095">
                  <w:r w:rsidRPr="00C816D9">
                    <w:t>1.</w:t>
                  </w:r>
                  <w:r w:rsidRPr="00AC1670">
                    <w:t>kontroldarbs</w:t>
                  </w:r>
                </w:p>
              </w:tc>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c>
                <w:tcPr>
                  <w:tcW w:w="720" w:type="dxa"/>
                  <w:tcBorders>
                    <w:top w:val="single" w:sz="4" w:space="0" w:color="000000"/>
                    <w:left w:val="single" w:sz="4" w:space="0" w:color="000000"/>
                    <w:bottom w:val="single" w:sz="4" w:space="0" w:color="000000"/>
                    <w:right w:val="single" w:sz="4" w:space="0" w:color="000000"/>
                  </w:tcBorders>
                </w:tcPr>
                <w:p w:rsidR="00F73095" w:rsidRPr="00F808CD" w:rsidRDefault="00F73095" w:rsidP="00F73095">
                  <w:pPr>
                    <w:jc w:val="center"/>
                    <w:rPr>
                      <w:color w:val="000000" w:themeColor="text1"/>
                    </w:rPr>
                  </w:pPr>
                  <w:r w:rsidRPr="00F808CD">
                    <w:rPr>
                      <w:color w:val="000000" w:themeColor="text1"/>
                    </w:rPr>
                    <w:t>+</w:t>
                  </w:r>
                </w:p>
              </w:tc>
              <w:tc>
                <w:tcPr>
                  <w:tcW w:w="678"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r>
            <w:tr w:rsidR="00F73095" w:rsidRPr="00026C21" w:rsidTr="005C7E67">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3095" w:rsidRPr="00AC1670" w:rsidRDefault="00F73095" w:rsidP="00F73095">
                  <w:r w:rsidRPr="00C816D9">
                    <w:t>2.</w:t>
                  </w:r>
                  <w:r w:rsidRPr="00AC1670">
                    <w:t>kontroldarbs</w:t>
                  </w:r>
                </w:p>
              </w:tc>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c>
                <w:tcPr>
                  <w:tcW w:w="720" w:type="dxa"/>
                  <w:tcBorders>
                    <w:top w:val="single" w:sz="4" w:space="0" w:color="000000"/>
                    <w:left w:val="single" w:sz="4" w:space="0" w:color="000000"/>
                    <w:bottom w:val="single" w:sz="4" w:space="0" w:color="000000"/>
                    <w:right w:val="single" w:sz="4" w:space="0" w:color="000000"/>
                  </w:tcBorders>
                </w:tcPr>
                <w:p w:rsidR="00F73095" w:rsidRPr="00F808CD" w:rsidRDefault="00F73095" w:rsidP="00F73095">
                  <w:pPr>
                    <w:jc w:val="center"/>
                    <w:rPr>
                      <w:color w:val="000000" w:themeColor="text1"/>
                    </w:rPr>
                  </w:pPr>
                  <w:r w:rsidRPr="00F808CD">
                    <w:rPr>
                      <w:color w:val="000000" w:themeColor="text1"/>
                    </w:rPr>
                    <w:t>+</w:t>
                  </w:r>
                </w:p>
              </w:tc>
              <w:tc>
                <w:tcPr>
                  <w:tcW w:w="678"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r>
            <w:tr w:rsidR="00F73095" w:rsidRPr="00026C21" w:rsidTr="005C7E67">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3095" w:rsidRPr="00AC1670" w:rsidRDefault="00F73095" w:rsidP="00F73095">
                  <w:r>
                    <w:t>Eksāmens</w:t>
                  </w:r>
                </w:p>
              </w:tc>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73095" w:rsidRPr="00F808CD" w:rsidRDefault="00F73095" w:rsidP="00F73095">
                  <w:pPr>
                    <w:jc w:val="center"/>
                    <w:rPr>
                      <w:color w:val="000000" w:themeColor="text1"/>
                    </w:rPr>
                  </w:pPr>
                  <w:r w:rsidRPr="00F808CD">
                    <w:rPr>
                      <w:color w:val="000000" w:themeColor="text1"/>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c>
                <w:tcPr>
                  <w:tcW w:w="720" w:type="dxa"/>
                  <w:tcBorders>
                    <w:top w:val="single" w:sz="4" w:space="0" w:color="000000"/>
                    <w:left w:val="single" w:sz="4" w:space="0" w:color="000000"/>
                    <w:bottom w:val="single" w:sz="4" w:space="0" w:color="000000"/>
                    <w:right w:val="single" w:sz="4" w:space="0" w:color="000000"/>
                  </w:tcBorders>
                </w:tcPr>
                <w:p w:rsidR="00F73095" w:rsidRPr="00F808CD" w:rsidRDefault="00F73095" w:rsidP="00F73095">
                  <w:pPr>
                    <w:jc w:val="center"/>
                    <w:rPr>
                      <w:color w:val="000000" w:themeColor="text1"/>
                    </w:rPr>
                  </w:pPr>
                  <w:r w:rsidRPr="00F808CD">
                    <w:rPr>
                      <w:color w:val="000000" w:themeColor="text1"/>
                    </w:rPr>
                    <w:t>+</w:t>
                  </w:r>
                </w:p>
              </w:tc>
              <w:tc>
                <w:tcPr>
                  <w:tcW w:w="678" w:type="dxa"/>
                  <w:tcBorders>
                    <w:top w:val="single" w:sz="4" w:space="0" w:color="000000"/>
                    <w:left w:val="single" w:sz="4" w:space="0" w:color="000000"/>
                    <w:bottom w:val="single" w:sz="4" w:space="0" w:color="000000"/>
                    <w:right w:val="single" w:sz="4" w:space="0" w:color="000000"/>
                  </w:tcBorders>
                  <w:vAlign w:val="center"/>
                </w:tcPr>
                <w:p w:rsidR="00F73095" w:rsidRPr="00F808CD" w:rsidRDefault="00F73095" w:rsidP="00F73095">
                  <w:pPr>
                    <w:jc w:val="center"/>
                    <w:rPr>
                      <w:color w:val="000000" w:themeColor="text1"/>
                    </w:rPr>
                  </w:pPr>
                  <w:r w:rsidRPr="00F808CD">
                    <w:rPr>
                      <w:color w:val="000000" w:themeColor="text1"/>
                    </w:rPr>
                    <w:t>+</w:t>
                  </w:r>
                </w:p>
              </w:tc>
            </w:tr>
          </w:tbl>
          <w:p w:rsidR="008D4CBD" w:rsidRPr="00F73095" w:rsidRDefault="008D4CBD" w:rsidP="008D4CBD">
            <w:pPr>
              <w:textAlignment w:val="baseline"/>
              <w:rPr>
                <w:bCs w:val="0"/>
                <w:iCs w:val="0"/>
                <w:color w:val="0070C0"/>
                <w:sz w:val="16"/>
                <w:szCs w:val="16"/>
              </w:rPr>
            </w:pPr>
          </w:p>
          <w:p w:rsidR="00F73095" w:rsidRPr="00026C21" w:rsidRDefault="00F73095"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Kursa saturs</w:t>
            </w:r>
          </w:p>
        </w:tc>
      </w:tr>
      <w:tr w:rsidR="00026C21" w:rsidRPr="00026C21" w:rsidTr="001A6313">
        <w:trPr>
          <w:jc w:val="center"/>
        </w:trPr>
        <w:tc>
          <w:tcPr>
            <w:tcW w:w="9582" w:type="dxa"/>
            <w:gridSpan w:val="2"/>
          </w:tcPr>
          <w:p w:rsidR="00F73095" w:rsidRDefault="00F73095" w:rsidP="00F73095">
            <w:pPr>
              <w:rPr>
                <w:sz w:val="22"/>
                <w:szCs w:val="22"/>
              </w:rPr>
            </w:pPr>
            <w:r w:rsidRPr="00A36196">
              <w:rPr>
                <w:sz w:val="22"/>
                <w:szCs w:val="22"/>
              </w:rPr>
              <w:t xml:space="preserve">Kursa struktūra: lekcijas -  </w:t>
            </w:r>
            <w:r>
              <w:rPr>
                <w:sz w:val="22"/>
                <w:szCs w:val="22"/>
              </w:rPr>
              <w:t>16</w:t>
            </w:r>
            <w:r w:rsidRPr="00A36196">
              <w:rPr>
                <w:sz w:val="22"/>
                <w:szCs w:val="22"/>
              </w:rPr>
              <w:t xml:space="preserve"> st., </w:t>
            </w:r>
            <w:r>
              <w:rPr>
                <w:sz w:val="22"/>
                <w:szCs w:val="22"/>
              </w:rPr>
              <w:t>praktiskie</w:t>
            </w:r>
            <w:r w:rsidRPr="00A36196">
              <w:rPr>
                <w:sz w:val="22"/>
                <w:szCs w:val="22"/>
              </w:rPr>
              <w:t xml:space="preserve"> darbi – </w:t>
            </w:r>
            <w:r>
              <w:rPr>
                <w:sz w:val="22"/>
                <w:szCs w:val="22"/>
              </w:rPr>
              <w:t>16</w:t>
            </w:r>
            <w:r w:rsidRPr="00A36196">
              <w:rPr>
                <w:sz w:val="22"/>
                <w:szCs w:val="22"/>
              </w:rPr>
              <w:t xml:space="preserve"> st.</w:t>
            </w:r>
            <w:r>
              <w:rPr>
                <w:sz w:val="22"/>
                <w:szCs w:val="22"/>
              </w:rPr>
              <w:t xml:space="preserve">, </w:t>
            </w:r>
            <w:r w:rsidRPr="00026C21">
              <w:rPr>
                <w:lang w:eastAsia="lv-LV"/>
              </w:rPr>
              <w:t>patstāvīg</w:t>
            </w:r>
            <w:r>
              <w:rPr>
                <w:lang w:eastAsia="lv-LV"/>
              </w:rPr>
              <w:t>ais</w:t>
            </w:r>
            <w:r w:rsidRPr="00026C21">
              <w:rPr>
                <w:lang w:eastAsia="lv-LV"/>
              </w:rPr>
              <w:t xml:space="preserve"> darb</w:t>
            </w:r>
            <w:r>
              <w:rPr>
                <w:lang w:eastAsia="lv-LV"/>
              </w:rPr>
              <w:t xml:space="preserve">s </w:t>
            </w:r>
            <w:r>
              <w:rPr>
                <w:sz w:val="22"/>
                <w:szCs w:val="22"/>
              </w:rPr>
              <w:t>32</w:t>
            </w:r>
            <w:r w:rsidRPr="00A36196">
              <w:rPr>
                <w:sz w:val="22"/>
                <w:szCs w:val="22"/>
              </w:rPr>
              <w:t xml:space="preserve"> st</w:t>
            </w:r>
            <w:r>
              <w:rPr>
                <w:sz w:val="22"/>
                <w:szCs w:val="22"/>
              </w:rPr>
              <w:t>.</w:t>
            </w:r>
          </w:p>
          <w:p w:rsidR="00026C21" w:rsidRPr="00026C21" w:rsidRDefault="00026C21" w:rsidP="00026C21">
            <w:pPr>
              <w:ind w:left="34"/>
              <w:jc w:val="both"/>
              <w:rPr>
                <w:i/>
                <w:color w:val="0070C0"/>
                <w:lang w:eastAsia="ko-KR"/>
              </w:rPr>
            </w:pPr>
          </w:p>
          <w:p w:rsidR="00F73095" w:rsidRPr="00437057" w:rsidRDefault="00F73095" w:rsidP="00F73095">
            <w:pPr>
              <w:rPr>
                <w:b/>
              </w:rPr>
            </w:pPr>
            <w:r w:rsidRPr="00437057">
              <w:rPr>
                <w:b/>
              </w:rPr>
              <w:t xml:space="preserve">Lekcijas: </w:t>
            </w:r>
          </w:p>
          <w:p w:rsidR="00F73095" w:rsidRPr="00AF1753" w:rsidRDefault="00F73095" w:rsidP="00F73095">
            <w:pPr>
              <w:rPr>
                <w:sz w:val="8"/>
                <w:szCs w:val="8"/>
              </w:rPr>
            </w:pPr>
          </w:p>
          <w:p w:rsidR="00F73095" w:rsidRPr="004F79FA" w:rsidRDefault="00F73095" w:rsidP="00F73095">
            <w:pPr>
              <w:ind w:left="360"/>
            </w:pPr>
            <w:r w:rsidRPr="00C04ACD">
              <w:t>1</w:t>
            </w:r>
            <w:r w:rsidRPr="004F79FA">
              <w:t>.</w:t>
            </w:r>
            <w:r>
              <w:t xml:space="preserve"> </w:t>
            </w:r>
            <w:r w:rsidRPr="004F79FA">
              <w:t>Pamatnostādnes par ķīmiskām vielām un produktiem.</w:t>
            </w:r>
            <w:r>
              <w:t xml:space="preserve"> </w:t>
            </w:r>
            <w:r w:rsidRPr="004F79FA">
              <w:t xml:space="preserve">Ķīmisko vielu fizikālas, ķīmiskas īpašības. </w:t>
            </w:r>
            <w:r>
              <w:t>L2, Pd</w:t>
            </w:r>
            <w:r w:rsidR="004407F4">
              <w:t>2</w:t>
            </w:r>
            <w:r w:rsidRPr="004F79FA">
              <w:t xml:space="preserve"> </w:t>
            </w:r>
          </w:p>
          <w:p w:rsidR="00F73095" w:rsidRPr="004F79FA" w:rsidRDefault="00F73095" w:rsidP="00F73095">
            <w:pPr>
              <w:ind w:left="360"/>
            </w:pPr>
            <w:r>
              <w:t>2</w:t>
            </w:r>
            <w:r w:rsidRPr="004F79FA">
              <w:t xml:space="preserve">. Toksikoloģijas pamati. Ķīmisko vielu bīstamība; iedarbība uz cilvēku. </w:t>
            </w:r>
            <w:r>
              <w:t>L2, Pd</w:t>
            </w:r>
            <w:r w:rsidR="004407F4">
              <w:t>2</w:t>
            </w:r>
          </w:p>
          <w:p w:rsidR="00F73095" w:rsidRPr="004F79FA" w:rsidRDefault="00F73095" w:rsidP="00F73095">
            <w:pPr>
              <w:ind w:left="360"/>
            </w:pPr>
            <w:r>
              <w:t>3</w:t>
            </w:r>
            <w:r w:rsidRPr="004F79FA">
              <w:t>. Ķīmisko vielu un produktu klasifikācija un marķējums. Darbs ar ķīmiskām vielām.</w:t>
            </w:r>
            <w:r>
              <w:t xml:space="preserve"> L2, Pd</w:t>
            </w:r>
            <w:r w:rsidR="004407F4">
              <w:t>2</w:t>
            </w:r>
          </w:p>
          <w:p w:rsidR="00F73095" w:rsidRPr="004F79FA" w:rsidRDefault="00F73095" w:rsidP="00F73095">
            <w:pPr>
              <w:ind w:left="360"/>
            </w:pPr>
            <w:r>
              <w:t>4</w:t>
            </w:r>
            <w:r w:rsidRPr="004F79FA">
              <w:t>. Ķīmisko vielu un ķīmisko produktu bīstamo īpašību noteikšanas metodes.</w:t>
            </w:r>
            <w:r>
              <w:t xml:space="preserve"> L2, Pd</w:t>
            </w:r>
            <w:r w:rsidR="004407F4">
              <w:t>2</w:t>
            </w:r>
          </w:p>
          <w:p w:rsidR="00F73095" w:rsidRPr="004F79FA" w:rsidRDefault="00F73095" w:rsidP="00F73095">
            <w:pPr>
              <w:ind w:left="360"/>
            </w:pPr>
            <w:r>
              <w:t>5</w:t>
            </w:r>
            <w:r w:rsidRPr="004F79FA">
              <w:t>. Metodes, ar kurām var noteikt ķīmiskās vielas daudzumu vidē vai tās emisiju.</w:t>
            </w:r>
            <w:r>
              <w:t xml:space="preserve"> L2, Pd</w:t>
            </w:r>
            <w:r w:rsidR="004407F4">
              <w:t>2</w:t>
            </w:r>
          </w:p>
          <w:p w:rsidR="00F73095" w:rsidRPr="004F79FA" w:rsidRDefault="00F73095" w:rsidP="00F73095">
            <w:pPr>
              <w:ind w:left="360"/>
            </w:pPr>
            <w:r>
              <w:t>6</w:t>
            </w:r>
            <w:r w:rsidRPr="004F79FA">
              <w:t xml:space="preserve">. Ķīmisko </w:t>
            </w:r>
            <w:r>
              <w:t>vielu</w:t>
            </w:r>
            <w:r w:rsidRPr="004F79FA">
              <w:t xml:space="preserve"> darbības kontrole. Ķīmisko risku samazināšana un novērtēšana.</w:t>
            </w:r>
            <w:r>
              <w:t xml:space="preserve"> L2, Pd</w:t>
            </w:r>
            <w:r w:rsidR="004407F4">
              <w:t>2</w:t>
            </w:r>
          </w:p>
          <w:p w:rsidR="00F73095" w:rsidRPr="004F79FA" w:rsidRDefault="00F73095" w:rsidP="00F73095">
            <w:pPr>
              <w:ind w:left="360"/>
            </w:pPr>
            <w:r>
              <w:t>7</w:t>
            </w:r>
            <w:r w:rsidRPr="004F79FA">
              <w:t>. Ugunsdrošības, sprādziendrošības, darba drošības pasākumi. Neatliekamie pasākumi.</w:t>
            </w:r>
            <w:r>
              <w:t xml:space="preserve"> L2, Pd</w:t>
            </w:r>
            <w:r w:rsidR="004407F4">
              <w:t>2</w:t>
            </w:r>
          </w:p>
          <w:p w:rsidR="00F73095" w:rsidRPr="00660766" w:rsidRDefault="00F73095" w:rsidP="00F73095">
            <w:pPr>
              <w:ind w:left="360"/>
            </w:pPr>
            <w:r>
              <w:lastRenderedPageBreak/>
              <w:t>8</w:t>
            </w:r>
            <w:r w:rsidRPr="004F79FA">
              <w:t xml:space="preserve">. </w:t>
            </w:r>
            <w:r w:rsidRPr="00660766">
              <w:t>Ķīmisko vielu un produktu datu lapu analīze. Ķīmisko risku novērtēšana darba vidē. L2, Pd</w:t>
            </w:r>
            <w:r w:rsidR="004407F4">
              <w:t>2</w:t>
            </w:r>
          </w:p>
          <w:p w:rsidR="00F73095" w:rsidRPr="00C04ACD" w:rsidRDefault="00F73095" w:rsidP="00F73095"/>
          <w:p w:rsidR="00F73095" w:rsidRPr="00681612" w:rsidRDefault="00F73095" w:rsidP="00F73095">
            <w:pPr>
              <w:rPr>
                <w:b/>
              </w:rPr>
            </w:pPr>
            <w:r>
              <w:rPr>
                <w:b/>
              </w:rPr>
              <w:t>P</w:t>
            </w:r>
            <w:r w:rsidRPr="00437057">
              <w:rPr>
                <w:b/>
              </w:rPr>
              <w:t>raktisk</w:t>
            </w:r>
            <w:r>
              <w:rPr>
                <w:b/>
              </w:rPr>
              <w:t>ie</w:t>
            </w:r>
            <w:r w:rsidRPr="00437057">
              <w:rPr>
                <w:b/>
              </w:rPr>
              <w:t xml:space="preserve"> darb</w:t>
            </w:r>
            <w:r>
              <w:rPr>
                <w:b/>
              </w:rPr>
              <w:t>i:</w:t>
            </w:r>
          </w:p>
          <w:p w:rsidR="004407F4" w:rsidRDefault="004407F4" w:rsidP="00F73095">
            <w:pPr>
              <w:pStyle w:val="ListParagraph"/>
              <w:numPr>
                <w:ilvl w:val="0"/>
                <w:numId w:val="42"/>
              </w:numPr>
            </w:pPr>
            <w:r w:rsidRPr="004F79FA">
              <w:t>Ķīmisko vielu īpašības</w:t>
            </w:r>
            <w:r>
              <w:t xml:space="preserve"> un to </w:t>
            </w:r>
            <w:r w:rsidRPr="004F79FA">
              <w:t>noteikšanas metodes.</w:t>
            </w:r>
            <w:r>
              <w:t xml:space="preserve"> </w:t>
            </w:r>
            <w:r w:rsidRPr="00660766">
              <w:t>P4, Pd</w:t>
            </w:r>
            <w:r>
              <w:t>4</w:t>
            </w:r>
          </w:p>
          <w:p w:rsidR="004407F4" w:rsidRDefault="00F73095" w:rsidP="004407F4">
            <w:pPr>
              <w:pStyle w:val="ListParagraph"/>
              <w:numPr>
                <w:ilvl w:val="0"/>
                <w:numId w:val="42"/>
              </w:numPr>
            </w:pPr>
            <w:r w:rsidRPr="00681612">
              <w:t>Darbs ar ķīmiskam  vielām un produktiem saskaņā ar to marķējumu.</w:t>
            </w:r>
            <w:r w:rsidR="004407F4">
              <w:t xml:space="preserve"> </w:t>
            </w:r>
            <w:r w:rsidR="004407F4" w:rsidRPr="00660766">
              <w:t>P4, Pd4</w:t>
            </w:r>
          </w:p>
          <w:p w:rsidR="00F73095" w:rsidRDefault="004407F4" w:rsidP="004407F4">
            <w:pPr>
              <w:pStyle w:val="ListParagraph"/>
              <w:numPr>
                <w:ilvl w:val="0"/>
                <w:numId w:val="42"/>
              </w:numPr>
            </w:pPr>
            <w:r w:rsidRPr="004F79FA">
              <w:t>Ķīmisko risku samazināšana un novērtēšana</w:t>
            </w:r>
            <w:r>
              <w:t>.</w:t>
            </w:r>
            <w:r w:rsidR="00F73095">
              <w:t xml:space="preserve"> </w:t>
            </w:r>
            <w:r w:rsidRPr="00660766">
              <w:t>P4, Pd4</w:t>
            </w:r>
          </w:p>
          <w:p w:rsidR="00026C21" w:rsidRPr="006E0206" w:rsidRDefault="004407F4" w:rsidP="006E0206">
            <w:pPr>
              <w:pStyle w:val="ListParagraph"/>
              <w:numPr>
                <w:ilvl w:val="0"/>
                <w:numId w:val="42"/>
              </w:numPr>
            </w:pPr>
            <w:r w:rsidRPr="00681612">
              <w:t xml:space="preserve">Ķīmisko vielu un produktu </w:t>
            </w:r>
            <w:r w:rsidR="00F73095" w:rsidRPr="00681612">
              <w:t>datu lap</w:t>
            </w:r>
            <w:r>
              <w:t>as</w:t>
            </w:r>
            <w:r w:rsidR="00F73095" w:rsidRPr="00681612">
              <w:t>.</w:t>
            </w:r>
            <w:r w:rsidR="00F73095">
              <w:t xml:space="preserve"> </w:t>
            </w:r>
            <w:r w:rsidRPr="00660766">
              <w:t>P4, Pd4</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Obligāti izmantojamie informācijas avoti</w:t>
            </w:r>
          </w:p>
        </w:tc>
      </w:tr>
      <w:tr w:rsidR="00026C21" w:rsidRPr="00026C21" w:rsidTr="001A6313">
        <w:trPr>
          <w:jc w:val="center"/>
        </w:trPr>
        <w:tc>
          <w:tcPr>
            <w:tcW w:w="9582" w:type="dxa"/>
            <w:gridSpan w:val="2"/>
          </w:tcPr>
          <w:p w:rsidR="00E83337" w:rsidRPr="00170ED5" w:rsidRDefault="00E83337" w:rsidP="001D2D7F">
            <w:pPr>
              <w:pStyle w:val="BodyText"/>
              <w:numPr>
                <w:ilvl w:val="0"/>
                <w:numId w:val="40"/>
              </w:numPr>
              <w:tabs>
                <w:tab w:val="left" w:pos="675"/>
                <w:tab w:val="num" w:pos="702"/>
                <w:tab w:val="left" w:pos="895"/>
              </w:tabs>
              <w:autoSpaceDN/>
              <w:spacing w:after="0"/>
              <w:ind w:left="648"/>
              <w:jc w:val="both"/>
              <w:textAlignment w:val="auto"/>
              <w:rPr>
                <w:rFonts w:ascii="Times New Roman" w:hAnsi="Times New Roman"/>
                <w:sz w:val="24"/>
                <w:szCs w:val="24"/>
                <w:lang w:val="lv-LV"/>
              </w:rPr>
            </w:pPr>
            <w:r w:rsidRPr="00E83337">
              <w:rPr>
                <w:rFonts w:ascii="Times New Roman" w:hAnsi="Times New Roman"/>
                <w:lang w:val="lv-LV"/>
              </w:rPr>
              <w:t>A.</w:t>
            </w:r>
            <w:r>
              <w:rPr>
                <w:rFonts w:ascii="Times New Roman" w:hAnsi="Times New Roman"/>
                <w:lang w:val="lv-LV"/>
              </w:rPr>
              <w:t xml:space="preserve"> </w:t>
            </w:r>
            <w:r w:rsidRPr="00170ED5">
              <w:rPr>
                <w:rFonts w:ascii="Times New Roman" w:hAnsi="Times New Roman"/>
                <w:lang w:val="lv-LV"/>
              </w:rPr>
              <w:t xml:space="preserve">Rauhvargers. </w:t>
            </w:r>
            <w:r w:rsidRPr="00170ED5">
              <w:rPr>
                <w:rFonts w:ascii="Times New Roman" w:hAnsi="Times New Roman"/>
                <w:sz w:val="24"/>
                <w:szCs w:val="24"/>
                <w:lang w:val="lv-LV"/>
              </w:rPr>
              <w:t xml:space="preserve">Vispārīgā ķīmija.- Rīga: Zinātne, 1996. 383 lpp. </w:t>
            </w:r>
          </w:p>
          <w:p w:rsidR="00170ED5" w:rsidRPr="00170ED5" w:rsidRDefault="00170ED5" w:rsidP="001D2D7F">
            <w:pPr>
              <w:pStyle w:val="BodyText"/>
              <w:numPr>
                <w:ilvl w:val="0"/>
                <w:numId w:val="40"/>
              </w:numPr>
              <w:tabs>
                <w:tab w:val="left" w:pos="675"/>
                <w:tab w:val="num" w:pos="702"/>
                <w:tab w:val="left" w:pos="895"/>
              </w:tabs>
              <w:autoSpaceDN/>
              <w:spacing w:after="0"/>
              <w:ind w:left="648"/>
              <w:jc w:val="both"/>
              <w:textAlignment w:val="auto"/>
              <w:rPr>
                <w:rFonts w:ascii="Times New Roman" w:hAnsi="Times New Roman"/>
                <w:sz w:val="24"/>
                <w:szCs w:val="24"/>
                <w:lang w:val="lv-LV"/>
              </w:rPr>
            </w:pPr>
            <w:r w:rsidRPr="00170ED5">
              <w:rPr>
                <w:rFonts w:ascii="Times New Roman" w:hAnsi="Times New Roman"/>
                <w:sz w:val="24"/>
                <w:szCs w:val="24"/>
                <w:lang w:val="lv-LV"/>
              </w:rPr>
              <w:t>V.  Liguts</w:t>
            </w:r>
            <w:r>
              <w:rPr>
                <w:rFonts w:ascii="Times New Roman" w:hAnsi="Times New Roman"/>
                <w:sz w:val="24"/>
                <w:szCs w:val="24"/>
                <w:lang w:val="lv-LV"/>
              </w:rPr>
              <w:t>.</w:t>
            </w:r>
            <w:r w:rsidRPr="00170ED5">
              <w:rPr>
                <w:rFonts w:ascii="Times New Roman" w:hAnsi="Times New Roman"/>
                <w:sz w:val="24"/>
                <w:szCs w:val="24"/>
                <w:lang w:val="lv-LV"/>
              </w:rPr>
              <w:t xml:space="preserve"> Toksikoloģijas rokasgrāmata / Viesturs Liguts. - Rīga: Nacionālais medicīnas apgāds,</w:t>
            </w:r>
            <w:r>
              <w:rPr>
                <w:rFonts w:ascii="Times New Roman" w:hAnsi="Times New Roman"/>
                <w:sz w:val="24"/>
                <w:szCs w:val="24"/>
                <w:lang w:val="lv-LV"/>
              </w:rPr>
              <w:t xml:space="preserve"> </w:t>
            </w:r>
            <w:r w:rsidRPr="00170ED5">
              <w:rPr>
                <w:rFonts w:ascii="Times New Roman" w:hAnsi="Times New Roman"/>
                <w:sz w:val="24"/>
                <w:szCs w:val="24"/>
                <w:lang w:val="lv-LV"/>
              </w:rPr>
              <w:t>2001. 1070 lpp.</w:t>
            </w:r>
          </w:p>
          <w:p w:rsidR="00E83337" w:rsidRPr="00170ED5" w:rsidRDefault="00E83337" w:rsidP="001D2D7F">
            <w:pPr>
              <w:numPr>
                <w:ilvl w:val="0"/>
                <w:numId w:val="40"/>
              </w:numPr>
              <w:tabs>
                <w:tab w:val="left" w:pos="675"/>
                <w:tab w:val="left" w:pos="895"/>
              </w:tabs>
              <w:autoSpaceDE/>
              <w:autoSpaceDN/>
              <w:adjustRightInd/>
              <w:ind w:left="648"/>
              <w:jc w:val="both"/>
            </w:pPr>
            <w:r w:rsidRPr="00170ED5">
              <w:t>Ievads ķīmisko vielu un produktu pārvaldībā: Buklets tapis sadarbībā ar Latvijas Ķīmijas un farmācijas uzņēmumu asociācijas ekspertu grupu un Latvijas Vides aģentūru. - Rīga: Latvijas Standarts, 2003. 52 lpp.</w:t>
            </w:r>
          </w:p>
          <w:p w:rsidR="00026C21" w:rsidRPr="00026C21" w:rsidRDefault="00E83337" w:rsidP="006E0206">
            <w:pPr>
              <w:numPr>
                <w:ilvl w:val="0"/>
                <w:numId w:val="40"/>
              </w:numPr>
              <w:tabs>
                <w:tab w:val="left" w:pos="675"/>
                <w:tab w:val="left" w:pos="895"/>
              </w:tabs>
              <w:autoSpaceDE/>
              <w:autoSpaceDN/>
              <w:adjustRightInd/>
              <w:ind w:left="648"/>
              <w:jc w:val="both"/>
            </w:pPr>
            <w:r>
              <w:t xml:space="preserve">V. Kaļķis. </w:t>
            </w:r>
            <w:r w:rsidRPr="00E83337">
              <w:t>Arodveselība un riski darbā</w:t>
            </w:r>
            <w:r>
              <w:t>.- Rīga: Medicīnas apgāds, 2015. 533 lpp.</w:t>
            </w:r>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170ED5" w:rsidRDefault="00170ED5" w:rsidP="001D2D7F">
            <w:pPr>
              <w:pStyle w:val="ListParagraph"/>
              <w:numPr>
                <w:ilvl w:val="3"/>
                <w:numId w:val="40"/>
              </w:numPr>
              <w:spacing w:after="160" w:line="259" w:lineRule="auto"/>
              <w:ind w:left="648"/>
            </w:pPr>
            <w:r>
              <w:t xml:space="preserve">V. Kaļķis. </w:t>
            </w:r>
            <w:r w:rsidRPr="00E83337">
              <w:t>Darba vides risku novērtēšanas metodes</w:t>
            </w:r>
            <w:r>
              <w:t>. Latvijas Izglītības fonds, 2008. 242 lpp.</w:t>
            </w:r>
          </w:p>
          <w:p w:rsidR="00026C21" w:rsidRDefault="001D2D7F" w:rsidP="001D2D7F">
            <w:pPr>
              <w:pStyle w:val="ListParagraph"/>
              <w:numPr>
                <w:ilvl w:val="3"/>
                <w:numId w:val="40"/>
              </w:numPr>
              <w:spacing w:after="160" w:line="259" w:lineRule="auto"/>
              <w:ind w:left="648"/>
            </w:pPr>
            <w:r w:rsidRPr="00056D86">
              <w:t>Darba vides riska faktori un strādājošo veselības aizsardzība. V. Kaļķa un Ž. Rojas red. Rīga, Elpa-2, 2001, 500 lpp.</w:t>
            </w:r>
          </w:p>
          <w:p w:rsidR="001D2D7F" w:rsidRDefault="00170ED5" w:rsidP="001D2D7F">
            <w:pPr>
              <w:pStyle w:val="ListParagraph"/>
              <w:numPr>
                <w:ilvl w:val="3"/>
                <w:numId w:val="40"/>
              </w:numPr>
              <w:spacing w:after="160" w:line="259" w:lineRule="auto"/>
              <w:ind w:left="648"/>
            </w:pPr>
            <w:r w:rsidRPr="00EE588C">
              <w:t>An introduction to interdisciplinary toxicology: from molecules to man/ edited by Carey N. Pope, Jing Liu. - Cambridge: Academic Press; Elsevier, 2020. -  624 p.</w:t>
            </w:r>
          </w:p>
          <w:p w:rsidR="00170ED5" w:rsidRPr="00026C21" w:rsidRDefault="00170ED5" w:rsidP="001D2D7F">
            <w:pPr>
              <w:pStyle w:val="ListParagraph"/>
              <w:numPr>
                <w:ilvl w:val="3"/>
                <w:numId w:val="40"/>
              </w:numPr>
              <w:spacing w:after="160" w:line="259" w:lineRule="auto"/>
              <w:ind w:left="648"/>
            </w:pPr>
            <w:r w:rsidRPr="00EE588C">
              <w:t>Principles of Toxicology</w:t>
            </w:r>
            <w:r>
              <w:t xml:space="preserve"> </w:t>
            </w:r>
            <w:r w:rsidRPr="00EE588C">
              <w:t>: Environmental and Industrial Applications / Ed.by Phillip L.Williams et al. - 2nd ed. - New York : John Wiley &amp; Sons,INC, 2000. - 603 p.</w:t>
            </w:r>
          </w:p>
        </w:tc>
      </w:tr>
      <w:tr w:rsidR="008D4CBD" w:rsidRPr="00026C21" w:rsidTr="001A6313">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1A6313">
        <w:trPr>
          <w:jc w:val="center"/>
        </w:trPr>
        <w:tc>
          <w:tcPr>
            <w:tcW w:w="9582" w:type="dxa"/>
            <w:gridSpan w:val="2"/>
          </w:tcPr>
          <w:p w:rsidR="00660766" w:rsidRPr="00F07056" w:rsidRDefault="00660766" w:rsidP="00660766">
            <w:pPr>
              <w:pStyle w:val="BodyTextIndent2"/>
              <w:tabs>
                <w:tab w:val="left" w:pos="315"/>
                <w:tab w:val="num" w:pos="855"/>
                <w:tab w:val="num" w:pos="1080"/>
              </w:tabs>
              <w:spacing w:after="0" w:line="240" w:lineRule="auto"/>
              <w:ind w:left="288" w:hanging="29"/>
            </w:pPr>
            <w:r w:rsidRPr="00F07056">
              <w:t xml:space="preserve">1. LR MK noteikumi un standarti darba aizsardzības jomā: www.vdi.gov.lv; www.osha.lv </w:t>
            </w:r>
          </w:p>
          <w:p w:rsidR="00660766" w:rsidRPr="00F07056" w:rsidRDefault="00660766" w:rsidP="00660766">
            <w:pPr>
              <w:pStyle w:val="BodyTextIndent2"/>
              <w:tabs>
                <w:tab w:val="left" w:pos="315"/>
                <w:tab w:val="num" w:pos="855"/>
                <w:tab w:val="num" w:pos="1080"/>
              </w:tabs>
              <w:spacing w:after="0" w:line="240" w:lineRule="auto"/>
              <w:ind w:left="288" w:hanging="29"/>
            </w:pPr>
            <w:r w:rsidRPr="00F07056">
              <w:t xml:space="preserve">2. Eiropas darba drošības un veselības attīstības aģentūra: www.osha.lv </w:t>
            </w:r>
          </w:p>
          <w:p w:rsidR="00660766" w:rsidRDefault="00660766" w:rsidP="00660766">
            <w:pPr>
              <w:pStyle w:val="BodyTextIndent2"/>
              <w:tabs>
                <w:tab w:val="left" w:pos="315"/>
                <w:tab w:val="num" w:pos="855"/>
                <w:tab w:val="num" w:pos="1080"/>
              </w:tabs>
              <w:spacing w:after="0" w:line="240" w:lineRule="auto"/>
              <w:ind w:left="288" w:hanging="29"/>
            </w:pPr>
            <w:r w:rsidRPr="00F07056">
              <w:t xml:space="preserve">3. NIOSH (National Institute for Occupational Safety and Health, USA): </w:t>
            </w:r>
            <w:hyperlink r:id="rId8" w:history="1">
              <w:r w:rsidRPr="00952D43">
                <w:rPr>
                  <w:rStyle w:val="Hyperlink"/>
                </w:rPr>
                <w:t>http://www.cdc.gov/niosh/homepage.html</w:t>
              </w:r>
            </w:hyperlink>
          </w:p>
          <w:p w:rsidR="00660766" w:rsidRDefault="00660766" w:rsidP="00660766">
            <w:pPr>
              <w:pStyle w:val="BodyTextIndent2"/>
              <w:tabs>
                <w:tab w:val="left" w:pos="315"/>
                <w:tab w:val="num" w:pos="855"/>
                <w:tab w:val="num" w:pos="1080"/>
              </w:tabs>
              <w:spacing w:after="0" w:line="240" w:lineRule="auto"/>
              <w:ind w:left="288" w:hanging="31"/>
            </w:pPr>
            <w:r w:rsidRPr="00F07056">
              <w:t xml:space="preserve">4. WHO/Europa (World health Organization) Regional Office for Europe: </w:t>
            </w:r>
            <w:hyperlink r:id="rId9" w:history="1">
              <w:r w:rsidRPr="00952D43">
                <w:rPr>
                  <w:rStyle w:val="Hyperlink"/>
                </w:rPr>
                <w:t>http://www.who.dk/</w:t>
              </w:r>
            </w:hyperlink>
          </w:p>
          <w:p w:rsidR="00660766" w:rsidRDefault="00660766" w:rsidP="00660766">
            <w:pPr>
              <w:ind w:left="288"/>
            </w:pPr>
            <w:r>
              <w:t xml:space="preserve">5. </w:t>
            </w:r>
            <w:r w:rsidRPr="00F07056">
              <w:t xml:space="preserve">European Commission Health and Safety: </w:t>
            </w:r>
          </w:p>
          <w:p w:rsidR="00660766" w:rsidRPr="00026C21" w:rsidRDefault="00000000" w:rsidP="006E0206">
            <w:pPr>
              <w:pStyle w:val="BodyTextIndent2"/>
              <w:tabs>
                <w:tab w:val="left" w:pos="315"/>
                <w:tab w:val="num" w:pos="855"/>
                <w:tab w:val="num" w:pos="1080"/>
              </w:tabs>
              <w:spacing w:after="0" w:line="240" w:lineRule="auto"/>
              <w:ind w:left="288" w:hanging="31"/>
            </w:pPr>
            <w:hyperlink r:id="rId10" w:history="1">
              <w:r w:rsidR="00660766" w:rsidRPr="00952D43">
                <w:rPr>
                  <w:rStyle w:val="Hyperlink"/>
                </w:rPr>
                <w:t>http://europa.eu.int/comm/index_en.htm</w:t>
              </w:r>
            </w:hyperlink>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8D4CBD" w:rsidRPr="006E0206" w:rsidRDefault="00026C21" w:rsidP="008D4CBD">
            <w:r w:rsidRPr="006E0206">
              <w:t>Profesionālās augstākās izglītības studiju programmas “</w:t>
            </w:r>
            <w:r w:rsidR="00660766" w:rsidRPr="006E0206">
              <w:t>Darba aizsardzība</w:t>
            </w:r>
            <w:r w:rsidRPr="006E0206">
              <w:t>” studiju kurss</w:t>
            </w:r>
          </w:p>
          <w:p w:rsidR="008D4CBD" w:rsidRPr="00026C21" w:rsidRDefault="008D4CBD" w:rsidP="008D4CBD">
            <w:pPr>
              <w:rPr>
                <w:color w:val="0070C0"/>
              </w:rPr>
            </w:pPr>
            <w:r w:rsidRPr="006E0206">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E31D3B">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167C" w:rsidRDefault="005E167C" w:rsidP="001B4907">
      <w:r>
        <w:separator/>
      </w:r>
    </w:p>
  </w:endnote>
  <w:endnote w:type="continuationSeparator" w:id="0">
    <w:p w:rsidR="005E167C" w:rsidRDefault="005E167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167C" w:rsidRDefault="005E167C" w:rsidP="001B4907">
      <w:r>
        <w:separator/>
      </w:r>
    </w:p>
  </w:footnote>
  <w:footnote w:type="continuationSeparator" w:id="0">
    <w:p w:rsidR="005E167C" w:rsidRDefault="005E167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08E4" w:rsidRDefault="008C08E4" w:rsidP="007534EA">
    <w:pPr>
      <w:pStyle w:val="Header"/>
    </w:pPr>
  </w:p>
  <w:p w:rsidR="008C08E4" w:rsidRPr="007B1FB4" w:rsidRDefault="008C08E4" w:rsidP="007534EA">
    <w:pPr>
      <w:pStyle w:val="Header"/>
    </w:pPr>
  </w:p>
  <w:p w:rsidR="008C08E4" w:rsidRPr="00D66CC2" w:rsidRDefault="008C08E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74EE3"/>
    <w:multiLevelType w:val="hybridMultilevel"/>
    <w:tmpl w:val="92961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AE41FEB"/>
    <w:multiLevelType w:val="hybridMultilevel"/>
    <w:tmpl w:val="8A043856"/>
    <w:lvl w:ilvl="0" w:tplc="2C9CACBA">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47E50E1"/>
    <w:multiLevelType w:val="hybridMultilevel"/>
    <w:tmpl w:val="3872D452"/>
    <w:name w:val="Numbered list 1"/>
    <w:lvl w:ilvl="0" w:tplc="F3909284">
      <w:start w:val="1"/>
      <w:numFmt w:val="decimal"/>
      <w:lvlText w:val="%1."/>
      <w:lvlJc w:val="left"/>
      <w:pPr>
        <w:ind w:left="360" w:firstLine="0"/>
      </w:pPr>
    </w:lvl>
    <w:lvl w:ilvl="1" w:tplc="6E343994">
      <w:start w:val="1"/>
      <w:numFmt w:val="lowerLetter"/>
      <w:lvlText w:val="%2."/>
      <w:lvlJc w:val="left"/>
      <w:pPr>
        <w:ind w:left="1080" w:firstLine="0"/>
      </w:pPr>
    </w:lvl>
    <w:lvl w:ilvl="2" w:tplc="2A381156">
      <w:start w:val="1"/>
      <w:numFmt w:val="lowerRoman"/>
      <w:lvlText w:val="%3."/>
      <w:lvlJc w:val="left"/>
      <w:pPr>
        <w:ind w:left="1980" w:firstLine="0"/>
      </w:pPr>
    </w:lvl>
    <w:lvl w:ilvl="3" w:tplc="588EC94A">
      <w:start w:val="1"/>
      <w:numFmt w:val="decimal"/>
      <w:lvlText w:val="%4."/>
      <w:lvlJc w:val="left"/>
      <w:pPr>
        <w:ind w:left="2520" w:firstLine="0"/>
      </w:pPr>
    </w:lvl>
    <w:lvl w:ilvl="4" w:tplc="C03AEAD4">
      <w:start w:val="1"/>
      <w:numFmt w:val="lowerLetter"/>
      <w:lvlText w:val="%5."/>
      <w:lvlJc w:val="left"/>
      <w:pPr>
        <w:ind w:left="3240" w:firstLine="0"/>
      </w:pPr>
    </w:lvl>
    <w:lvl w:ilvl="5" w:tplc="62745F68">
      <w:start w:val="1"/>
      <w:numFmt w:val="lowerRoman"/>
      <w:lvlText w:val="%6."/>
      <w:lvlJc w:val="left"/>
      <w:pPr>
        <w:ind w:left="4140" w:firstLine="0"/>
      </w:pPr>
    </w:lvl>
    <w:lvl w:ilvl="6" w:tplc="ABD829EA">
      <w:start w:val="1"/>
      <w:numFmt w:val="decimal"/>
      <w:lvlText w:val="%7."/>
      <w:lvlJc w:val="left"/>
      <w:pPr>
        <w:ind w:left="4680" w:firstLine="0"/>
      </w:pPr>
    </w:lvl>
    <w:lvl w:ilvl="7" w:tplc="758C1848">
      <w:start w:val="1"/>
      <w:numFmt w:val="lowerLetter"/>
      <w:lvlText w:val="%8."/>
      <w:lvlJc w:val="left"/>
      <w:pPr>
        <w:ind w:left="5400" w:firstLine="0"/>
      </w:pPr>
    </w:lvl>
    <w:lvl w:ilvl="8" w:tplc="D194AB96">
      <w:start w:val="1"/>
      <w:numFmt w:val="lowerRoman"/>
      <w:lvlText w:val="%9."/>
      <w:lvlJc w:val="left"/>
      <w:pPr>
        <w:ind w:left="6300" w:firstLine="0"/>
      </w:p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4E2C404D"/>
    <w:multiLevelType w:val="hybridMultilevel"/>
    <w:tmpl w:val="1FDC9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96B2207"/>
    <w:multiLevelType w:val="hybridMultilevel"/>
    <w:tmpl w:val="8ED639EA"/>
    <w:lvl w:ilvl="0" w:tplc="A03CC5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423988533">
    <w:abstractNumId w:val="35"/>
  </w:num>
  <w:num w:numId="2" w16cid:durableId="1174800319">
    <w:abstractNumId w:val="9"/>
  </w:num>
  <w:num w:numId="3" w16cid:durableId="1546061889">
    <w:abstractNumId w:val="24"/>
  </w:num>
  <w:num w:numId="4" w16cid:durableId="2069260214">
    <w:abstractNumId w:val="25"/>
  </w:num>
  <w:num w:numId="5" w16cid:durableId="1398821772">
    <w:abstractNumId w:val="7"/>
  </w:num>
  <w:num w:numId="6" w16cid:durableId="814756737">
    <w:abstractNumId w:val="8"/>
  </w:num>
  <w:num w:numId="7" w16cid:durableId="231626677">
    <w:abstractNumId w:val="10"/>
  </w:num>
  <w:num w:numId="8" w16cid:durableId="1149516756">
    <w:abstractNumId w:val="0"/>
  </w:num>
  <w:num w:numId="9" w16cid:durableId="1440755784">
    <w:abstractNumId w:val="1"/>
  </w:num>
  <w:num w:numId="10" w16cid:durableId="2099667315">
    <w:abstractNumId w:val="2"/>
  </w:num>
  <w:num w:numId="11" w16cid:durableId="661202278">
    <w:abstractNumId w:val="7"/>
    <w:lvlOverride w:ilvl="0">
      <w:startOverride w:val="1"/>
    </w:lvlOverride>
  </w:num>
  <w:num w:numId="12" w16cid:durableId="32969577">
    <w:abstractNumId w:val="16"/>
  </w:num>
  <w:num w:numId="13" w16cid:durableId="1229462768">
    <w:abstractNumId w:val="40"/>
  </w:num>
  <w:num w:numId="14" w16cid:durableId="1944728717">
    <w:abstractNumId w:val="11"/>
  </w:num>
  <w:num w:numId="15" w16cid:durableId="1496067321">
    <w:abstractNumId w:val="13"/>
  </w:num>
  <w:num w:numId="16" w16cid:durableId="1754542721">
    <w:abstractNumId w:val="14"/>
  </w:num>
  <w:num w:numId="17" w16cid:durableId="595551616">
    <w:abstractNumId w:val="22"/>
  </w:num>
  <w:num w:numId="18" w16cid:durableId="1764913906">
    <w:abstractNumId w:val="30"/>
  </w:num>
  <w:num w:numId="19" w16cid:durableId="939945156">
    <w:abstractNumId w:val="29"/>
  </w:num>
  <w:num w:numId="20" w16cid:durableId="1934363465">
    <w:abstractNumId w:val="36"/>
  </w:num>
  <w:num w:numId="21" w16cid:durableId="1081029508">
    <w:abstractNumId w:val="37"/>
  </w:num>
  <w:num w:numId="22" w16cid:durableId="893545452">
    <w:abstractNumId w:val="39"/>
  </w:num>
  <w:num w:numId="23" w16cid:durableId="1045911544">
    <w:abstractNumId w:val="15"/>
  </w:num>
  <w:num w:numId="24" w16cid:durableId="1108623075">
    <w:abstractNumId w:val="34"/>
  </w:num>
  <w:num w:numId="25" w16cid:durableId="1575116925">
    <w:abstractNumId w:val="27"/>
  </w:num>
  <w:num w:numId="26" w16cid:durableId="215823912">
    <w:abstractNumId w:val="5"/>
  </w:num>
  <w:num w:numId="27" w16cid:durableId="1791506131">
    <w:abstractNumId w:val="3"/>
  </w:num>
  <w:num w:numId="28" w16cid:durableId="1642267850">
    <w:abstractNumId w:val="28"/>
  </w:num>
  <w:num w:numId="29" w16cid:durableId="1284383187">
    <w:abstractNumId w:val="19"/>
  </w:num>
  <w:num w:numId="30" w16cid:durableId="471337740">
    <w:abstractNumId w:val="32"/>
  </w:num>
  <w:num w:numId="31" w16cid:durableId="1483545327">
    <w:abstractNumId w:val="33"/>
  </w:num>
  <w:num w:numId="32" w16cid:durableId="862981361">
    <w:abstractNumId w:val="20"/>
  </w:num>
  <w:num w:numId="33" w16cid:durableId="1173297401">
    <w:abstractNumId w:val="6"/>
  </w:num>
  <w:num w:numId="34" w16cid:durableId="308633979">
    <w:abstractNumId w:val="18"/>
  </w:num>
  <w:num w:numId="35" w16cid:durableId="676999680">
    <w:abstractNumId w:val="12"/>
  </w:num>
  <w:num w:numId="36" w16cid:durableId="1142041354">
    <w:abstractNumId w:val="21"/>
  </w:num>
  <w:num w:numId="37" w16cid:durableId="406193385">
    <w:abstractNumId w:val="38"/>
  </w:num>
  <w:num w:numId="38" w16cid:durableId="453912750">
    <w:abstractNumId w:val="4"/>
  </w:num>
  <w:num w:numId="39" w16cid:durableId="793594682">
    <w:abstractNumId w:val="23"/>
  </w:num>
  <w:num w:numId="40" w16cid:durableId="341788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4589816">
    <w:abstractNumId w:val="26"/>
  </w:num>
  <w:num w:numId="42" w16cid:durableId="7839672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70ED5"/>
    <w:rsid w:val="001B4907"/>
    <w:rsid w:val="001B70FE"/>
    <w:rsid w:val="001D2605"/>
    <w:rsid w:val="001D2D7F"/>
    <w:rsid w:val="00244E4B"/>
    <w:rsid w:val="003430D9"/>
    <w:rsid w:val="00360579"/>
    <w:rsid w:val="003912B3"/>
    <w:rsid w:val="003C2FFF"/>
    <w:rsid w:val="003D313E"/>
    <w:rsid w:val="003E46DC"/>
    <w:rsid w:val="004407F4"/>
    <w:rsid w:val="0056659C"/>
    <w:rsid w:val="0059042D"/>
    <w:rsid w:val="005B4B96"/>
    <w:rsid w:val="005E167C"/>
    <w:rsid w:val="00612290"/>
    <w:rsid w:val="006214C8"/>
    <w:rsid w:val="00660766"/>
    <w:rsid w:val="006858E1"/>
    <w:rsid w:val="006E0206"/>
    <w:rsid w:val="007825D8"/>
    <w:rsid w:val="00791E37"/>
    <w:rsid w:val="007A4713"/>
    <w:rsid w:val="00875ADC"/>
    <w:rsid w:val="00877E76"/>
    <w:rsid w:val="008C08E4"/>
    <w:rsid w:val="008D4CBD"/>
    <w:rsid w:val="008F5EB7"/>
    <w:rsid w:val="00962EAE"/>
    <w:rsid w:val="009E42B8"/>
    <w:rsid w:val="00A65099"/>
    <w:rsid w:val="00A83CDE"/>
    <w:rsid w:val="00AF7231"/>
    <w:rsid w:val="00B13E94"/>
    <w:rsid w:val="00B866D3"/>
    <w:rsid w:val="00BC05DC"/>
    <w:rsid w:val="00BC5823"/>
    <w:rsid w:val="00D1616C"/>
    <w:rsid w:val="00D44C91"/>
    <w:rsid w:val="00DB4E4B"/>
    <w:rsid w:val="00E31D3B"/>
    <w:rsid w:val="00E83337"/>
    <w:rsid w:val="00F04F8C"/>
    <w:rsid w:val="00F73095"/>
    <w:rsid w:val="00FB72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7292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Normal1">
    <w:name w:val="Normal1"/>
    <w:basedOn w:val="Normal"/>
    <w:qFormat/>
    <w:rsid w:val="00660766"/>
    <w:pPr>
      <w:autoSpaceDE/>
      <w:autoSpaceDN/>
      <w:adjustRightInd/>
      <w:spacing w:before="20" w:after="20"/>
    </w:pPr>
    <w:rPr>
      <w:rFonts w:eastAsia="Times New Roman"/>
      <w:bCs w:val="0"/>
      <w:iCs w:val="0"/>
      <w:color w:val="000000"/>
      <w:sz w:val="20"/>
      <w:szCs w:val="20"/>
      <w:lang w:eastAsia="zh-CN"/>
    </w:rPr>
  </w:style>
  <w:style w:type="paragraph" w:styleId="BodyTextIndent2">
    <w:name w:val="Body Text Indent 2"/>
    <w:basedOn w:val="Normal"/>
    <w:link w:val="BodyTextIndent2Char"/>
    <w:uiPriority w:val="99"/>
    <w:unhideWhenUsed/>
    <w:rsid w:val="00660766"/>
    <w:pPr>
      <w:spacing w:after="120" w:line="480" w:lineRule="auto"/>
      <w:ind w:left="360"/>
    </w:pPr>
  </w:style>
  <w:style w:type="character" w:customStyle="1" w:styleId="BodyTextIndent2Char">
    <w:name w:val="Body Text Indent 2 Char"/>
    <w:basedOn w:val="DefaultParagraphFont"/>
    <w:link w:val="BodyTextIndent2"/>
    <w:uiPriority w:val="99"/>
    <w:rsid w:val="00660766"/>
    <w:rPr>
      <w:rFonts w:ascii="Times New Roman" w:hAnsi="Times New Roman" w:cs="Times New Roman"/>
      <w:bCs/>
      <w:iCs/>
      <w:sz w:val="24"/>
      <w:szCs w:val="24"/>
      <w:lang w:val="lv-LV"/>
    </w:rPr>
  </w:style>
  <w:style w:type="character" w:styleId="UnresolvedMention">
    <w:name w:val="Unresolved Mention"/>
    <w:basedOn w:val="DefaultParagraphFont"/>
    <w:uiPriority w:val="99"/>
    <w:semiHidden/>
    <w:unhideWhenUsed/>
    <w:rsid w:val="00660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336448">
      <w:bodyDiv w:val="1"/>
      <w:marLeft w:val="0"/>
      <w:marRight w:val="0"/>
      <w:marTop w:val="0"/>
      <w:marBottom w:val="0"/>
      <w:divBdr>
        <w:top w:val="none" w:sz="0" w:space="0" w:color="auto"/>
        <w:left w:val="none" w:sz="0" w:space="0" w:color="auto"/>
        <w:bottom w:val="none" w:sz="0" w:space="0" w:color="auto"/>
        <w:right w:val="none" w:sz="0" w:space="0" w:color="auto"/>
      </w:divBdr>
      <w:divsChild>
        <w:div w:id="872964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niosh/homepag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uropa.eu.int/comm/index_en.htm" TargetMode="External"/><Relationship Id="rId4" Type="http://schemas.openxmlformats.org/officeDocument/2006/relationships/settings" Target="settings.xml"/><Relationship Id="rId9" Type="http://schemas.openxmlformats.org/officeDocument/2006/relationships/hyperlink" Target="http://www.who.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6FC00-0E3C-493B-BC97-A9CEF634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14</cp:revision>
  <dcterms:created xsi:type="dcterms:W3CDTF">2024-01-26T11:32:00Z</dcterms:created>
  <dcterms:modified xsi:type="dcterms:W3CDTF">2024-07-02T13:47:00Z</dcterms:modified>
</cp:coreProperties>
</file>