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508A" w:rsidRPr="00BB0732" w:rsidRDefault="001F508A" w:rsidP="001F50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9"/>
        <w:gridCol w:w="4137"/>
      </w:tblGrid>
      <w:tr w:rsidR="001F508A" w:rsidRPr="00BB0732" w:rsidTr="00354AA7">
        <w:trPr>
          <w:trHeight w:val="570"/>
        </w:trPr>
        <w:tc>
          <w:tcPr>
            <w:tcW w:w="4139" w:type="dxa"/>
            <w:tcBorders>
              <w:top w:val="double" w:sz="4" w:space="0" w:color="auto"/>
              <w:left w:val="double" w:sz="4" w:space="0" w:color="auto"/>
              <w:right w:val="double" w:sz="4" w:space="0" w:color="auto"/>
            </w:tcBorders>
          </w:tcPr>
          <w:p w:rsidR="001F508A" w:rsidRPr="00BB0732" w:rsidRDefault="001F508A" w:rsidP="00B00534">
            <w:pPr>
              <w:autoSpaceDE w:val="0"/>
              <w:autoSpaceDN w:val="0"/>
              <w:adjustRightInd w:val="0"/>
              <w:rPr>
                <w:b/>
                <w:bCs/>
                <w:i/>
              </w:rPr>
            </w:pPr>
            <w:r w:rsidRPr="00BB0732">
              <w:br w:type="page"/>
            </w:r>
            <w:r w:rsidRPr="00BB0732">
              <w:rPr>
                <w:b/>
                <w:bCs/>
                <w:i/>
              </w:rPr>
              <w:t>Kursa nosaukums</w:t>
            </w:r>
          </w:p>
        </w:tc>
        <w:tc>
          <w:tcPr>
            <w:tcW w:w="4137"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rPr>
            </w:pPr>
            <w:r w:rsidRPr="00BB0732">
              <w:rPr>
                <w:b/>
              </w:rPr>
              <w:t>Radiācija un dozimetrija</w:t>
            </w:r>
          </w:p>
        </w:tc>
      </w:tr>
      <w:tr w:rsidR="001F508A" w:rsidRPr="00BB0732" w:rsidTr="00354AA7">
        <w:trPr>
          <w:trHeight w:val="181"/>
        </w:trPr>
        <w:tc>
          <w:tcPr>
            <w:tcW w:w="4139" w:type="dxa"/>
            <w:tcBorders>
              <w:top w:val="double" w:sz="4" w:space="0" w:color="auto"/>
              <w:left w:val="double" w:sz="4" w:space="0" w:color="auto"/>
              <w:right w:val="double" w:sz="4" w:space="0" w:color="auto"/>
            </w:tcBorders>
          </w:tcPr>
          <w:p w:rsidR="001F508A" w:rsidRPr="00BB0732" w:rsidRDefault="001F508A" w:rsidP="00B00534">
            <w:pPr>
              <w:autoSpaceDE w:val="0"/>
              <w:autoSpaceDN w:val="0"/>
              <w:adjustRightInd w:val="0"/>
              <w:rPr>
                <w:b/>
                <w:bCs/>
                <w:i/>
              </w:rPr>
            </w:pPr>
            <w:r w:rsidRPr="00BB0732">
              <w:rPr>
                <w:b/>
                <w:bCs/>
                <w:i/>
              </w:rPr>
              <w:t>Kursa kods</w:t>
            </w:r>
          </w:p>
        </w:tc>
        <w:tc>
          <w:tcPr>
            <w:tcW w:w="4137" w:type="dxa"/>
            <w:tcBorders>
              <w:top w:val="double" w:sz="4" w:space="0" w:color="auto"/>
              <w:left w:val="double" w:sz="4" w:space="0" w:color="auto"/>
              <w:bottom w:val="double" w:sz="4" w:space="0" w:color="auto"/>
              <w:right w:val="double" w:sz="4" w:space="0" w:color="auto"/>
            </w:tcBorders>
          </w:tcPr>
          <w:p w:rsidR="001F508A" w:rsidRPr="00BB0732" w:rsidRDefault="00FF100E" w:rsidP="00B00534">
            <w:pPr>
              <w:autoSpaceDE w:val="0"/>
              <w:autoSpaceDN w:val="0"/>
              <w:adjustRightInd w:val="0"/>
              <w:rPr>
                <w:b/>
                <w:bCs/>
                <w:i/>
                <w:iCs/>
                <w:color w:val="336666"/>
              </w:rPr>
            </w:pPr>
            <w:r w:rsidRPr="00BB0732">
              <w:rPr>
                <w:color w:val="000000"/>
              </w:rPr>
              <w:t>Fizi6024</w:t>
            </w:r>
          </w:p>
        </w:tc>
      </w:tr>
      <w:tr w:rsidR="001F508A" w:rsidRPr="00BB0732" w:rsidTr="00354AA7">
        <w:tc>
          <w:tcPr>
            <w:tcW w:w="4139"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bCs/>
                <w:i/>
              </w:rPr>
            </w:pPr>
            <w:r w:rsidRPr="00BB0732">
              <w:rPr>
                <w:b/>
                <w:bCs/>
                <w:i/>
              </w:rPr>
              <w:t>Zinātnes nozare</w:t>
            </w:r>
          </w:p>
        </w:tc>
        <w:tc>
          <w:tcPr>
            <w:tcW w:w="4137" w:type="dxa"/>
            <w:tcBorders>
              <w:top w:val="double" w:sz="4" w:space="0" w:color="auto"/>
              <w:left w:val="double" w:sz="4" w:space="0" w:color="auto"/>
              <w:bottom w:val="double" w:sz="4" w:space="0" w:color="auto"/>
              <w:right w:val="double" w:sz="4" w:space="0" w:color="auto"/>
            </w:tcBorders>
            <w:vAlign w:val="center"/>
          </w:tcPr>
          <w:p w:rsidR="001F508A" w:rsidRPr="00BB0732" w:rsidRDefault="001F508A" w:rsidP="00B00534">
            <w:r w:rsidRPr="00BB0732">
              <w:t>Fizika</w:t>
            </w:r>
          </w:p>
        </w:tc>
      </w:tr>
      <w:tr w:rsidR="001F508A" w:rsidRPr="00BB0732" w:rsidTr="00354AA7">
        <w:tc>
          <w:tcPr>
            <w:tcW w:w="4139"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bCs/>
                <w:i/>
              </w:rPr>
            </w:pPr>
            <w:r w:rsidRPr="00BB0732">
              <w:rPr>
                <w:b/>
                <w:bCs/>
                <w:i/>
              </w:rPr>
              <w:t>Zinātnes apakšnozare</w:t>
            </w:r>
          </w:p>
        </w:tc>
        <w:tc>
          <w:tcPr>
            <w:tcW w:w="4137" w:type="dxa"/>
            <w:tcBorders>
              <w:top w:val="double" w:sz="4" w:space="0" w:color="auto"/>
              <w:left w:val="double" w:sz="4" w:space="0" w:color="auto"/>
              <w:bottom w:val="double" w:sz="4" w:space="0" w:color="auto"/>
              <w:right w:val="double" w:sz="4" w:space="0" w:color="auto"/>
            </w:tcBorders>
            <w:vAlign w:val="center"/>
          </w:tcPr>
          <w:p w:rsidR="001F508A" w:rsidRPr="00BB0732" w:rsidRDefault="001F508A" w:rsidP="00B00534">
            <w:r w:rsidRPr="00BB0732">
              <w:t>Kodolfizika</w:t>
            </w:r>
          </w:p>
        </w:tc>
      </w:tr>
      <w:tr w:rsidR="001F508A" w:rsidRPr="00BB0732" w:rsidTr="00354AA7">
        <w:tc>
          <w:tcPr>
            <w:tcW w:w="4139"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bCs/>
                <w:i/>
                <w:u w:val="single"/>
              </w:rPr>
            </w:pPr>
            <w:r w:rsidRPr="00BB0732">
              <w:rPr>
                <w:b/>
                <w:bCs/>
                <w:i/>
              </w:rPr>
              <w:t>Kredītpunkti</w:t>
            </w:r>
          </w:p>
        </w:tc>
        <w:tc>
          <w:tcPr>
            <w:tcW w:w="4137"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Cs/>
              </w:rPr>
            </w:pPr>
            <w:r w:rsidRPr="00BB0732">
              <w:t>2</w:t>
            </w:r>
          </w:p>
        </w:tc>
      </w:tr>
      <w:tr w:rsidR="001F508A" w:rsidRPr="00BB0732" w:rsidTr="00354AA7">
        <w:tc>
          <w:tcPr>
            <w:tcW w:w="4139"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bCs/>
                <w:i/>
                <w:u w:val="single"/>
              </w:rPr>
            </w:pPr>
            <w:r w:rsidRPr="00BB0732">
              <w:rPr>
                <w:b/>
                <w:bCs/>
                <w:i/>
              </w:rPr>
              <w:t xml:space="preserve">ECTS kredītpunkti </w:t>
            </w:r>
          </w:p>
        </w:tc>
        <w:tc>
          <w:tcPr>
            <w:tcW w:w="4137"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Cs/>
              </w:rPr>
            </w:pPr>
            <w:r w:rsidRPr="00BB0732">
              <w:rPr>
                <w:bCs/>
              </w:rPr>
              <w:t>3</w:t>
            </w:r>
          </w:p>
        </w:tc>
      </w:tr>
      <w:tr w:rsidR="001F508A" w:rsidRPr="00BB0732" w:rsidTr="00354AA7">
        <w:tc>
          <w:tcPr>
            <w:tcW w:w="4139"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bCs/>
                <w:i/>
              </w:rPr>
            </w:pPr>
            <w:r w:rsidRPr="00BB0732">
              <w:rPr>
                <w:b/>
                <w:bCs/>
                <w:i/>
              </w:rPr>
              <w:t xml:space="preserve">Kopējais </w:t>
            </w:r>
            <w:r w:rsidR="00974DDC">
              <w:rPr>
                <w:b/>
                <w:bCs/>
                <w:i/>
              </w:rPr>
              <w:t>kontakt</w:t>
            </w:r>
            <w:r w:rsidRPr="00BB0732">
              <w:rPr>
                <w:b/>
                <w:bCs/>
                <w:i/>
              </w:rPr>
              <w:t>stundu skaits</w:t>
            </w:r>
          </w:p>
          <w:p w:rsidR="001F508A" w:rsidRPr="00BB0732" w:rsidRDefault="001F508A" w:rsidP="00B00534">
            <w:pPr>
              <w:autoSpaceDE w:val="0"/>
              <w:autoSpaceDN w:val="0"/>
              <w:adjustRightInd w:val="0"/>
              <w:rPr>
                <w:b/>
                <w:bCs/>
                <w:i/>
              </w:rPr>
            </w:pPr>
          </w:p>
          <w:p w:rsidR="001F508A" w:rsidRPr="00BB0732" w:rsidRDefault="001F508A" w:rsidP="00B00534">
            <w:pPr>
              <w:autoSpaceDE w:val="0"/>
              <w:autoSpaceDN w:val="0"/>
              <w:adjustRightInd w:val="0"/>
              <w:rPr>
                <w:bCs/>
                <w:i/>
              </w:rPr>
            </w:pPr>
            <w:r w:rsidRPr="00BB0732">
              <w:rPr>
                <w:bCs/>
                <w:i/>
              </w:rPr>
              <w:t xml:space="preserve">Lekciju stundu skaits                               </w:t>
            </w:r>
          </w:p>
          <w:p w:rsidR="001F508A" w:rsidRPr="00BB0732" w:rsidRDefault="001F508A" w:rsidP="00B00534">
            <w:pPr>
              <w:autoSpaceDE w:val="0"/>
              <w:autoSpaceDN w:val="0"/>
              <w:adjustRightInd w:val="0"/>
              <w:rPr>
                <w:bCs/>
                <w:i/>
              </w:rPr>
            </w:pPr>
            <w:r w:rsidRPr="00BB0732">
              <w:rPr>
                <w:bCs/>
                <w:i/>
              </w:rPr>
              <w:t>Semināru un praktisko darbu stundu skaits</w:t>
            </w:r>
          </w:p>
          <w:p w:rsidR="001F508A" w:rsidRPr="00BB0732" w:rsidRDefault="001F508A" w:rsidP="00B00534">
            <w:pPr>
              <w:autoSpaceDE w:val="0"/>
              <w:autoSpaceDN w:val="0"/>
              <w:adjustRightInd w:val="0"/>
              <w:rPr>
                <w:bCs/>
                <w:i/>
              </w:rPr>
            </w:pPr>
            <w:r w:rsidRPr="00BB0732">
              <w:rPr>
                <w:bCs/>
                <w:i/>
              </w:rPr>
              <w:t>Laboratorijas darbu stundu skaits</w:t>
            </w:r>
          </w:p>
          <w:p w:rsidR="001F508A" w:rsidRPr="007B4ACD" w:rsidRDefault="007B4ACD" w:rsidP="007B4ACD">
            <w:r w:rsidRPr="00854FB5">
              <w:rPr>
                <w:i/>
              </w:rPr>
              <w:t>Studējošā patstāvīgā darba stundu skaits</w:t>
            </w:r>
          </w:p>
        </w:tc>
        <w:tc>
          <w:tcPr>
            <w:tcW w:w="4137"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Cs/>
              </w:rPr>
            </w:pPr>
            <w:r w:rsidRPr="00BB0732">
              <w:rPr>
                <w:bCs/>
              </w:rPr>
              <w:t>32</w:t>
            </w:r>
          </w:p>
          <w:p w:rsidR="001F508A" w:rsidRPr="00BB0732" w:rsidRDefault="001F508A" w:rsidP="00B00534">
            <w:pPr>
              <w:autoSpaceDE w:val="0"/>
              <w:autoSpaceDN w:val="0"/>
              <w:adjustRightInd w:val="0"/>
              <w:rPr>
                <w:bCs/>
              </w:rPr>
            </w:pPr>
          </w:p>
          <w:p w:rsidR="001F508A" w:rsidRPr="00BB0732" w:rsidRDefault="001F508A" w:rsidP="00B00534">
            <w:pPr>
              <w:autoSpaceDE w:val="0"/>
              <w:autoSpaceDN w:val="0"/>
              <w:adjustRightInd w:val="0"/>
              <w:rPr>
                <w:bCs/>
              </w:rPr>
            </w:pPr>
            <w:r w:rsidRPr="00BB0732">
              <w:rPr>
                <w:bCs/>
              </w:rPr>
              <w:t>24</w:t>
            </w:r>
          </w:p>
          <w:p w:rsidR="001F508A" w:rsidRDefault="001F508A" w:rsidP="00B00534">
            <w:pPr>
              <w:autoSpaceDE w:val="0"/>
              <w:autoSpaceDN w:val="0"/>
              <w:adjustRightInd w:val="0"/>
              <w:rPr>
                <w:bCs/>
              </w:rPr>
            </w:pPr>
            <w:r w:rsidRPr="00BB0732">
              <w:rPr>
                <w:bCs/>
              </w:rPr>
              <w:t>4</w:t>
            </w:r>
          </w:p>
          <w:p w:rsidR="007B4ACD" w:rsidRPr="00BB0732" w:rsidRDefault="007B4ACD" w:rsidP="00B00534">
            <w:pPr>
              <w:autoSpaceDE w:val="0"/>
              <w:autoSpaceDN w:val="0"/>
              <w:adjustRightInd w:val="0"/>
              <w:rPr>
                <w:bCs/>
              </w:rPr>
            </w:pPr>
          </w:p>
          <w:p w:rsidR="001F508A" w:rsidRDefault="001F508A" w:rsidP="00B00534">
            <w:pPr>
              <w:autoSpaceDE w:val="0"/>
              <w:autoSpaceDN w:val="0"/>
              <w:adjustRightInd w:val="0"/>
              <w:rPr>
                <w:bCs/>
              </w:rPr>
            </w:pPr>
            <w:r w:rsidRPr="00BB0732">
              <w:rPr>
                <w:bCs/>
              </w:rPr>
              <w:t>4</w:t>
            </w:r>
          </w:p>
          <w:p w:rsidR="007B4ACD" w:rsidRPr="00BB0732" w:rsidRDefault="007B4ACD" w:rsidP="00B00534">
            <w:pPr>
              <w:autoSpaceDE w:val="0"/>
              <w:autoSpaceDN w:val="0"/>
              <w:adjustRightInd w:val="0"/>
              <w:rPr>
                <w:bCs/>
              </w:rPr>
            </w:pPr>
            <w:r>
              <w:rPr>
                <w:bCs/>
              </w:rPr>
              <w:t>48</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Kursa izstrādātājs (-i)</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FF100E" w:rsidP="001F508A">
            <w:pPr>
              <w:rPr>
                <w:bCs/>
              </w:rPr>
            </w:pPr>
            <w:r w:rsidRPr="00BB0732">
              <w:t>Valfrīds Paškevičs, Dr. phys.,  profesors</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Priekšzināšanas (kursa nosaukums, programmas daļa, kurā kurss jāapgūst)</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rPr>
                <w:bCs/>
              </w:rPr>
            </w:pPr>
            <w:r w:rsidRPr="00BB0732">
              <w:rPr>
                <w:lang w:val="de-DE"/>
              </w:rPr>
              <w:t>Nav nepieciešamas</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 xml:space="preserve">Kursa anotācija: </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1F508A">
            <w:pPr>
              <w:jc w:val="both"/>
              <w:rPr>
                <w:lang w:val="en-US"/>
              </w:rPr>
            </w:pPr>
            <w:r w:rsidRPr="00BB0732">
              <w:t>Paredz</w:t>
            </w:r>
            <w:r w:rsidRPr="00BB0732">
              <w:rPr>
                <w:lang w:val="en-US"/>
              </w:rPr>
              <w:t>ē</w:t>
            </w:r>
            <w:r w:rsidRPr="00BB0732">
              <w:t>ts</w:t>
            </w:r>
            <w:r w:rsidRPr="00BB0732">
              <w:rPr>
                <w:lang w:val="en-US"/>
              </w:rPr>
              <w:t xml:space="preserve"> </w:t>
            </w:r>
            <w:r w:rsidRPr="00BB0732">
              <w:t>specialit</w:t>
            </w:r>
            <w:r w:rsidRPr="00BB0732">
              <w:rPr>
                <w:lang w:val="en-US"/>
              </w:rPr>
              <w:t>ā</w:t>
            </w:r>
            <w:r w:rsidRPr="00BB0732">
              <w:t>t</w:t>
            </w:r>
            <w:r w:rsidRPr="00BB0732">
              <w:rPr>
                <w:lang w:val="en-US"/>
              </w:rPr>
              <w:t>ē „</w:t>
            </w:r>
            <w:r w:rsidRPr="00BB0732">
              <w:t>Darba aizsardzības inženieris</w:t>
            </w:r>
            <w:r w:rsidRPr="00BB0732">
              <w:rPr>
                <w:lang w:val="en-US"/>
              </w:rPr>
              <w:t xml:space="preserve">” </w:t>
            </w:r>
            <w:r w:rsidRPr="00BB0732">
              <w:t>stud</w:t>
            </w:r>
            <w:r w:rsidRPr="00BB0732">
              <w:rPr>
                <w:lang w:val="en-US"/>
              </w:rPr>
              <w:t>ē</w:t>
            </w:r>
            <w:r w:rsidRPr="00BB0732">
              <w:t>jo</w:t>
            </w:r>
            <w:r w:rsidRPr="00BB0732">
              <w:rPr>
                <w:lang w:val="en-US"/>
              </w:rPr>
              <w:t>š</w:t>
            </w:r>
            <w:r w:rsidRPr="00BB0732">
              <w:t>iem</w:t>
            </w:r>
            <w:r w:rsidRPr="00BB0732">
              <w:rPr>
                <w:lang w:val="en-US"/>
              </w:rPr>
              <w:t xml:space="preserve"> </w:t>
            </w:r>
            <w:r w:rsidRPr="00BB0732">
              <w:t>studentiem</w:t>
            </w:r>
            <w:r w:rsidRPr="00BB0732">
              <w:rPr>
                <w:lang w:val="en-US"/>
              </w:rPr>
              <w:t>.</w:t>
            </w:r>
          </w:p>
          <w:p w:rsidR="001F508A" w:rsidRPr="00BB0732" w:rsidRDefault="001F508A" w:rsidP="001F508A">
            <w:pPr>
              <w:rPr>
                <w:lang w:val="en-US"/>
              </w:rPr>
            </w:pPr>
            <w:r w:rsidRPr="00BB0732">
              <w:rPr>
                <w:u w:val="single"/>
                <w:lang w:val="en-US"/>
              </w:rPr>
              <w:t>Kursa mērķis</w:t>
            </w:r>
            <w:r w:rsidRPr="00BB0732">
              <w:rPr>
                <w:lang w:val="en-US"/>
              </w:rPr>
              <w:t xml:space="preserve"> ir iepazīstināt maģistrantus ar radiācijas būtību un aizsardzību pret tās ietekmi, tādējādi nodrošinot maģistrantu spēju organizēt darba vietas aizsardzību pret radioaktīvo starojumu. Mērķa saniegšanai nepieciešams sekmēt zināšanu apguvi par radiācijas formām, avotiem, mijiedarbību ar cilvēku un vidi, radiācijas mērīšanu, radiācijas dozām, aizsardzības līdzekļiem un atbilstošo likumdošanu un tās prasībām.</w:t>
            </w:r>
          </w:p>
          <w:p w:rsidR="001F508A" w:rsidRPr="00BB0732" w:rsidRDefault="001F508A" w:rsidP="001F508A">
            <w:pPr>
              <w:rPr>
                <w:u w:val="single"/>
                <w:lang w:val="en-US"/>
              </w:rPr>
            </w:pPr>
            <w:r w:rsidRPr="00BB0732">
              <w:rPr>
                <w:u w:val="single"/>
                <w:lang w:val="en-US"/>
              </w:rPr>
              <w:t>Kursa uzdevumi:</w:t>
            </w:r>
          </w:p>
          <w:p w:rsidR="001F508A" w:rsidRPr="00BB0732" w:rsidRDefault="001F508A" w:rsidP="001F508A">
            <w:pPr>
              <w:numPr>
                <w:ilvl w:val="0"/>
                <w:numId w:val="4"/>
              </w:numPr>
              <w:rPr>
                <w:lang w:val="en-US"/>
              </w:rPr>
            </w:pPr>
            <w:r w:rsidRPr="00BB0732">
              <w:rPr>
                <w:lang w:val="en-US"/>
              </w:rPr>
              <w:t xml:space="preserve">sekmēt maģistrantu zināšanu apguvi ar radiāciju saistītos jautājumos; </w:t>
            </w:r>
          </w:p>
          <w:p w:rsidR="001F508A" w:rsidRPr="00BB0732" w:rsidRDefault="001F508A" w:rsidP="001F508A">
            <w:pPr>
              <w:numPr>
                <w:ilvl w:val="0"/>
                <w:numId w:val="4"/>
              </w:numPr>
              <w:rPr>
                <w:lang w:val="en-US"/>
              </w:rPr>
            </w:pPr>
            <w:r w:rsidRPr="00BB0732">
              <w:rPr>
                <w:lang w:val="en-US"/>
              </w:rPr>
              <w:t>attīstīt prasmes organizēt aizsardzību pret radioaktīvo starojumu darba vietā; veikt atbilstošus mērījumus;</w:t>
            </w:r>
          </w:p>
          <w:p w:rsidR="001F508A" w:rsidRPr="00BB0732" w:rsidRDefault="001F508A" w:rsidP="001F508A">
            <w:pPr>
              <w:numPr>
                <w:ilvl w:val="0"/>
                <w:numId w:val="4"/>
              </w:numPr>
              <w:rPr>
                <w:lang w:val="en-US"/>
              </w:rPr>
            </w:pPr>
            <w:r w:rsidRPr="00BB0732">
              <w:rPr>
                <w:lang w:val="en-US"/>
              </w:rPr>
              <w:t>sekmēt maģistrantu orientēšanos atbilstošajā likumdošanā.</w:t>
            </w:r>
          </w:p>
          <w:p w:rsidR="001F508A" w:rsidRPr="00BB0732" w:rsidRDefault="001F508A" w:rsidP="00B00534">
            <w:pPr>
              <w:pStyle w:val="Default"/>
              <w:jc w:val="both"/>
              <w:rPr>
                <w:lang w:val="en-US"/>
              </w:rPr>
            </w:pP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Rezultāti:</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1F508A">
            <w:pPr>
              <w:pStyle w:val="Default"/>
              <w:numPr>
                <w:ilvl w:val="0"/>
                <w:numId w:val="10"/>
              </w:numPr>
              <w:ind w:left="284" w:hanging="284"/>
              <w:jc w:val="both"/>
            </w:pPr>
            <w:r w:rsidRPr="00BB0732">
              <w:t xml:space="preserve">Studenti skaidro radiācijas veidošanās mehānismus, apzinās potenciālos jonizējošā starojuma avotus; </w:t>
            </w:r>
          </w:p>
          <w:p w:rsidR="001F508A" w:rsidRPr="00BB0732" w:rsidRDefault="001F508A" w:rsidP="001F508A">
            <w:pPr>
              <w:pStyle w:val="Default"/>
              <w:numPr>
                <w:ilvl w:val="0"/>
                <w:numId w:val="10"/>
              </w:numPr>
              <w:ind w:left="284" w:hanging="284"/>
              <w:jc w:val="both"/>
            </w:pPr>
            <w:r w:rsidRPr="00BB0732">
              <w:t>prot apieties ar radiācijas mēriekārtām (skaitītāji, dozimetri), prot tās pielietot dažādu avotu pārbaudei;</w:t>
            </w:r>
          </w:p>
          <w:p w:rsidR="001F508A" w:rsidRPr="00BB0732" w:rsidRDefault="001F508A" w:rsidP="001F508A">
            <w:pPr>
              <w:pStyle w:val="Default"/>
              <w:numPr>
                <w:ilvl w:val="0"/>
                <w:numId w:val="10"/>
              </w:numPr>
              <w:ind w:left="284" w:hanging="284"/>
              <w:jc w:val="both"/>
            </w:pPr>
            <w:r w:rsidRPr="00BB0732">
              <w:t>izprot dozimetriskos lielumus un likumsakarības, prot tās pielietot;</w:t>
            </w:r>
          </w:p>
          <w:p w:rsidR="001F508A" w:rsidRPr="00BB0732" w:rsidRDefault="001F508A" w:rsidP="001F508A">
            <w:pPr>
              <w:pStyle w:val="Default"/>
              <w:numPr>
                <w:ilvl w:val="0"/>
                <w:numId w:val="10"/>
              </w:numPr>
              <w:ind w:left="284" w:hanging="284"/>
              <w:jc w:val="both"/>
            </w:pPr>
            <w:r w:rsidRPr="00BB0732">
              <w:t>apzina potenciālos radiācijas avotus darba vietā, skaidro aizsardzības principus;</w:t>
            </w:r>
          </w:p>
          <w:p w:rsidR="001F508A" w:rsidRPr="00BB0732" w:rsidRDefault="001F508A" w:rsidP="001F508A">
            <w:pPr>
              <w:pStyle w:val="Default"/>
              <w:numPr>
                <w:ilvl w:val="0"/>
                <w:numId w:val="10"/>
              </w:numPr>
              <w:ind w:left="284" w:hanging="284"/>
              <w:jc w:val="both"/>
            </w:pPr>
            <w:r w:rsidRPr="00BB0732">
              <w:t>prot organizēt aizsardzību pret radioaktīvo starojumu darba vietā atbilstoši LR likumdošanai, prot sagatavot licences pieprasījumu darbam ar jonizējošo starojumu un papilddokumentus (radiācijas drošības plānu, instrukcijas u.c.), ka arī prot sagatavot citu nepieciešamo dokumentāciju darbam ar jonizējošo starojumu.</w:t>
            </w:r>
          </w:p>
          <w:p w:rsidR="001F508A" w:rsidRPr="00BB0732" w:rsidRDefault="001F508A" w:rsidP="001F508A">
            <w:pPr>
              <w:pStyle w:val="Title"/>
              <w:jc w:val="both"/>
              <w:rPr>
                <w:b w:val="0"/>
                <w:szCs w:val="24"/>
              </w:rPr>
            </w:pPr>
          </w:p>
          <w:p w:rsidR="001F508A" w:rsidRPr="00BB0732" w:rsidRDefault="001F508A" w:rsidP="00B00534">
            <w:pPr>
              <w:pStyle w:val="Default"/>
              <w:jc w:val="both"/>
            </w:pP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lastRenderedPageBreak/>
              <w:t>Kursa saturs:</w:t>
            </w:r>
          </w:p>
        </w:tc>
      </w:tr>
      <w:tr w:rsidR="001F508A" w:rsidRPr="00BB0732" w:rsidTr="00354AA7">
        <w:tblPrEx>
          <w:tblLook w:val="04A0" w:firstRow="1" w:lastRow="0" w:firstColumn="1" w:lastColumn="0" w:noHBand="0" w:noVBand="1"/>
        </w:tblPrEx>
        <w:tc>
          <w:tcPr>
            <w:tcW w:w="8276" w:type="dxa"/>
            <w:gridSpan w:val="2"/>
            <w:tcBorders>
              <w:top w:val="double" w:sz="4" w:space="0" w:color="auto"/>
              <w:left w:val="double" w:sz="4" w:space="0" w:color="auto"/>
              <w:bottom w:val="double" w:sz="4" w:space="0" w:color="auto"/>
              <w:right w:val="double" w:sz="4" w:space="0" w:color="auto"/>
            </w:tcBorders>
          </w:tcPr>
          <w:p w:rsidR="001F508A" w:rsidRPr="00BB0732" w:rsidRDefault="00C71444" w:rsidP="00C71444">
            <w:pPr>
              <w:jc w:val="both"/>
            </w:pPr>
            <w:r w:rsidRPr="00BB0732">
              <w:t>Radiācijas atklāšana, vēsturisks apskats, veidi. Radiācija - pamatprincipi. Dabiskās un mākslīgās radiācijas avoti. Radiācijas mērīšanas metodes, radiācijas dozas, dozimetrijas pamatprincipi. Starojuma mijiedarbība ar bioloģiskiem audiem un ietekme uz cilvēku. Aizsardzība no radioaktīvā starojuma. Aizsardzība no radioaktīvā starojuma – likumdošana. Aizsardzības no radioaktīvā starojuma organizēšana darba vietā. Dozimetrija darba vietā.</w:t>
            </w:r>
          </w:p>
        </w:tc>
      </w:tr>
    </w:tbl>
    <w:p w:rsidR="001F508A" w:rsidRPr="00BB0732" w:rsidRDefault="001F508A" w:rsidP="001F508A">
      <w:pPr>
        <w:rPr>
          <w:b/>
          <w:bCs/>
          <w:u w:val="single"/>
        </w:rPr>
      </w:pP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6"/>
        <w:gridCol w:w="10"/>
      </w:tblGrid>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Kursa plāns:</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1F508A" w:rsidP="001F508A">
            <w:pPr>
              <w:rPr>
                <w:b/>
              </w:rPr>
            </w:pPr>
            <w:r w:rsidRPr="00BB0732">
              <w:t>Kursa struktūra: lekcijas -  24 st., semināri/ praktiskie darbi – 4 st,  laboratorijas darbi – 4 st.</w:t>
            </w:r>
            <w:r w:rsidRPr="00BB0732">
              <w:br/>
            </w:r>
            <w:r w:rsidRPr="00BB0732">
              <w:rPr>
                <w:b/>
              </w:rPr>
              <w:t>Lekciju tēmas:</w:t>
            </w:r>
          </w:p>
          <w:p w:rsidR="001F508A" w:rsidRPr="00BB0732" w:rsidRDefault="001F508A" w:rsidP="001F508A">
            <w:pPr>
              <w:pStyle w:val="ListParagraph"/>
              <w:numPr>
                <w:ilvl w:val="0"/>
                <w:numId w:val="3"/>
              </w:numPr>
            </w:pPr>
            <w:r w:rsidRPr="00BB0732">
              <w:t>Radiācijas atklāšana, vēsturisks apskats, veidi.</w:t>
            </w:r>
          </w:p>
          <w:p w:rsidR="001F508A" w:rsidRPr="00BB0732" w:rsidRDefault="001F508A" w:rsidP="001F508A">
            <w:pPr>
              <w:pStyle w:val="ListParagraph"/>
              <w:numPr>
                <w:ilvl w:val="0"/>
                <w:numId w:val="3"/>
              </w:numPr>
            </w:pPr>
            <w:r w:rsidRPr="00BB0732">
              <w:t>Radiācija - pamatprincipi.</w:t>
            </w:r>
          </w:p>
          <w:p w:rsidR="001F508A" w:rsidRPr="00BB0732" w:rsidRDefault="001F508A" w:rsidP="001F508A">
            <w:pPr>
              <w:pStyle w:val="ListParagraph"/>
              <w:numPr>
                <w:ilvl w:val="0"/>
                <w:numId w:val="3"/>
              </w:numPr>
            </w:pPr>
            <w:r w:rsidRPr="00BB0732">
              <w:t>Dabiskās un mākslīgās radiācijas avoti.</w:t>
            </w:r>
          </w:p>
          <w:p w:rsidR="001F508A" w:rsidRPr="00BB0732" w:rsidRDefault="001F508A" w:rsidP="001F508A">
            <w:pPr>
              <w:pStyle w:val="ListParagraph"/>
              <w:numPr>
                <w:ilvl w:val="0"/>
                <w:numId w:val="3"/>
              </w:numPr>
            </w:pPr>
            <w:r w:rsidRPr="00BB0732">
              <w:t>Radiācijas mērīšanas metodes.</w:t>
            </w:r>
          </w:p>
          <w:p w:rsidR="001F508A" w:rsidRPr="00BB0732" w:rsidRDefault="001F508A" w:rsidP="001F508A">
            <w:pPr>
              <w:pStyle w:val="ListParagraph"/>
              <w:numPr>
                <w:ilvl w:val="0"/>
                <w:numId w:val="3"/>
              </w:numPr>
            </w:pPr>
            <w:r w:rsidRPr="00BB0732">
              <w:t>Radiācijas mērīšanas metodes, radiācijas dozas, dozimetrijas pamatprincipi.</w:t>
            </w:r>
          </w:p>
          <w:p w:rsidR="001F508A" w:rsidRPr="00BB0732" w:rsidRDefault="001F508A" w:rsidP="001F508A">
            <w:pPr>
              <w:pStyle w:val="ListParagraph"/>
              <w:numPr>
                <w:ilvl w:val="0"/>
                <w:numId w:val="3"/>
              </w:numPr>
            </w:pPr>
            <w:r w:rsidRPr="00BB0732">
              <w:t>Starojuma mijiedarbība ar bioloģiskajiem audiem.</w:t>
            </w:r>
          </w:p>
          <w:p w:rsidR="001F508A" w:rsidRPr="00BB0732" w:rsidRDefault="001F508A" w:rsidP="001F508A">
            <w:pPr>
              <w:pStyle w:val="ListParagraph"/>
              <w:numPr>
                <w:ilvl w:val="0"/>
                <w:numId w:val="3"/>
              </w:numPr>
            </w:pPr>
            <w:r w:rsidRPr="00BB0732">
              <w:t>Starojuma mijiedarbība ar bioloģiskiem audiem – ietekme uz cilvēku.</w:t>
            </w:r>
          </w:p>
          <w:p w:rsidR="001F508A" w:rsidRPr="00BB0732" w:rsidRDefault="001F508A" w:rsidP="001F508A">
            <w:pPr>
              <w:pStyle w:val="ListParagraph"/>
              <w:numPr>
                <w:ilvl w:val="0"/>
                <w:numId w:val="3"/>
              </w:numPr>
            </w:pPr>
            <w:r w:rsidRPr="00BB0732">
              <w:t>Aizsardzība no radioaktīvā starojuma.</w:t>
            </w:r>
          </w:p>
          <w:p w:rsidR="001F508A" w:rsidRPr="00BB0732" w:rsidRDefault="001F508A" w:rsidP="001F508A">
            <w:pPr>
              <w:pStyle w:val="ListParagraph"/>
              <w:numPr>
                <w:ilvl w:val="0"/>
                <w:numId w:val="3"/>
              </w:numPr>
            </w:pPr>
            <w:r w:rsidRPr="00BB0732">
              <w:t>Aizsardzība no radioaktīvā starojuma.</w:t>
            </w:r>
          </w:p>
          <w:p w:rsidR="001F508A" w:rsidRPr="00BB0732" w:rsidRDefault="001F508A" w:rsidP="001F508A">
            <w:pPr>
              <w:pStyle w:val="ListParagraph"/>
              <w:numPr>
                <w:ilvl w:val="0"/>
                <w:numId w:val="3"/>
              </w:numPr>
            </w:pPr>
            <w:r w:rsidRPr="00BB0732">
              <w:t>Aizsardzība no radioaktīvā starojuma – likumdošana.</w:t>
            </w:r>
          </w:p>
          <w:p w:rsidR="001F508A" w:rsidRPr="00BB0732" w:rsidRDefault="001F508A" w:rsidP="001F508A">
            <w:pPr>
              <w:pStyle w:val="ListParagraph"/>
              <w:numPr>
                <w:ilvl w:val="0"/>
                <w:numId w:val="3"/>
              </w:numPr>
            </w:pPr>
            <w:r w:rsidRPr="00BB0732">
              <w:t>Aizsardzības no radioaktīvā starojuma organizēšana darba vietā.</w:t>
            </w:r>
          </w:p>
          <w:p w:rsidR="001F508A" w:rsidRPr="00BB0732" w:rsidRDefault="001F508A" w:rsidP="001F508A">
            <w:pPr>
              <w:pStyle w:val="ListParagraph"/>
              <w:numPr>
                <w:ilvl w:val="0"/>
                <w:numId w:val="3"/>
              </w:numPr>
            </w:pPr>
            <w:r w:rsidRPr="00BB0732">
              <w:t>Dozimetrija darba vietā.</w:t>
            </w:r>
          </w:p>
          <w:p w:rsidR="001F508A" w:rsidRPr="00BB0732" w:rsidRDefault="001F508A" w:rsidP="00B00534">
            <w:r w:rsidRPr="00BB0732">
              <w:rPr>
                <w:b/>
              </w:rPr>
              <w:t>Semināru/praktisko darbu tēmas:</w:t>
            </w:r>
          </w:p>
          <w:p w:rsidR="001F508A" w:rsidRPr="00BB0732" w:rsidRDefault="001F508A" w:rsidP="001F508A">
            <w:pPr>
              <w:pStyle w:val="ListParagraph"/>
              <w:numPr>
                <w:ilvl w:val="0"/>
                <w:numId w:val="11"/>
              </w:numPr>
            </w:pPr>
            <w:r w:rsidRPr="00BB0732">
              <w:t>Radioaktīvās avārijas, sekas un to likvidēšana.</w:t>
            </w:r>
          </w:p>
          <w:p w:rsidR="001F508A" w:rsidRPr="00BB0732" w:rsidRDefault="001F508A" w:rsidP="001F508A">
            <w:pPr>
              <w:pStyle w:val="ListParagraph"/>
              <w:numPr>
                <w:ilvl w:val="0"/>
                <w:numId w:val="11"/>
              </w:numPr>
            </w:pPr>
            <w:r w:rsidRPr="00BB0732">
              <w:t>Darba drošības instrukcija.</w:t>
            </w:r>
          </w:p>
          <w:p w:rsidR="001F508A" w:rsidRPr="00BB0732" w:rsidRDefault="001F508A" w:rsidP="001F508A">
            <w:pPr>
              <w:rPr>
                <w:b/>
              </w:rPr>
            </w:pPr>
            <w:r w:rsidRPr="00BB0732">
              <w:rPr>
                <w:b/>
              </w:rPr>
              <w:t>Laboratorijas darbu tēmas:</w:t>
            </w:r>
            <w:r w:rsidRPr="00BB0732">
              <w:t xml:space="preserve"> </w:t>
            </w:r>
          </w:p>
          <w:p w:rsidR="001F508A" w:rsidRPr="00BB0732" w:rsidRDefault="001F508A" w:rsidP="001F508A">
            <w:pPr>
              <w:pStyle w:val="ListParagraph"/>
              <w:numPr>
                <w:ilvl w:val="0"/>
                <w:numId w:val="12"/>
              </w:numPr>
            </w:pPr>
            <w:r w:rsidRPr="00BB0732">
              <w:t>Geigera-Millera skaitītājs.</w:t>
            </w:r>
          </w:p>
          <w:p w:rsidR="001F508A" w:rsidRPr="00BB0732" w:rsidRDefault="001F508A" w:rsidP="001F508A">
            <w:pPr>
              <w:pStyle w:val="ListParagraph"/>
              <w:numPr>
                <w:ilvl w:val="0"/>
                <w:numId w:val="12"/>
              </w:numPr>
            </w:pPr>
            <w:r w:rsidRPr="00BB0732">
              <w:t>Dozimetrija darba vietā.</w:t>
            </w:r>
          </w:p>
          <w:p w:rsidR="001F508A" w:rsidRPr="00BB0732" w:rsidRDefault="001F508A" w:rsidP="00B00534"/>
          <w:p w:rsidR="001F508A" w:rsidRPr="00BB0732" w:rsidRDefault="001F508A" w:rsidP="00B00534">
            <w:pPr>
              <w:rPr>
                <w:b/>
              </w:rPr>
            </w:pPr>
            <w:r w:rsidRPr="00BB0732">
              <w:rPr>
                <w:b/>
              </w:rPr>
              <w:t>Studējošo patstāvīgais darbs:</w:t>
            </w:r>
          </w:p>
          <w:p w:rsidR="001F508A" w:rsidRPr="00BB0732" w:rsidRDefault="001F508A" w:rsidP="00B00534">
            <w:r w:rsidRPr="00BB0732">
              <w:t xml:space="preserve">Zinātniskās literatūras studēšana, </w:t>
            </w:r>
            <w:r w:rsidR="00C71444" w:rsidRPr="00BB0732">
              <w:t>darbinieku paredzamo dozu aprēķins, dokumentācijas licences saņemšanai izstrāde</w:t>
            </w:r>
            <w:r w:rsidRPr="00BB0732">
              <w:t>.</w:t>
            </w:r>
          </w:p>
          <w:p w:rsidR="001F508A" w:rsidRPr="00BB0732" w:rsidRDefault="001F508A" w:rsidP="00B00534">
            <w:pPr>
              <w:rPr>
                <w:b/>
              </w:rPr>
            </w:pP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i/>
              </w:rPr>
            </w:pPr>
            <w:r w:rsidRPr="00BB0732">
              <w:rPr>
                <w:b/>
                <w:bCs/>
                <w:i/>
              </w:rPr>
              <w:t>Prasības kredītpunktu iegūšanai:</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C71444" w:rsidRPr="00BB0732" w:rsidRDefault="00C71444" w:rsidP="00B00534">
            <w:pPr>
              <w:jc w:val="both"/>
            </w:pPr>
            <w:r w:rsidRPr="00BB0732">
              <w:t>Piedalīšanās lekcijās un praktiskajos darbos – 20%, licences darbam ar jonizējošo starojumu pieprasījuma un papilddokumentācijas sagatavošana – 50%, Eksāmens – 30%.</w:t>
            </w:r>
          </w:p>
          <w:p w:rsidR="001F508A" w:rsidRPr="00BB0732" w:rsidRDefault="001F508A" w:rsidP="00B00534">
            <w:pPr>
              <w:jc w:val="both"/>
            </w:pPr>
            <w:r w:rsidRPr="00BB0732">
              <w:t>Izmantojamās studiju metodes un formas – lekcijas, semināri, konsultācijas, patstāvīgie darbi, prezentācijas, diskusija, argumentācija.</w:t>
            </w:r>
          </w:p>
        </w:tc>
      </w:tr>
      <w:tr w:rsidR="001F508A" w:rsidRPr="00BB0732" w:rsidTr="00354AA7">
        <w:tc>
          <w:tcPr>
            <w:tcW w:w="8286" w:type="dxa"/>
            <w:gridSpan w:val="2"/>
            <w:tcBorders>
              <w:top w:val="double" w:sz="4" w:space="0" w:color="auto"/>
              <w:left w:val="double" w:sz="4" w:space="0" w:color="auto"/>
              <w:bottom w:val="double" w:sz="4" w:space="0" w:color="auto"/>
            </w:tcBorders>
          </w:tcPr>
          <w:p w:rsidR="001F508A" w:rsidRPr="00BB0732" w:rsidRDefault="001F508A" w:rsidP="00B00534">
            <w:pPr>
              <w:autoSpaceDE w:val="0"/>
              <w:autoSpaceDN w:val="0"/>
              <w:adjustRightInd w:val="0"/>
              <w:rPr>
                <w:b/>
                <w:i/>
              </w:rPr>
            </w:pPr>
            <w:r w:rsidRPr="00BB0732">
              <w:rPr>
                <w:b/>
                <w:bCs/>
                <w:i/>
              </w:rPr>
              <w:t>Mācību pamatliteratūra:</w:t>
            </w:r>
          </w:p>
        </w:tc>
      </w:tr>
      <w:tr w:rsidR="001F508A" w:rsidRPr="00BB0732" w:rsidTr="00354AA7">
        <w:tc>
          <w:tcPr>
            <w:tcW w:w="8286" w:type="dxa"/>
            <w:gridSpan w:val="2"/>
            <w:tcBorders>
              <w:top w:val="double" w:sz="4" w:space="0" w:color="auto"/>
              <w:left w:val="double" w:sz="4" w:space="0" w:color="auto"/>
              <w:bottom w:val="double" w:sz="4" w:space="0" w:color="auto"/>
              <w:right w:val="double" w:sz="4" w:space="0" w:color="auto"/>
            </w:tcBorders>
          </w:tcPr>
          <w:p w:rsidR="00A23186" w:rsidRPr="00BB0732" w:rsidRDefault="00C71444" w:rsidP="00A23186">
            <w:pPr>
              <w:pStyle w:val="ListParagraph"/>
              <w:numPr>
                <w:ilvl w:val="0"/>
                <w:numId w:val="14"/>
              </w:numPr>
              <w:rPr>
                <w:rStyle w:val="apple-converted-space"/>
              </w:rPr>
            </w:pPr>
            <w:r w:rsidRPr="00BB0732">
              <w:rPr>
                <w:rStyle w:val="apple-style-span"/>
              </w:rPr>
              <w:t>B. Rolovs. Kodolfizika. Rīga, 1964.</w:t>
            </w:r>
            <w:r w:rsidRPr="00BB0732">
              <w:rPr>
                <w:rStyle w:val="apple-converted-space"/>
              </w:rPr>
              <w:t> </w:t>
            </w:r>
            <w:r w:rsidRPr="00BB0732">
              <w:br/>
            </w:r>
            <w:r w:rsidRPr="00BB0732">
              <w:rPr>
                <w:rStyle w:val="apple-style-span"/>
              </w:rPr>
              <w:t>2. Radiation. Doses, Effects, Risks. United Nations Environment Programme. 1985. ISBN 92-807-1104-0</w:t>
            </w:r>
            <w:r w:rsidRPr="00BB0732">
              <w:rPr>
                <w:rStyle w:val="apple-converted-space"/>
              </w:rPr>
              <w:t> </w:t>
            </w:r>
          </w:p>
          <w:p w:rsidR="001F508A" w:rsidRPr="00BB0732" w:rsidRDefault="00C71444" w:rsidP="00A23186">
            <w:pPr>
              <w:pStyle w:val="ListParagraph"/>
              <w:numPr>
                <w:ilvl w:val="0"/>
                <w:numId w:val="14"/>
              </w:numPr>
            </w:pPr>
            <w:r w:rsidRPr="00BB0732">
              <w:rPr>
                <w:rStyle w:val="apple-style-span"/>
              </w:rPr>
              <w:t>K.Bethge,G.Kraft,P.Kreisler,G.Walter. Medical Applications of Nuclear Physics. Berlin, Springer, 2004</w:t>
            </w:r>
            <w:r w:rsidRPr="00BB0732">
              <w:rPr>
                <w:rStyle w:val="apple-converted-space"/>
              </w:rPr>
              <w:t> </w:t>
            </w:r>
          </w:p>
        </w:tc>
      </w:tr>
      <w:tr w:rsidR="001F508A" w:rsidRPr="00BB0732" w:rsidTr="00354AA7">
        <w:trPr>
          <w:gridAfter w:val="1"/>
          <w:wAfter w:w="10" w:type="dxa"/>
        </w:trPr>
        <w:tc>
          <w:tcPr>
            <w:tcW w:w="8276" w:type="dxa"/>
            <w:tcBorders>
              <w:top w:val="double" w:sz="4" w:space="0" w:color="auto"/>
              <w:left w:val="double" w:sz="4" w:space="0" w:color="auto"/>
              <w:right w:val="double" w:sz="4" w:space="0" w:color="auto"/>
            </w:tcBorders>
          </w:tcPr>
          <w:p w:rsidR="001F508A" w:rsidRPr="00BB0732" w:rsidRDefault="001F508A" w:rsidP="00B00534">
            <w:pPr>
              <w:autoSpaceDE w:val="0"/>
              <w:autoSpaceDN w:val="0"/>
              <w:adjustRightInd w:val="0"/>
              <w:rPr>
                <w:b/>
              </w:rPr>
            </w:pPr>
            <w:r w:rsidRPr="00BB0732">
              <w:rPr>
                <w:b/>
                <w:bCs/>
                <w:i/>
                <w:iCs/>
              </w:rPr>
              <w:t>Papildliteratūra:</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C71444" w:rsidRPr="00BB0732" w:rsidRDefault="00C71444" w:rsidP="00C71444">
            <w:pPr>
              <w:pStyle w:val="ListParagraph"/>
              <w:numPr>
                <w:ilvl w:val="0"/>
                <w:numId w:val="13"/>
              </w:numPr>
              <w:tabs>
                <w:tab w:val="left" w:pos="426"/>
              </w:tabs>
            </w:pPr>
            <w:r w:rsidRPr="00BB0732">
              <w:rPr>
                <w:rStyle w:val="apple-style-span"/>
              </w:rPr>
              <w:t>LR Likums „Par radiācijas drošību un kodoldrošību”</w:t>
            </w:r>
            <w:r w:rsidRPr="00BB0732">
              <w:rPr>
                <w:rStyle w:val="apple-converted-space"/>
              </w:rPr>
              <w:t> </w:t>
            </w:r>
          </w:p>
          <w:p w:rsidR="001F508A" w:rsidRPr="00BB0732" w:rsidRDefault="00C71444" w:rsidP="00C71444">
            <w:pPr>
              <w:pStyle w:val="ListParagraph"/>
              <w:numPr>
                <w:ilvl w:val="0"/>
                <w:numId w:val="13"/>
              </w:numPr>
              <w:tabs>
                <w:tab w:val="left" w:pos="426"/>
              </w:tabs>
              <w:rPr>
                <w:rStyle w:val="apple-converted-space"/>
              </w:rPr>
            </w:pPr>
            <w:r w:rsidRPr="00BB0732">
              <w:rPr>
                <w:rStyle w:val="apple-style-span"/>
              </w:rPr>
              <w:lastRenderedPageBreak/>
              <w:t>MK noteikumi „Noteikumi par aizsardzību pret jonizējošo starojumu”</w:t>
            </w:r>
            <w:r w:rsidRPr="00BB0732">
              <w:rPr>
                <w:rStyle w:val="apple-converted-space"/>
                <w:color w:val="2F2F4F"/>
              </w:rPr>
              <w:t> </w:t>
            </w:r>
          </w:p>
          <w:p w:rsidR="00A23186" w:rsidRPr="00BB0732" w:rsidRDefault="00A23186" w:rsidP="00C71444">
            <w:pPr>
              <w:pStyle w:val="ListParagraph"/>
              <w:numPr>
                <w:ilvl w:val="0"/>
                <w:numId w:val="13"/>
              </w:numPr>
              <w:tabs>
                <w:tab w:val="left" w:pos="426"/>
              </w:tabs>
            </w:pPr>
            <w:r w:rsidRPr="00BB0732">
              <w:t>P. Andrew Karam. Radiation Safety Officer. Course Book. Nevada Technical Associates.</w:t>
            </w:r>
          </w:p>
          <w:p w:rsidR="00A23186" w:rsidRPr="00BB0732" w:rsidRDefault="00A23186" w:rsidP="00C71444">
            <w:pPr>
              <w:pStyle w:val="ListParagraph"/>
              <w:numPr>
                <w:ilvl w:val="0"/>
                <w:numId w:val="13"/>
              </w:numPr>
              <w:tabs>
                <w:tab w:val="left" w:pos="426"/>
              </w:tabs>
            </w:pPr>
            <w:r w:rsidRPr="00BB0732">
              <w:t>Radiation Safety  Manual. Stanford University. 2015. gada 28. decembris</w:t>
            </w:r>
          </w:p>
          <w:p w:rsidR="00A23186" w:rsidRPr="00BB0732" w:rsidRDefault="00A23186" w:rsidP="00C71444">
            <w:pPr>
              <w:pStyle w:val="ListParagraph"/>
              <w:numPr>
                <w:ilvl w:val="0"/>
                <w:numId w:val="13"/>
              </w:numPr>
              <w:tabs>
                <w:tab w:val="left" w:pos="426"/>
              </w:tabs>
            </w:pPr>
            <w:r w:rsidRPr="00BB0732">
              <w:t>Introduction to Radiation. Minister of Public Works and Government Services Canada (PWGSC) 2012.</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rPr>
            </w:pPr>
            <w:r w:rsidRPr="00BB0732">
              <w:rPr>
                <w:b/>
                <w:bCs/>
                <w:i/>
                <w:iCs/>
              </w:rPr>
              <w:lastRenderedPageBreak/>
              <w:t>Periodika un citi informācijas avoti</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C71444" w:rsidP="00B00534">
            <w:pPr>
              <w:pStyle w:val="ListParagraph"/>
              <w:ind w:left="284"/>
              <w:jc w:val="both"/>
              <w:rPr>
                <w:color w:val="000000"/>
              </w:rPr>
            </w:pPr>
            <w:r w:rsidRPr="00BB0732">
              <w:rPr>
                <w:color w:val="000000"/>
              </w:rPr>
              <w:t>-</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1F508A" w:rsidP="00B00534">
            <w:pPr>
              <w:autoSpaceDE w:val="0"/>
              <w:autoSpaceDN w:val="0"/>
              <w:adjustRightInd w:val="0"/>
              <w:rPr>
                <w:b/>
              </w:rPr>
            </w:pPr>
            <w:r w:rsidRPr="00BB0732">
              <w:rPr>
                <w:b/>
                <w:bCs/>
                <w:i/>
                <w:iCs/>
              </w:rPr>
              <w:t>Piezīmes:</w:t>
            </w:r>
          </w:p>
        </w:tc>
      </w:tr>
      <w:tr w:rsidR="001F508A" w:rsidRPr="00BB0732" w:rsidTr="00354AA7">
        <w:trPr>
          <w:gridAfter w:val="1"/>
          <w:wAfter w:w="10" w:type="dxa"/>
        </w:trPr>
        <w:tc>
          <w:tcPr>
            <w:tcW w:w="8276" w:type="dxa"/>
            <w:tcBorders>
              <w:top w:val="double" w:sz="4" w:space="0" w:color="auto"/>
              <w:left w:val="double" w:sz="4" w:space="0" w:color="auto"/>
              <w:bottom w:val="double" w:sz="4" w:space="0" w:color="auto"/>
              <w:right w:val="double" w:sz="4" w:space="0" w:color="auto"/>
            </w:tcBorders>
          </w:tcPr>
          <w:p w:rsidR="001F508A" w:rsidRPr="00BB0732" w:rsidRDefault="00354AA7" w:rsidP="00C71444">
            <w:pPr>
              <w:jc w:val="both"/>
            </w:pPr>
            <w:r w:rsidRPr="00BB0732">
              <w:t>PMSP „Darba aizsardzība” B daļa</w:t>
            </w:r>
          </w:p>
        </w:tc>
      </w:tr>
    </w:tbl>
    <w:p w:rsidR="001F508A" w:rsidRPr="00BB0732" w:rsidRDefault="001F508A" w:rsidP="001F508A">
      <w:pPr>
        <w:rPr>
          <w:b/>
          <w:bCs/>
          <w:u w:val="single"/>
        </w:rPr>
      </w:pPr>
    </w:p>
    <w:sectPr w:rsidR="001F508A" w:rsidRPr="00BB0732" w:rsidSect="007F20F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57AE"/>
    <w:multiLevelType w:val="hybridMultilevel"/>
    <w:tmpl w:val="B4E897C4"/>
    <w:lvl w:ilvl="0" w:tplc="7612323C">
      <w:start w:val="201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0EE216F"/>
    <w:multiLevelType w:val="hybridMultilevel"/>
    <w:tmpl w:val="95345D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E12157E"/>
    <w:multiLevelType w:val="hybridMultilevel"/>
    <w:tmpl w:val="5B843F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1B4FF7"/>
    <w:multiLevelType w:val="hybridMultilevel"/>
    <w:tmpl w:val="99780C84"/>
    <w:lvl w:ilvl="0" w:tplc="0426000F">
      <w:start w:val="1"/>
      <w:numFmt w:val="decimal"/>
      <w:lvlText w:val="%1."/>
      <w:lvlJc w:val="left"/>
      <w:pPr>
        <w:tabs>
          <w:tab w:val="num" w:pos="540"/>
        </w:tabs>
        <w:ind w:left="540" w:hanging="360"/>
      </w:pPr>
      <w:rPr>
        <w:rFonts w:hint="default"/>
      </w:rPr>
    </w:lvl>
    <w:lvl w:ilvl="1" w:tplc="04260019" w:tentative="1">
      <w:start w:val="1"/>
      <w:numFmt w:val="lowerLetter"/>
      <w:lvlText w:val="%2."/>
      <w:lvlJc w:val="left"/>
      <w:pPr>
        <w:tabs>
          <w:tab w:val="num" w:pos="1260"/>
        </w:tabs>
        <w:ind w:left="1260" w:hanging="360"/>
      </w:pPr>
    </w:lvl>
    <w:lvl w:ilvl="2" w:tplc="0426001B" w:tentative="1">
      <w:start w:val="1"/>
      <w:numFmt w:val="lowerRoman"/>
      <w:lvlText w:val="%3."/>
      <w:lvlJc w:val="right"/>
      <w:pPr>
        <w:tabs>
          <w:tab w:val="num" w:pos="1980"/>
        </w:tabs>
        <w:ind w:left="1980" w:hanging="180"/>
      </w:pPr>
    </w:lvl>
    <w:lvl w:ilvl="3" w:tplc="0426000F" w:tentative="1">
      <w:start w:val="1"/>
      <w:numFmt w:val="decimal"/>
      <w:lvlText w:val="%4."/>
      <w:lvlJc w:val="left"/>
      <w:pPr>
        <w:tabs>
          <w:tab w:val="num" w:pos="2700"/>
        </w:tabs>
        <w:ind w:left="2700" w:hanging="360"/>
      </w:pPr>
    </w:lvl>
    <w:lvl w:ilvl="4" w:tplc="04260019" w:tentative="1">
      <w:start w:val="1"/>
      <w:numFmt w:val="lowerLetter"/>
      <w:lvlText w:val="%5."/>
      <w:lvlJc w:val="left"/>
      <w:pPr>
        <w:tabs>
          <w:tab w:val="num" w:pos="3420"/>
        </w:tabs>
        <w:ind w:left="3420" w:hanging="360"/>
      </w:pPr>
    </w:lvl>
    <w:lvl w:ilvl="5" w:tplc="0426001B" w:tentative="1">
      <w:start w:val="1"/>
      <w:numFmt w:val="lowerRoman"/>
      <w:lvlText w:val="%6."/>
      <w:lvlJc w:val="right"/>
      <w:pPr>
        <w:tabs>
          <w:tab w:val="num" w:pos="4140"/>
        </w:tabs>
        <w:ind w:left="4140" w:hanging="180"/>
      </w:pPr>
    </w:lvl>
    <w:lvl w:ilvl="6" w:tplc="0426000F" w:tentative="1">
      <w:start w:val="1"/>
      <w:numFmt w:val="decimal"/>
      <w:lvlText w:val="%7."/>
      <w:lvlJc w:val="left"/>
      <w:pPr>
        <w:tabs>
          <w:tab w:val="num" w:pos="4860"/>
        </w:tabs>
        <w:ind w:left="4860" w:hanging="360"/>
      </w:pPr>
    </w:lvl>
    <w:lvl w:ilvl="7" w:tplc="04260019" w:tentative="1">
      <w:start w:val="1"/>
      <w:numFmt w:val="lowerLetter"/>
      <w:lvlText w:val="%8."/>
      <w:lvlJc w:val="left"/>
      <w:pPr>
        <w:tabs>
          <w:tab w:val="num" w:pos="5580"/>
        </w:tabs>
        <w:ind w:left="5580" w:hanging="360"/>
      </w:pPr>
    </w:lvl>
    <w:lvl w:ilvl="8" w:tplc="0426001B" w:tentative="1">
      <w:start w:val="1"/>
      <w:numFmt w:val="lowerRoman"/>
      <w:lvlText w:val="%9."/>
      <w:lvlJc w:val="right"/>
      <w:pPr>
        <w:tabs>
          <w:tab w:val="num" w:pos="6300"/>
        </w:tabs>
        <w:ind w:left="6300" w:hanging="180"/>
      </w:pPr>
    </w:lvl>
  </w:abstractNum>
  <w:abstractNum w:abstractNumId="4" w15:restartNumberingAfterBreak="0">
    <w:nsid w:val="33A57724"/>
    <w:multiLevelType w:val="hybridMultilevel"/>
    <w:tmpl w:val="B2CAA2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3E200136"/>
    <w:multiLevelType w:val="hybridMultilevel"/>
    <w:tmpl w:val="AC0264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90F15AE"/>
    <w:multiLevelType w:val="hybridMultilevel"/>
    <w:tmpl w:val="CADC115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4C6A3CD4"/>
    <w:multiLevelType w:val="hybridMultilevel"/>
    <w:tmpl w:val="9D22A0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58C20A7"/>
    <w:multiLevelType w:val="hybridMultilevel"/>
    <w:tmpl w:val="F2B222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1B46F10"/>
    <w:multiLevelType w:val="hybridMultilevel"/>
    <w:tmpl w:val="7898E82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A35A2C"/>
    <w:multiLevelType w:val="hybridMultilevel"/>
    <w:tmpl w:val="B23633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918530D"/>
    <w:multiLevelType w:val="hybridMultilevel"/>
    <w:tmpl w:val="B5FE64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A0E4FBF"/>
    <w:multiLevelType w:val="hybridMultilevel"/>
    <w:tmpl w:val="45D8F64C"/>
    <w:lvl w:ilvl="0" w:tplc="5A4C89E2">
      <w:start w:val="1"/>
      <w:numFmt w:val="decimal"/>
      <w:lvlText w:val="%1."/>
      <w:lvlJc w:val="left"/>
      <w:pPr>
        <w:ind w:left="720" w:hanging="360"/>
      </w:pPr>
      <w:rPr>
        <w:rFonts w:hint="default"/>
        <w:color w:val="2F2F4F"/>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22437928">
    <w:abstractNumId w:val="9"/>
  </w:num>
  <w:num w:numId="2" w16cid:durableId="1000621083">
    <w:abstractNumId w:val="3"/>
  </w:num>
  <w:num w:numId="3" w16cid:durableId="1472167049">
    <w:abstractNumId w:val="11"/>
  </w:num>
  <w:num w:numId="4" w16cid:durableId="659623052">
    <w:abstractNumId w:val="0"/>
  </w:num>
  <w:num w:numId="5" w16cid:durableId="1287127340">
    <w:abstractNumId w:val="10"/>
  </w:num>
  <w:num w:numId="6" w16cid:durableId="165097940">
    <w:abstractNumId w:val="6"/>
  </w:num>
  <w:num w:numId="7" w16cid:durableId="1698701837">
    <w:abstractNumId w:val="12"/>
  </w:num>
  <w:num w:numId="8" w16cid:durableId="1347751850">
    <w:abstractNumId w:val="4"/>
  </w:num>
  <w:num w:numId="9" w16cid:durableId="76100744">
    <w:abstractNumId w:val="2"/>
  </w:num>
  <w:num w:numId="10" w16cid:durableId="1536190195">
    <w:abstractNumId w:val="1"/>
  </w:num>
  <w:num w:numId="11" w16cid:durableId="280309907">
    <w:abstractNumId w:val="7"/>
  </w:num>
  <w:num w:numId="12" w16cid:durableId="1533881082">
    <w:abstractNumId w:val="8"/>
  </w:num>
  <w:num w:numId="13" w16cid:durableId="171335424">
    <w:abstractNumId w:val="13"/>
  </w:num>
  <w:num w:numId="14" w16cid:durableId="16473230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5B"/>
    <w:rsid w:val="001D2605"/>
    <w:rsid w:val="001F508A"/>
    <w:rsid w:val="00247B91"/>
    <w:rsid w:val="0035085E"/>
    <w:rsid w:val="00354AA7"/>
    <w:rsid w:val="003E1E67"/>
    <w:rsid w:val="0049705B"/>
    <w:rsid w:val="0054280C"/>
    <w:rsid w:val="005632D1"/>
    <w:rsid w:val="007A00E1"/>
    <w:rsid w:val="007B4ACD"/>
    <w:rsid w:val="007F20FD"/>
    <w:rsid w:val="008564A0"/>
    <w:rsid w:val="008F2C97"/>
    <w:rsid w:val="00974DDC"/>
    <w:rsid w:val="009C5DAE"/>
    <w:rsid w:val="00A23186"/>
    <w:rsid w:val="00A81F43"/>
    <w:rsid w:val="00AB3F75"/>
    <w:rsid w:val="00BB0732"/>
    <w:rsid w:val="00C40AC7"/>
    <w:rsid w:val="00C71444"/>
    <w:rsid w:val="00CF42FC"/>
    <w:rsid w:val="00D46F6C"/>
    <w:rsid w:val="00F25640"/>
    <w:rsid w:val="00F7667E"/>
    <w:rsid w:val="00F935C2"/>
    <w:rsid w:val="00FF10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5455E"/>
  <w15:docId w15:val="{48E01BDE-ABE9-4BB5-962E-1E1C24EE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Arial"/>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05B"/>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archedval">
    <w:name w:val="searchedval"/>
    <w:basedOn w:val="DefaultParagraphFont"/>
    <w:rsid w:val="0049705B"/>
  </w:style>
  <w:style w:type="paragraph" w:styleId="ListParagraph">
    <w:name w:val="List Paragraph"/>
    <w:basedOn w:val="Normal"/>
    <w:uiPriority w:val="34"/>
    <w:qFormat/>
    <w:rsid w:val="009C5DAE"/>
    <w:pPr>
      <w:ind w:left="720"/>
      <w:contextualSpacing/>
    </w:pPr>
  </w:style>
  <w:style w:type="paragraph" w:customStyle="1" w:styleId="Default">
    <w:name w:val="Default"/>
    <w:rsid w:val="0054280C"/>
    <w:pPr>
      <w:autoSpaceDE w:val="0"/>
      <w:autoSpaceDN w:val="0"/>
      <w:adjustRightInd w:val="0"/>
    </w:pPr>
    <w:rPr>
      <w:rFonts w:cs="Times New Roman"/>
      <w:color w:val="000000"/>
      <w:sz w:val="24"/>
      <w:szCs w:val="24"/>
      <w:lang w:eastAsia="en-US"/>
    </w:rPr>
  </w:style>
  <w:style w:type="character" w:customStyle="1" w:styleId="apple-style-span">
    <w:name w:val="apple-style-span"/>
    <w:basedOn w:val="DefaultParagraphFont"/>
    <w:rsid w:val="007A00E1"/>
  </w:style>
  <w:style w:type="character" w:customStyle="1" w:styleId="apple-converted-space">
    <w:name w:val="apple-converted-space"/>
    <w:basedOn w:val="DefaultParagraphFont"/>
    <w:rsid w:val="007A00E1"/>
  </w:style>
  <w:style w:type="paragraph" w:styleId="HTMLPreformatted">
    <w:name w:val="HTML Preformatted"/>
    <w:basedOn w:val="Normal"/>
    <w:link w:val="HTMLPreformattedChar"/>
    <w:rsid w:val="008F2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rsid w:val="008F2C97"/>
    <w:rPr>
      <w:rFonts w:ascii="Courier New" w:eastAsia="Times New Roman" w:hAnsi="Courier New" w:cs="Courier New"/>
      <w:lang w:val="ru-RU" w:eastAsia="ru-RU"/>
    </w:rPr>
  </w:style>
  <w:style w:type="character" w:styleId="Hyperlink">
    <w:name w:val="Hyperlink"/>
    <w:basedOn w:val="DefaultParagraphFont"/>
    <w:uiPriority w:val="99"/>
    <w:unhideWhenUsed/>
    <w:rsid w:val="001F508A"/>
    <w:rPr>
      <w:color w:val="0000FF"/>
      <w:u w:val="single"/>
    </w:rPr>
  </w:style>
  <w:style w:type="paragraph" w:styleId="Title">
    <w:name w:val="Title"/>
    <w:basedOn w:val="Normal"/>
    <w:link w:val="TitleChar"/>
    <w:qFormat/>
    <w:rsid w:val="001F508A"/>
    <w:pPr>
      <w:jc w:val="center"/>
    </w:pPr>
    <w:rPr>
      <w:b/>
      <w:szCs w:val="20"/>
      <w:lang w:eastAsia="en-US"/>
    </w:rPr>
  </w:style>
  <w:style w:type="character" w:customStyle="1" w:styleId="TitleChar">
    <w:name w:val="Title Char"/>
    <w:basedOn w:val="DefaultParagraphFont"/>
    <w:link w:val="Title"/>
    <w:rsid w:val="001F508A"/>
    <w:rPr>
      <w:rFonts w:eastAsia="Times New Roman" w:cs="Times New Roman"/>
      <w:b/>
      <w:sz w:val="24"/>
      <w:lang w:eastAsia="en-US"/>
    </w:rPr>
  </w:style>
  <w:style w:type="paragraph" w:styleId="BodyText">
    <w:name w:val="Body Text"/>
    <w:basedOn w:val="Normal"/>
    <w:link w:val="BodyTextChar"/>
    <w:rsid w:val="001F508A"/>
    <w:pPr>
      <w:spacing w:after="120"/>
    </w:pPr>
    <w:rPr>
      <w:lang w:val="en-US" w:eastAsia="en-US"/>
    </w:rPr>
  </w:style>
  <w:style w:type="character" w:customStyle="1" w:styleId="BodyTextChar">
    <w:name w:val="Body Text Char"/>
    <w:basedOn w:val="DefaultParagraphFont"/>
    <w:link w:val="BodyText"/>
    <w:rsid w:val="001F508A"/>
    <w:rPr>
      <w:rFonts w:eastAsia="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Edmunds Tamanis</dc:creator>
  <cp:lastModifiedBy>Admin</cp:lastModifiedBy>
  <cp:revision>8</cp:revision>
  <dcterms:created xsi:type="dcterms:W3CDTF">2024-04-16T13:37:00Z</dcterms:created>
  <dcterms:modified xsi:type="dcterms:W3CDTF">2024-07-02T13:51:00Z</dcterms:modified>
</cp:coreProperties>
</file>