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058" w:rsidRPr="0049086B" w:rsidRDefault="00584058" w:rsidP="00584058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584058" w:rsidRPr="0049086B" w:rsidRDefault="00584058" w:rsidP="00584058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584058" w:rsidRPr="00E13AEA" w:rsidRDefault="00584058" w:rsidP="00584058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49"/>
        <w:gridCol w:w="4816"/>
      </w:tblGrid>
      <w:tr w:rsidR="00584058" w:rsidRPr="0093308E" w:rsidTr="00401CAA">
        <w:tc>
          <w:tcPr>
            <w:tcW w:w="4219" w:type="dxa"/>
          </w:tcPr>
          <w:p w:rsidR="00584058" w:rsidRPr="0093308E" w:rsidRDefault="00584058" w:rsidP="00401CA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584058" w:rsidRPr="00584058" w:rsidRDefault="00584058" w:rsidP="00401CAA">
            <w:pPr>
              <w:rPr>
                <w:b/>
                <w:i/>
                <w:lang w:eastAsia="lv-LV"/>
              </w:rPr>
            </w:pPr>
            <w:r w:rsidRPr="00584058">
              <w:rPr>
                <w:b/>
                <w:i/>
              </w:rPr>
              <w:t xml:space="preserve">Pielietojamā bioloģija un </w:t>
            </w:r>
            <w:proofErr w:type="spellStart"/>
            <w:r w:rsidRPr="00584058">
              <w:rPr>
                <w:b/>
                <w:i/>
              </w:rPr>
              <w:t>bioekonomika</w:t>
            </w:r>
            <w:proofErr w:type="spellEnd"/>
            <w:r w:rsidRPr="00584058">
              <w:rPr>
                <w:b/>
                <w:i/>
              </w:rPr>
              <w:t xml:space="preserve"> II: Zinātnes komunikācija dabaszinātnēs</w:t>
            </w:r>
          </w:p>
        </w:tc>
      </w:tr>
      <w:tr w:rsidR="00584058" w:rsidRPr="0093308E" w:rsidTr="00401CAA">
        <w:tc>
          <w:tcPr>
            <w:tcW w:w="4219" w:type="dxa"/>
          </w:tcPr>
          <w:p w:rsidR="00584058" w:rsidRPr="0093308E" w:rsidRDefault="00584058" w:rsidP="00401CA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584058" w:rsidRPr="0093308E" w:rsidRDefault="00584058" w:rsidP="00401CAA">
            <w:pPr>
              <w:rPr>
                <w:lang w:eastAsia="lv-LV"/>
              </w:rPr>
            </w:pPr>
          </w:p>
        </w:tc>
      </w:tr>
      <w:tr w:rsidR="00584058" w:rsidRPr="0093308E" w:rsidTr="00401CAA">
        <w:tc>
          <w:tcPr>
            <w:tcW w:w="4219" w:type="dxa"/>
          </w:tcPr>
          <w:p w:rsidR="00584058" w:rsidRPr="0093308E" w:rsidRDefault="00584058" w:rsidP="00401CAA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5E753270FC264429BCBC2FC880FDB9D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584058" w:rsidRPr="003023B6" w:rsidRDefault="00584058" w:rsidP="00401CAA">
                <w:r w:rsidRPr="003023B6">
                  <w:t>Bioloģija</w:t>
                </w:r>
              </w:p>
            </w:tc>
          </w:sdtContent>
        </w:sdt>
      </w:tr>
      <w:tr w:rsidR="00584058" w:rsidRPr="0093308E" w:rsidTr="00401CAA">
        <w:tc>
          <w:tcPr>
            <w:tcW w:w="4219" w:type="dxa"/>
          </w:tcPr>
          <w:p w:rsidR="00584058" w:rsidRPr="0093308E" w:rsidRDefault="00584058" w:rsidP="00401CA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584058" w:rsidRPr="0093308E" w:rsidRDefault="00584058" w:rsidP="00401CAA">
            <w:pPr>
              <w:rPr>
                <w:lang w:eastAsia="lv-LV"/>
              </w:rPr>
            </w:pPr>
            <w:r>
              <w:t>5</w:t>
            </w:r>
          </w:p>
        </w:tc>
      </w:tr>
      <w:tr w:rsidR="00584058" w:rsidRPr="0093308E" w:rsidTr="00401CAA">
        <w:tc>
          <w:tcPr>
            <w:tcW w:w="4219" w:type="dxa"/>
          </w:tcPr>
          <w:p w:rsidR="00584058" w:rsidRPr="0093308E" w:rsidRDefault="00584058" w:rsidP="00401CA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584058" w:rsidRPr="003023B6" w:rsidRDefault="00584058" w:rsidP="00401CAA">
            <w:pPr>
              <w:rPr>
                <w:b/>
                <w:lang w:eastAsia="lv-LV"/>
              </w:rPr>
            </w:pPr>
            <w:r w:rsidRPr="003023B6">
              <w:rPr>
                <w:b/>
              </w:rPr>
              <w:t>1</w:t>
            </w:r>
          </w:p>
        </w:tc>
      </w:tr>
      <w:tr w:rsidR="00584058" w:rsidRPr="0093308E" w:rsidTr="00401CAA">
        <w:tc>
          <w:tcPr>
            <w:tcW w:w="4219" w:type="dxa"/>
          </w:tcPr>
          <w:p w:rsidR="00584058" w:rsidRPr="0093308E" w:rsidRDefault="00584058" w:rsidP="00401CA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584058" w:rsidRPr="003023B6" w:rsidRDefault="00584058" w:rsidP="00401CAA">
            <w:pPr>
              <w:rPr>
                <w:b/>
              </w:rPr>
            </w:pPr>
            <w:r w:rsidRPr="003023B6">
              <w:rPr>
                <w:b/>
              </w:rPr>
              <w:t>1,5</w:t>
            </w:r>
          </w:p>
        </w:tc>
      </w:tr>
      <w:tr w:rsidR="00584058" w:rsidRPr="0093308E" w:rsidTr="00401CAA">
        <w:tc>
          <w:tcPr>
            <w:tcW w:w="4219" w:type="dxa"/>
          </w:tcPr>
          <w:p w:rsidR="00584058" w:rsidRPr="0093308E" w:rsidRDefault="00584058" w:rsidP="00401CA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584058" w:rsidRPr="0093308E" w:rsidRDefault="00584058" w:rsidP="00401CAA">
            <w:pPr>
              <w:rPr>
                <w:lang w:eastAsia="lv-LV"/>
              </w:rPr>
            </w:pPr>
            <w:r>
              <w:t>16</w:t>
            </w:r>
          </w:p>
        </w:tc>
      </w:tr>
      <w:tr w:rsidR="00584058" w:rsidRPr="0093308E" w:rsidTr="00401CAA">
        <w:tc>
          <w:tcPr>
            <w:tcW w:w="4219" w:type="dxa"/>
          </w:tcPr>
          <w:p w:rsidR="00584058" w:rsidRPr="0093308E" w:rsidRDefault="00584058" w:rsidP="00401CA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584058" w:rsidRPr="0093308E" w:rsidRDefault="00584058" w:rsidP="00401CAA"/>
        </w:tc>
      </w:tr>
      <w:tr w:rsidR="00584058" w:rsidRPr="0093308E" w:rsidTr="00401CAA">
        <w:tc>
          <w:tcPr>
            <w:tcW w:w="4219" w:type="dxa"/>
          </w:tcPr>
          <w:p w:rsidR="00584058" w:rsidRPr="0093308E" w:rsidRDefault="00584058" w:rsidP="00401CA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584058" w:rsidRPr="0093308E" w:rsidRDefault="00584058" w:rsidP="00401CAA">
            <w:r>
              <w:t>16</w:t>
            </w:r>
          </w:p>
        </w:tc>
      </w:tr>
      <w:tr w:rsidR="00584058" w:rsidRPr="0093308E" w:rsidTr="00401CAA">
        <w:tc>
          <w:tcPr>
            <w:tcW w:w="4219" w:type="dxa"/>
          </w:tcPr>
          <w:p w:rsidR="00584058" w:rsidRPr="0093308E" w:rsidRDefault="00584058" w:rsidP="00401CA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584058" w:rsidRPr="0093308E" w:rsidRDefault="00584058" w:rsidP="00401CAA">
            <w:r>
              <w:t>-</w:t>
            </w:r>
          </w:p>
        </w:tc>
      </w:tr>
      <w:tr w:rsidR="00584058" w:rsidRPr="0093308E" w:rsidTr="00401CAA">
        <w:tc>
          <w:tcPr>
            <w:tcW w:w="4219" w:type="dxa"/>
          </w:tcPr>
          <w:p w:rsidR="00584058" w:rsidRPr="0093308E" w:rsidRDefault="00584058" w:rsidP="00401CA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584058" w:rsidRPr="0093308E" w:rsidRDefault="00584058" w:rsidP="00401CAA">
            <w:r>
              <w:t>-</w:t>
            </w:r>
          </w:p>
        </w:tc>
      </w:tr>
      <w:tr w:rsidR="00584058" w:rsidRPr="0093308E" w:rsidTr="00401CAA">
        <w:tc>
          <w:tcPr>
            <w:tcW w:w="4219" w:type="dxa"/>
          </w:tcPr>
          <w:p w:rsidR="00584058" w:rsidRPr="0093308E" w:rsidRDefault="00584058" w:rsidP="00401CA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584058" w:rsidRPr="0093308E" w:rsidRDefault="00584058" w:rsidP="00401CAA">
            <w:pPr>
              <w:rPr>
                <w:lang w:eastAsia="lv-LV"/>
              </w:rPr>
            </w:pPr>
            <w:r>
              <w:t>24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rPr>
                <w:lang w:eastAsia="lv-LV"/>
              </w:rPr>
            </w:pP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pStyle w:val="Nosaukumi"/>
            </w:pPr>
            <w:r w:rsidRPr="0093308E">
              <w:t>Kursa autors(-i)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r>
              <w:t xml:space="preserve">Dr. biol. Uldis Valainis 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pStyle w:val="Nosaukumi"/>
            </w:pPr>
            <w:r w:rsidRPr="0093308E">
              <w:t>Kursa docētājs(-i)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Default="00584058" w:rsidP="00401CAA">
            <w:r>
              <w:t xml:space="preserve">Dr.biol., profesors Arvīds </w:t>
            </w:r>
            <w:proofErr w:type="spellStart"/>
            <w:r>
              <w:t>Barševskis</w:t>
            </w:r>
            <w:proofErr w:type="spellEnd"/>
            <w:r w:rsidRPr="00336CE4">
              <w:t xml:space="preserve">, Dzīvības zinātņu un tehnoloģiju institūts, </w:t>
            </w:r>
            <w:proofErr w:type="spellStart"/>
            <w:r>
              <w:t>Biosistemātikas</w:t>
            </w:r>
            <w:proofErr w:type="spellEnd"/>
            <w:r w:rsidRPr="00336CE4">
              <w:t xml:space="preserve"> departaments</w:t>
            </w:r>
          </w:p>
          <w:p w:rsidR="00584058" w:rsidRPr="007534EA" w:rsidRDefault="00584058" w:rsidP="00401CAA">
            <w:r>
              <w:t xml:space="preserve">Dr.biol., </w:t>
            </w:r>
            <w:proofErr w:type="spellStart"/>
            <w:r>
              <w:t>vad.pētnieks</w:t>
            </w:r>
            <w:proofErr w:type="spellEnd"/>
            <w:r>
              <w:t xml:space="preserve"> Uldis Valainis</w:t>
            </w:r>
            <w:r w:rsidRPr="00336CE4">
              <w:t xml:space="preserve">, Dzīvības zinātņu un tehnoloģiju institūts, </w:t>
            </w:r>
            <w:proofErr w:type="spellStart"/>
            <w:r w:rsidRPr="00336CE4">
              <w:t>Biosistemātikas</w:t>
            </w:r>
            <w:proofErr w:type="spellEnd"/>
            <w:r w:rsidRPr="00336CE4">
              <w:t xml:space="preserve"> departaments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pStyle w:val="Nosaukumi"/>
            </w:pPr>
            <w:r w:rsidRPr="0093308E">
              <w:t>Priekšzināšanas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055DD0" w:rsidRDefault="00584058" w:rsidP="00401CAA">
            <w:r>
              <w:t xml:space="preserve">Pielietojamā bioloģija un </w:t>
            </w:r>
            <w:proofErr w:type="spellStart"/>
            <w:r>
              <w:t>bioekonomika</w:t>
            </w:r>
            <w:proofErr w:type="spellEnd"/>
            <w:r>
              <w:t xml:space="preserve"> I: Dabisko dzīvo resursu uzturēšana un aizsardzība</w:t>
            </w:r>
          </w:p>
          <w:p w:rsidR="00584058" w:rsidRPr="0093308E" w:rsidRDefault="00584058" w:rsidP="00401CAA">
            <w:r>
              <w:t xml:space="preserve">Pielietojamā bioloģija </w:t>
            </w:r>
            <w:r w:rsidRPr="00055DD0">
              <w:t xml:space="preserve">un </w:t>
            </w:r>
            <w:proofErr w:type="spellStart"/>
            <w:r w:rsidRPr="00055DD0">
              <w:t>bioekonomika</w:t>
            </w:r>
            <w:proofErr w:type="spellEnd"/>
            <w:r w:rsidRPr="00055DD0">
              <w:t xml:space="preserve"> I: Darba organizācija un drošība bioloģiskajās un klīniskajās laboratorijās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B32134" w:rsidRDefault="00584058" w:rsidP="00401CAA">
            <w:r w:rsidRPr="00B32134">
              <w:t>Zinātnes komunikācija dabaszinātnēs:</w:t>
            </w:r>
          </w:p>
          <w:p w:rsidR="00584058" w:rsidRPr="00B32134" w:rsidRDefault="00584058" w:rsidP="00401CAA">
            <w:r w:rsidRPr="009D4280">
              <w:t xml:space="preserve">Studiju </w:t>
            </w:r>
            <w:r w:rsidRPr="00B32134">
              <w:t xml:space="preserve">kurss ir paredzēts DU dabaszinātņu jomā studējošajiem maģistratūras studentiem. </w:t>
            </w:r>
          </w:p>
          <w:p w:rsidR="00584058" w:rsidRPr="009D4280" w:rsidRDefault="00584058" w:rsidP="00401CAA"/>
          <w:p w:rsidR="00584058" w:rsidRPr="00B32134" w:rsidRDefault="00584058" w:rsidP="00401CAA">
            <w:r w:rsidRPr="009D4280">
              <w:t xml:space="preserve">Studiju </w:t>
            </w:r>
            <w:r w:rsidRPr="00B32134">
              <w:t>kursa mērķis ir pilnveidot studējošo izpratni par zinātnes komunikācijas teorētiskajiem aspektiem, kā arī attīstīt praktiskās iemaņas dažādu zinātnes komunikācijas paņēmienu izmantošanā.</w:t>
            </w:r>
          </w:p>
          <w:p w:rsidR="00584058" w:rsidRPr="009D4280" w:rsidRDefault="00584058" w:rsidP="00401CAA"/>
          <w:p w:rsidR="00584058" w:rsidRPr="00B32134" w:rsidRDefault="00584058" w:rsidP="00401CAA">
            <w:r w:rsidRPr="009D4280">
              <w:t xml:space="preserve">Studiju </w:t>
            </w:r>
            <w:r w:rsidRPr="00B32134">
              <w:t>kursa uzdevumi:</w:t>
            </w:r>
          </w:p>
          <w:p w:rsidR="00584058" w:rsidRPr="00B32134" w:rsidRDefault="00584058" w:rsidP="00401CAA">
            <w:pPr>
              <w:pStyle w:val="ListParagraph"/>
            </w:pPr>
            <w:r w:rsidRPr="009D4280">
              <w:t>Veidot izpratni par zinātniskās informācijas lomu sabiedrībā un zinātnisko pētījumu attīstībā.</w:t>
            </w:r>
          </w:p>
          <w:p w:rsidR="00584058" w:rsidRPr="00B32134" w:rsidRDefault="00584058" w:rsidP="00401CAA">
            <w:pPr>
              <w:pStyle w:val="ListParagraph"/>
            </w:pPr>
            <w:r w:rsidRPr="009D4280">
              <w:t xml:space="preserve">Sniegt </w:t>
            </w:r>
            <w:proofErr w:type="spellStart"/>
            <w:r w:rsidRPr="009D4280">
              <w:t>pamatzināšanas</w:t>
            </w:r>
            <w:proofErr w:type="spellEnd"/>
            <w:r w:rsidRPr="009D4280">
              <w:t xml:space="preserve"> </w:t>
            </w:r>
            <w:r w:rsidRPr="00B32134">
              <w:t>par dažādu zinātniskās komunikācijas veidu un formu izmantošanas principiem un to pielietošanas iespējām dabaszinātnēs.</w:t>
            </w:r>
          </w:p>
          <w:p w:rsidR="00584058" w:rsidRPr="00B32134" w:rsidRDefault="00584058" w:rsidP="00401CAA">
            <w:pPr>
              <w:pStyle w:val="ListParagraph"/>
            </w:pPr>
            <w:r>
              <w:t>Pilnveidot kompetenci</w:t>
            </w:r>
            <w:r w:rsidRPr="00B32134">
              <w:t xml:space="preserve"> dažādu zinātnes komunikācijas metožu efektīvai pielietošanai dažādās mērķauditorijās.</w:t>
            </w:r>
          </w:p>
          <w:p w:rsidR="00584058" w:rsidRPr="00B32134" w:rsidRDefault="00584058" w:rsidP="00401CAA">
            <w:pPr>
              <w:pStyle w:val="ListParagraph"/>
            </w:pPr>
            <w:r w:rsidRPr="009D4280">
              <w:t xml:space="preserve">Attīstīt </w:t>
            </w:r>
            <w:r w:rsidRPr="00B32134">
              <w:t>praktiskās iemaņas patstāvīgi analizēt zinātnisko literatūru un veicināt izpratni par zinātnisko rakstu sagatavošanas pamatprincipiem.</w:t>
            </w:r>
          </w:p>
          <w:p w:rsidR="00584058" w:rsidRPr="00B32134" w:rsidRDefault="00584058" w:rsidP="00401CAA">
            <w:pPr>
              <w:pStyle w:val="ListParagraph"/>
            </w:pPr>
            <w:r>
              <w:t>Attīstīt praktiskās</w:t>
            </w:r>
            <w:r w:rsidRPr="00B32134">
              <w:t xml:space="preserve"> iemaņas pētniecisko tēmu prezentēšanā dažādām mērķauditorijām un pilnveidot publiskās uzstāšanās prasmes.</w:t>
            </w:r>
          </w:p>
          <w:p w:rsidR="00584058" w:rsidRPr="0093308E" w:rsidRDefault="00584058" w:rsidP="00401CAA"/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pStyle w:val="Nosaukumi"/>
            </w:pPr>
            <w:r w:rsidRPr="0093308E">
              <w:t>Studiju kursa kalendārais plāns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Default="00584058" w:rsidP="00401CAA">
            <w:r w:rsidRPr="00B32134">
              <w:lastRenderedPageBreak/>
              <w:t>Zinātnes komunikācija dabaszinātnēs</w:t>
            </w:r>
          </w:p>
          <w:p w:rsidR="00584058" w:rsidRPr="00B32134" w:rsidRDefault="00584058" w:rsidP="00401CAA">
            <w:r>
              <w:t>S16</w:t>
            </w:r>
            <w:r w:rsidRPr="00B32134">
              <w:t xml:space="preserve">, </w:t>
            </w:r>
            <w:proofErr w:type="spellStart"/>
            <w:r w:rsidRPr="00B32134">
              <w:t>Pd</w:t>
            </w:r>
            <w:proofErr w:type="spellEnd"/>
            <w:r w:rsidRPr="00B32134">
              <w:t xml:space="preserve"> 24 </w:t>
            </w:r>
          </w:p>
          <w:p w:rsidR="00584058" w:rsidRDefault="00584058" w:rsidP="00401CAA"/>
          <w:p w:rsidR="00584058" w:rsidRPr="00B32134" w:rsidRDefault="00584058" w:rsidP="00401CAA">
            <w:r>
              <w:t>1. Z</w:t>
            </w:r>
            <w:r w:rsidRPr="00B32134">
              <w:t>inātniskās informācijas loma sabiedrībā un zinātnisko pētījumu attīstībā.</w:t>
            </w:r>
            <w:r>
              <w:t xml:space="preserve"> S2</w:t>
            </w:r>
          </w:p>
          <w:p w:rsidR="00584058" w:rsidRPr="00B32134" w:rsidRDefault="00584058" w:rsidP="00401CAA">
            <w:r>
              <w:t>2. Efektīvas</w:t>
            </w:r>
            <w:r w:rsidRPr="00B32134">
              <w:t xml:space="preserve"> zinātnes komunikācijas pamatprincipi un zinātnes komunikācijas īpatnības dabaszinātnēs.</w:t>
            </w:r>
            <w:r>
              <w:t xml:space="preserve"> S2</w:t>
            </w:r>
            <w:r w:rsidRPr="00B32134">
              <w:t>, Pd10st.</w:t>
            </w:r>
          </w:p>
          <w:p w:rsidR="00584058" w:rsidRPr="00B32134" w:rsidRDefault="00584058" w:rsidP="00401CAA">
            <w:r>
              <w:t>3. Zinātniskās informācijas atlases un analīzes pamatprincipi. S4, Pd4st.</w:t>
            </w:r>
          </w:p>
          <w:p w:rsidR="00584058" w:rsidRPr="00B32134" w:rsidRDefault="00584058" w:rsidP="00401CAA">
            <w:r>
              <w:t xml:space="preserve">4. Zinātniska satura informācijas </w:t>
            </w:r>
            <w:r w:rsidRPr="00B32134">
              <w:t>sagatavošana, prezentēšana un pielāgošanās dažādām mērķauditorijām. S2, Pd10st.</w:t>
            </w:r>
          </w:p>
          <w:p w:rsidR="00584058" w:rsidRPr="00B32134" w:rsidRDefault="00584058" w:rsidP="00401CAA">
            <w:r>
              <w:t>5. Kvalitatīvu</w:t>
            </w:r>
            <w:r w:rsidRPr="00B32134">
              <w:t xml:space="preserve"> zinātnisko rakstu sagatavošanas pamatprincipi.</w:t>
            </w:r>
            <w:r>
              <w:t xml:space="preserve"> S4</w:t>
            </w:r>
          </w:p>
          <w:p w:rsidR="00584058" w:rsidRPr="00B32134" w:rsidRDefault="00584058" w:rsidP="00401CAA">
            <w:r>
              <w:t>6. Nozīmīgākie informācijas izplatīšanas kanāli un to efektīva izmantošana S2</w:t>
            </w:r>
          </w:p>
          <w:p w:rsidR="00584058" w:rsidRPr="0093308E" w:rsidRDefault="00584058" w:rsidP="00401CAA"/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pStyle w:val="Nosaukumi"/>
            </w:pPr>
            <w:r w:rsidRPr="0093308E">
              <w:t>Studiju rezultāti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EF77BF" w:rsidRDefault="00584058" w:rsidP="00401CAA">
            <w:r w:rsidRPr="00A22562">
              <w:t>Zināšanas</w:t>
            </w:r>
          </w:p>
          <w:p w:rsidR="00584058" w:rsidRPr="00EF77BF" w:rsidRDefault="00584058" w:rsidP="00401CAA">
            <w:pPr>
              <w:pStyle w:val="ListParagraph"/>
            </w:pPr>
            <w:r w:rsidRPr="00A22562">
              <w:t xml:space="preserve">Demonstrē zināšanas par </w:t>
            </w:r>
            <w:r w:rsidRPr="00EF77BF">
              <w:t>dažādu zinātnes komunikācijas veidu un formu izmantošanas principiem un to pielietošanas iespējām dabaszinātnēs.</w:t>
            </w:r>
          </w:p>
          <w:p w:rsidR="00584058" w:rsidRPr="00EF77BF" w:rsidRDefault="00584058" w:rsidP="00401CAA">
            <w:pPr>
              <w:pStyle w:val="ListParagraph"/>
            </w:pPr>
            <w:r w:rsidRPr="00A22562">
              <w:t xml:space="preserve">Pārzina </w:t>
            </w:r>
            <w:r w:rsidRPr="00EF77BF">
              <w:t>galvenās zinātniskās informācijas iegūšanas metodes.</w:t>
            </w:r>
          </w:p>
          <w:p w:rsidR="00584058" w:rsidRPr="00EF77BF" w:rsidRDefault="00584058" w:rsidP="00401CAA">
            <w:pPr>
              <w:pStyle w:val="ListParagraph"/>
            </w:pPr>
            <w:r w:rsidRPr="00A22562">
              <w:t>P</w:t>
            </w:r>
            <w:r w:rsidRPr="00EF77BF">
              <w:t>ārzina zinātnisko un populārzinātnisko rakstu sagatavošanas pamatprincipus.</w:t>
            </w:r>
          </w:p>
          <w:p w:rsidR="00584058" w:rsidRPr="00EF77BF" w:rsidRDefault="00584058" w:rsidP="00401CAA">
            <w:pPr>
              <w:pStyle w:val="ListParagraph"/>
            </w:pPr>
            <w:r w:rsidRPr="00A22562">
              <w:t>Pārzina efektīvas publiskās uzstāšanās pamatprincipus.</w:t>
            </w:r>
          </w:p>
          <w:p w:rsidR="00584058" w:rsidRPr="00EF77BF" w:rsidRDefault="00584058" w:rsidP="00401CAA">
            <w:pPr>
              <w:pStyle w:val="ListParagraph"/>
            </w:pPr>
            <w:r w:rsidRPr="00A22562">
              <w:t>Pārzina nozīmīgākos informācijas izplatīšanas kanālus</w:t>
            </w:r>
            <w:r w:rsidRPr="00EF77BF">
              <w:t xml:space="preserve"> un būtiskākās komunikācijas metodes.</w:t>
            </w:r>
          </w:p>
          <w:p w:rsidR="00584058" w:rsidRPr="00A22562" w:rsidRDefault="00584058" w:rsidP="00401CAA"/>
          <w:p w:rsidR="00584058" w:rsidRPr="00EF77BF" w:rsidRDefault="00584058" w:rsidP="00401CAA">
            <w:r w:rsidRPr="00A22562">
              <w:t>Prasmes</w:t>
            </w:r>
          </w:p>
          <w:p w:rsidR="00584058" w:rsidRPr="00EF77BF" w:rsidRDefault="00584058" w:rsidP="00401CAA">
            <w:pPr>
              <w:pStyle w:val="ListParagraph"/>
            </w:pPr>
            <w:r w:rsidRPr="00A22562">
              <w:t>Prot pielietot dažādas zinātnes komunikācijas metodes</w:t>
            </w:r>
          </w:p>
          <w:p w:rsidR="00584058" w:rsidRPr="00EF77BF" w:rsidRDefault="00584058" w:rsidP="00401CAA">
            <w:pPr>
              <w:pStyle w:val="ListParagraph"/>
            </w:pPr>
            <w:r w:rsidRPr="00A22562">
              <w:t xml:space="preserve">Prot patstāvīgi </w:t>
            </w:r>
            <w:r w:rsidRPr="00EF77BF">
              <w:t>veikt zinātniskās informācijas meklēšanu.</w:t>
            </w:r>
          </w:p>
          <w:p w:rsidR="00584058" w:rsidRPr="00EF77BF" w:rsidRDefault="00584058" w:rsidP="00401CAA">
            <w:pPr>
              <w:pStyle w:val="ListParagraph"/>
            </w:pPr>
            <w:r w:rsidRPr="00A22562">
              <w:t>Prot kvalitatīvi sagatavot informāciju par zinātniskām tēmām un pielāgot to izmantošanai dažādās mērķauditorijās.</w:t>
            </w:r>
          </w:p>
          <w:p w:rsidR="00584058" w:rsidRPr="00EF77BF" w:rsidRDefault="00584058" w:rsidP="00401CAA">
            <w:pPr>
              <w:pStyle w:val="ListParagraph"/>
            </w:pPr>
            <w:r w:rsidRPr="00A22562">
              <w:t xml:space="preserve">Prot nodrošināt </w:t>
            </w:r>
            <w:r w:rsidRPr="00EF77BF">
              <w:t>efektīvu publicitāti dažādām zinātnes komunikācijas aktivitātēm.</w:t>
            </w:r>
          </w:p>
          <w:p w:rsidR="00584058" w:rsidRPr="00A22562" w:rsidRDefault="00584058" w:rsidP="00401CAA">
            <w:pPr>
              <w:pStyle w:val="ListParagraph"/>
            </w:pPr>
          </w:p>
          <w:p w:rsidR="00584058" w:rsidRPr="00EF77BF" w:rsidRDefault="00584058" w:rsidP="00401CAA">
            <w:r w:rsidRPr="00A22562">
              <w:t>Kompetences</w:t>
            </w:r>
          </w:p>
          <w:p w:rsidR="00584058" w:rsidRPr="00EF77BF" w:rsidRDefault="00584058" w:rsidP="00401CAA">
            <w:pPr>
              <w:pStyle w:val="ListParagraph"/>
            </w:pPr>
            <w:r w:rsidRPr="00A22562">
              <w:t>Izprot zinātnes komunikācijas nozīmi sabiedrības izpratnes veicināšanā par zinātnes procesiem, attīstību un sasniegumiem.</w:t>
            </w:r>
          </w:p>
          <w:p w:rsidR="00584058" w:rsidRPr="00EF77BF" w:rsidRDefault="00584058" w:rsidP="00401CAA">
            <w:pPr>
              <w:pStyle w:val="ListParagraph"/>
            </w:pPr>
            <w:r w:rsidRPr="00A22562">
              <w:t>Spēj analizēt</w:t>
            </w:r>
            <w:r w:rsidRPr="00EF77BF">
              <w:t xml:space="preserve"> un kritiski izvērtēt zinātnisko informāciju.</w:t>
            </w:r>
          </w:p>
          <w:p w:rsidR="00584058" w:rsidRPr="00EF77BF" w:rsidRDefault="00584058" w:rsidP="00401CAA">
            <w:pPr>
              <w:pStyle w:val="ListParagraph"/>
            </w:pPr>
            <w:r w:rsidRPr="00A22562">
              <w:t xml:space="preserve">Spēj </w:t>
            </w:r>
            <w:r w:rsidRPr="00EF77BF">
              <w:t>diskutēt par pētnieciskajiem jautājumiem, pielāgojoties dažādām mērķauditorijām.</w:t>
            </w:r>
          </w:p>
          <w:p w:rsidR="00584058" w:rsidRPr="0093308E" w:rsidRDefault="00584058" w:rsidP="00401CAA"/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EF77BF" w:rsidRDefault="00584058" w:rsidP="00401CAA">
            <w:r w:rsidRPr="00FE0C71">
              <w:t xml:space="preserve">Studējošo patstāvīgais darbs tiek organizēts individuāli un/vai grupās. </w:t>
            </w:r>
          </w:p>
          <w:p w:rsidR="00584058" w:rsidRPr="00EF77BF" w:rsidRDefault="00584058" w:rsidP="00401CAA">
            <w:r w:rsidRPr="00FE0C71">
              <w:t>Patstāvīgie uzdevumi</w:t>
            </w:r>
            <w:r w:rsidRPr="00EF77BF">
              <w:t>:</w:t>
            </w:r>
            <w:r w:rsidRPr="00EF77BF">
              <w:br/>
              <w:t>Informācijas atlase un analīze par izvēlētās dabaszinātņu jomas tematiku. Pd4</w:t>
            </w:r>
          </w:p>
          <w:p w:rsidR="00584058" w:rsidRPr="00EF77BF" w:rsidRDefault="00584058" w:rsidP="00401CAA">
            <w:r>
              <w:t>Zinātniska satura prezentāciju sagatavošana nespecializētai auditorijai un zinātnieku auditorijai. Pd10</w:t>
            </w:r>
          </w:p>
          <w:p w:rsidR="00584058" w:rsidRPr="0093308E" w:rsidRDefault="00584058" w:rsidP="00401CAA">
            <w:r>
              <w:t>Zinātnes komunikācijas aktivitātes scenārija izstrāde un prezentācija ar dabaszinātnēm saistītā tematikā. Pd10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pStyle w:val="Nosaukumi"/>
            </w:pPr>
            <w:r w:rsidRPr="0093308E">
              <w:t>Prasības kredītpunktu iegūšanai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EF77BF" w:rsidRDefault="00584058" w:rsidP="00401CAA">
            <w:r w:rsidRPr="00FE0C71">
              <w:t xml:space="preserve">Studiju kursa gala vērtējumu veido </w:t>
            </w:r>
            <w:proofErr w:type="spellStart"/>
            <w:r w:rsidRPr="00FE0C71">
              <w:t>starppārbaudījumu</w:t>
            </w:r>
            <w:proofErr w:type="spellEnd"/>
            <w:r w:rsidRPr="00FE0C71">
              <w:t xml:space="preserve"> (patstāvīgo darbu) un </w:t>
            </w:r>
            <w:r w:rsidRPr="00EF77BF">
              <w:t xml:space="preserve">pārbaudījuma vērtējums. Studenti patstāvīgos darbus iesniedz līdz nodarbību plānā norādītajiem datumiem.  Pārbaudījumu studenti kārto tikai tad, ja ir nokārtoti visi </w:t>
            </w:r>
            <w:proofErr w:type="spellStart"/>
            <w:r w:rsidRPr="00EF77BF">
              <w:t>starppārbaudījumi</w:t>
            </w:r>
            <w:proofErr w:type="spellEnd"/>
            <w:r w:rsidRPr="00EF77BF">
              <w:t>.</w:t>
            </w:r>
          </w:p>
          <w:p w:rsidR="00584058" w:rsidRDefault="00584058" w:rsidP="00401CAA"/>
          <w:p w:rsidR="00584058" w:rsidRPr="00EF77BF" w:rsidRDefault="00584058" w:rsidP="00401CAA">
            <w:proofErr w:type="spellStart"/>
            <w:r w:rsidRPr="00FE0C71">
              <w:lastRenderedPageBreak/>
              <w:t>Starppārbaudījumi</w:t>
            </w:r>
            <w:proofErr w:type="spellEnd"/>
            <w:r w:rsidRPr="00FE0C71">
              <w:t>:</w:t>
            </w:r>
          </w:p>
          <w:p w:rsidR="00584058" w:rsidRPr="00EF77BF" w:rsidRDefault="00584058" w:rsidP="00401CAA">
            <w:r w:rsidRPr="00FE0C71">
              <w:t xml:space="preserve">1.starppārbaudījums. </w:t>
            </w:r>
            <w:r w:rsidRPr="00EF77BF">
              <w:t>Prezentāciju sagatavošana – 20%.</w:t>
            </w:r>
          </w:p>
          <w:p w:rsidR="00584058" w:rsidRPr="00EF77BF" w:rsidRDefault="00584058" w:rsidP="00401CAA">
            <w:r w:rsidRPr="00FE0C71">
              <w:t xml:space="preserve">2.starppārbaudījums. </w:t>
            </w:r>
            <w:r w:rsidRPr="00EF77BF">
              <w:t>Zinātnes komunikācijas aktivitātes scenārija sagatavošana  – 20 %.</w:t>
            </w:r>
          </w:p>
          <w:p w:rsidR="00584058" w:rsidRPr="00EF77BF" w:rsidRDefault="00584058" w:rsidP="00401CAA">
            <w:r w:rsidRPr="00FE0C71">
              <w:t xml:space="preserve">3.starppārbaudījums. </w:t>
            </w:r>
            <w:r w:rsidRPr="00EF77BF">
              <w:t xml:space="preserve">Zinātnes komunikācijas aktivitātes scenārija prezentācija  – 20 %. </w:t>
            </w:r>
          </w:p>
          <w:p w:rsidR="00584058" w:rsidRDefault="00584058" w:rsidP="00401CAA"/>
          <w:p w:rsidR="00584058" w:rsidRPr="00EF77BF" w:rsidRDefault="00584058" w:rsidP="00401CAA">
            <w:r w:rsidRPr="00FE0C71">
              <w:t>N</w:t>
            </w:r>
            <w:r w:rsidRPr="00EF77BF">
              <w:t>oslēguma pārbaudījums</w:t>
            </w:r>
            <w:r>
              <w:t xml:space="preserve"> eksāmens</w:t>
            </w:r>
            <w:r w:rsidRPr="00EF77BF">
              <w:t xml:space="preserve"> – 40%</w:t>
            </w:r>
          </w:p>
          <w:p w:rsidR="00584058" w:rsidRPr="00FE0C71" w:rsidRDefault="00584058" w:rsidP="00401CAA"/>
          <w:p w:rsidR="00584058" w:rsidRPr="00EF77BF" w:rsidRDefault="00584058" w:rsidP="00401CAA">
            <w:r w:rsidRPr="00FE0C71">
              <w:t>Studiju rezultātu vērtēšanas kritēriji</w:t>
            </w:r>
            <w:r w:rsidRPr="00EF77BF">
              <w:t xml:space="preserve"> (</w:t>
            </w:r>
            <w:proofErr w:type="spellStart"/>
            <w:r w:rsidRPr="00EF77BF">
              <w:t>Criteria</w:t>
            </w:r>
            <w:proofErr w:type="spellEnd"/>
            <w:r w:rsidRPr="00EF77BF">
              <w:t xml:space="preserve"> </w:t>
            </w:r>
            <w:proofErr w:type="spellStart"/>
            <w:r w:rsidRPr="00EF77BF">
              <w:t>for</w:t>
            </w:r>
            <w:proofErr w:type="spellEnd"/>
            <w:r w:rsidRPr="00EF77BF">
              <w:t xml:space="preserve"> </w:t>
            </w:r>
            <w:proofErr w:type="spellStart"/>
            <w:r w:rsidRPr="00EF77BF">
              <w:t>Evaluation</w:t>
            </w:r>
            <w:proofErr w:type="spellEnd"/>
            <w:r w:rsidRPr="00EF77BF">
              <w:t xml:space="preserve"> </w:t>
            </w:r>
            <w:proofErr w:type="spellStart"/>
            <w:r w:rsidRPr="00EF77BF">
              <w:t>Learning</w:t>
            </w:r>
            <w:proofErr w:type="spellEnd"/>
            <w:r w:rsidRPr="00EF77BF">
              <w:t xml:space="preserve"> </w:t>
            </w:r>
            <w:proofErr w:type="spellStart"/>
            <w:r w:rsidRPr="00EF77BF">
              <w:t>Outcomes</w:t>
            </w:r>
            <w:proofErr w:type="spellEnd"/>
            <w:r w:rsidRPr="00EF77BF">
              <w:t xml:space="preserve">).  Studiju kursa apguve tā noslēgumā tiek vērtēta 10 </w:t>
            </w:r>
            <w:proofErr w:type="spellStart"/>
            <w:r w:rsidRPr="00EF77BF">
              <w:t>ballu</w:t>
            </w:r>
            <w:proofErr w:type="spellEnd"/>
            <w:r w:rsidRPr="00EF77BF">
              <w:t xml:space="preserve"> skalā saskaņā ar Latvijas Republikas  normatīvajiem aktiem un DU Senāta 17.12.2018. protokolu Nr. 15, vadoties pēc šādiem kritērijiem: iegūto zināšanu apjoms un kvalitāte; iegūtās prasmes; iegūtā kompetence atbilstīgi plānotajiem studiju rezultātiem.</w:t>
            </w:r>
          </w:p>
          <w:p w:rsidR="00584058" w:rsidRPr="0093308E" w:rsidRDefault="00584058" w:rsidP="00401CAA">
            <w:r w:rsidRPr="007D7909">
              <w:t>.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552DF3" w:rsidRDefault="00584058" w:rsidP="00401CAA">
            <w:r>
              <w:t xml:space="preserve">Semināri </w:t>
            </w:r>
            <w:r w:rsidRPr="00552DF3">
              <w:t>–</w:t>
            </w:r>
            <w:r>
              <w:t xml:space="preserve"> 16</w:t>
            </w:r>
            <w:r w:rsidRPr="00552DF3">
              <w:t xml:space="preserve">: </w:t>
            </w:r>
          </w:p>
          <w:p w:rsidR="00584058" w:rsidRPr="00552DF3" w:rsidRDefault="00584058" w:rsidP="00401CAA">
            <w:r>
              <w:t>1. Z</w:t>
            </w:r>
            <w:r w:rsidRPr="00552DF3">
              <w:t xml:space="preserve">inātniskās informācijas loma sabiedrībā un zinātnisko pētījumu attīstībā (zinātnes komunikācijas vēsture; mūsdienu zinātnes komunikācijas tendences; zinātnes komunikācijas ētika. </w:t>
            </w:r>
            <w:r>
              <w:t>S2</w:t>
            </w:r>
          </w:p>
          <w:p w:rsidR="00584058" w:rsidRPr="00552DF3" w:rsidRDefault="00584058" w:rsidP="00401CAA">
            <w:r>
              <w:t xml:space="preserve">2. Efektīvas zinātnes komunikācijas pamatprincipi un zinātnes komunikācijas īpatnības dabaszinātnēs (nozīmīgākās </w:t>
            </w:r>
            <w:r w:rsidRPr="00552DF3">
              <w:t>zinātnes komunikācijas metodes un to pielietošanas iespējas dabaszinātnēs, zinātnes komunikācijas aktivitāšu plānošanas un īstenošanas praktiskie aspekti).</w:t>
            </w:r>
            <w:r>
              <w:t xml:space="preserve"> S2</w:t>
            </w:r>
          </w:p>
          <w:p w:rsidR="00584058" w:rsidRPr="00552DF3" w:rsidRDefault="00584058" w:rsidP="00401CAA">
            <w:r>
              <w:t>3. Zinātniska satura informācijas sagatavošana un prezentācija nespecializētai auditorijai (</w:t>
            </w:r>
            <w:r w:rsidRPr="00552DF3">
              <w:t xml:space="preserve">populārzinātnisko rakstu sagatavošanas pamatprincipi, satura pielāgošana mērķauditorijas priekšzināšanu līmenim, kvalitatīvas prezentācijas sagatavošanas pamatprincipi, zinātnes komunikācijas stratēģijas nespecializētā auditorijā). </w:t>
            </w:r>
            <w:r>
              <w:t>S2</w:t>
            </w:r>
          </w:p>
          <w:p w:rsidR="00584058" w:rsidRPr="00552DF3" w:rsidRDefault="00584058" w:rsidP="00401CAA">
            <w:r>
              <w:t xml:space="preserve">4. </w:t>
            </w:r>
            <w:r w:rsidRPr="00552DF3">
              <w:t>Zinātniska satura informācijas sagatavošana un prezentēšana zinātniskajai sabiedrībai (veiksmīgu mutisko ziņojumu/stenda referātu sagatavošana un prezentēšana zinātniskajās konferencēs (mutisko ziņojumu/stenda referātu saturs, noformēšana, publiskās uzstāšanās aspekti).</w:t>
            </w:r>
            <w:r>
              <w:t xml:space="preserve"> S2</w:t>
            </w:r>
          </w:p>
          <w:p w:rsidR="00584058" w:rsidRDefault="00584058" w:rsidP="00401CAA">
            <w:r>
              <w:t xml:space="preserve">5. Zinātniskās informācijas </w:t>
            </w:r>
            <w:r w:rsidRPr="00552DF3">
              <w:t xml:space="preserve">atlases un analīzes pamatprincipi (zinātnisko publikāciju iedalījums, zinātniskā žurnāla kvalitātes kritēriji (WOS un </w:t>
            </w:r>
            <w:proofErr w:type="spellStart"/>
            <w:r w:rsidRPr="00552DF3">
              <w:t>Scopus</w:t>
            </w:r>
            <w:proofErr w:type="spellEnd"/>
            <w:r w:rsidRPr="00552DF3">
              <w:t xml:space="preserve"> indeksētie žurnāli, žurnālu «</w:t>
            </w:r>
            <w:proofErr w:type="spellStart"/>
            <w:r w:rsidRPr="00552DF3">
              <w:t>impact</w:t>
            </w:r>
            <w:proofErr w:type="spellEnd"/>
            <w:r w:rsidRPr="00552DF3">
              <w:t xml:space="preserve"> </w:t>
            </w:r>
            <w:proofErr w:type="spellStart"/>
            <w:r w:rsidRPr="00552DF3">
              <w:t>factor</w:t>
            </w:r>
            <w:proofErr w:type="spellEnd"/>
            <w:r w:rsidRPr="00552DF3">
              <w:t xml:space="preserve">» un Hirša indekss). Zinātniskās informācijas resursu izmantošanas iespējas (DU abonēto </w:t>
            </w:r>
            <w:proofErr w:type="spellStart"/>
            <w:r w:rsidRPr="00552DF3">
              <w:t>datubāzu</w:t>
            </w:r>
            <w:proofErr w:type="spellEnd"/>
            <w:r w:rsidRPr="00552DF3">
              <w:t xml:space="preserve"> analīze, pētnieku un zinātnieku bezmaksas sociālo tīklu (</w:t>
            </w:r>
            <w:proofErr w:type="spellStart"/>
            <w:r w:rsidRPr="00552DF3">
              <w:t>R</w:t>
            </w:r>
            <w:r>
              <w:t>esearchGate</w:t>
            </w:r>
            <w:proofErr w:type="spellEnd"/>
            <w:r>
              <w:t xml:space="preserve">, </w:t>
            </w:r>
            <w:proofErr w:type="spellStart"/>
            <w:r>
              <w:t>Academia</w:t>
            </w:r>
            <w:proofErr w:type="spellEnd"/>
            <w:r>
              <w:t xml:space="preserve"> u.c.) S2</w:t>
            </w:r>
          </w:p>
          <w:p w:rsidR="00584058" w:rsidRPr="00552DF3" w:rsidRDefault="00584058" w:rsidP="00401CAA">
            <w:r>
              <w:t>6. Kvalitatīva</w:t>
            </w:r>
            <w:r w:rsidRPr="00552DF3">
              <w:t xml:space="preserve"> zinātniskā raksta manuskripta sagatavošanas vadlīnijas (zinātniskā rakstības stila pamatprincipi (izvairīšanās no zinātniskā žargona, eifēmismiem, teksta izpušķojumiem un plaģiātisma); zinātniskā žurnāla izvēle atbilstoši publicējamās tēmas specifikai, žurnāla prasību analīze).</w:t>
            </w:r>
            <w:r>
              <w:t xml:space="preserve"> S2</w:t>
            </w:r>
          </w:p>
          <w:p w:rsidR="00584058" w:rsidRDefault="00584058" w:rsidP="00401CAA">
            <w:r>
              <w:t>7. Z</w:t>
            </w:r>
            <w:r w:rsidRPr="00552DF3">
              <w:t>inātniskā raksta strukturēšanas un noformēšanas pamatprincipi  - virsraksta un atslēgas vārdu formulēšana; pētījumā izmantoto materiālu un metožu apraksts; rezultātu apraksts, to interpretācija un diskusija par iegūtajiem rezultātiem; atsauču izmantošana un literatūras saraksta sastādīšana.</w:t>
            </w:r>
            <w:r>
              <w:t xml:space="preserve"> S2</w:t>
            </w:r>
          </w:p>
          <w:p w:rsidR="00584058" w:rsidRPr="00552DF3" w:rsidRDefault="00584058" w:rsidP="00401CAA">
            <w:r>
              <w:t xml:space="preserve">8. Nozīmīgākie informācijas izplatīšanas kanāli un to efektīva izmantošana. Sadarbība ar masu medijiem, veiksmīgas preses </w:t>
            </w:r>
            <w:proofErr w:type="spellStart"/>
            <w:r>
              <w:t>relīzes</w:t>
            </w:r>
            <w:proofErr w:type="spellEnd"/>
            <w:r>
              <w:t xml:space="preserve"> sagatavošanas principi. Informācijas izplatīšana sociālajos tīklos. Iesaistīšanās zinātnes komunikācijas pasākumos u.c. S2</w:t>
            </w:r>
          </w:p>
          <w:p w:rsidR="00584058" w:rsidRPr="008F2323" w:rsidRDefault="00584058" w:rsidP="00401CAA">
            <w:pPr>
              <w:pStyle w:val="ListParagraph"/>
            </w:pPr>
          </w:p>
          <w:p w:rsidR="00584058" w:rsidRDefault="00584058" w:rsidP="00401CAA">
            <w:pPr>
              <w:pStyle w:val="ListParagraph"/>
            </w:pPr>
          </w:p>
          <w:p w:rsidR="00584058" w:rsidRPr="00552DF3" w:rsidRDefault="00584058" w:rsidP="00401CAA">
            <w:r>
              <w:t xml:space="preserve">Studējošo patstāvīgais darbs </w:t>
            </w:r>
            <w:r w:rsidRPr="00552DF3">
              <w:t>(24 stundas):</w:t>
            </w:r>
          </w:p>
          <w:p w:rsidR="00584058" w:rsidRPr="0093308E" w:rsidRDefault="00584058" w:rsidP="00401CAA">
            <w:r>
              <w:t xml:space="preserve">Praktisko uzdevumu izpilde </w:t>
            </w:r>
            <w:r w:rsidRPr="00552DF3">
              <w:t>individuāli vai grupā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C32A75" w:rsidRDefault="00584058" w:rsidP="003023B6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A5EF3">
              <w:t>Illingworth</w:t>
            </w:r>
            <w:proofErr w:type="spellEnd"/>
            <w:r w:rsidRPr="00EA5EF3">
              <w:t xml:space="preserve"> S., Allen</w:t>
            </w:r>
            <w:r w:rsidRPr="00C32A75">
              <w:t xml:space="preserve"> G. 2016. </w:t>
            </w:r>
            <w:proofErr w:type="spellStart"/>
            <w:r w:rsidRPr="00C32A75">
              <w:t>Effective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Science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Comm</w:t>
            </w:r>
            <w:r>
              <w:t>unication</w:t>
            </w:r>
            <w:proofErr w:type="spellEnd"/>
            <w:r>
              <w:t xml:space="preserve">. A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  <w:r>
              <w:t xml:space="preserve"> to </w:t>
            </w:r>
            <w:proofErr w:type="spellStart"/>
            <w:r w:rsidRPr="00C32A75">
              <w:t>urviving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as</w:t>
            </w:r>
            <w:proofErr w:type="spellEnd"/>
            <w:r w:rsidRPr="00C32A75">
              <w:t xml:space="preserve"> a </w:t>
            </w:r>
            <w:proofErr w:type="spellStart"/>
            <w:r w:rsidRPr="00C32A75">
              <w:t>scientist</w:t>
            </w:r>
            <w:proofErr w:type="spellEnd"/>
            <w:r w:rsidRPr="00C32A75">
              <w:t xml:space="preserve">. IOP </w:t>
            </w:r>
            <w:proofErr w:type="spellStart"/>
            <w:r w:rsidRPr="00C32A75">
              <w:t>Publishing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Ltd</w:t>
            </w:r>
            <w:proofErr w:type="spellEnd"/>
            <w:r w:rsidRPr="00C32A75">
              <w:t xml:space="preserve">, </w:t>
            </w:r>
          </w:p>
          <w:p w:rsidR="00584058" w:rsidRPr="00C32A75" w:rsidRDefault="00584058" w:rsidP="003023B6">
            <w:pPr>
              <w:pStyle w:val="ListParagraph"/>
              <w:numPr>
                <w:ilvl w:val="0"/>
                <w:numId w:val="1"/>
              </w:numPr>
            </w:pPr>
            <w:r w:rsidRPr="00EA5EF3">
              <w:t xml:space="preserve">National </w:t>
            </w:r>
            <w:proofErr w:type="spellStart"/>
            <w:r w:rsidRPr="00EA5EF3">
              <w:t>Academies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of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Sciences</w:t>
            </w:r>
            <w:proofErr w:type="spellEnd"/>
            <w:r w:rsidRPr="00EA5EF3">
              <w:t xml:space="preserve">, Engineering, </w:t>
            </w:r>
            <w:proofErr w:type="spellStart"/>
            <w:r w:rsidRPr="00EA5EF3">
              <w:t>and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Medicine</w:t>
            </w:r>
            <w:proofErr w:type="spellEnd"/>
            <w:r w:rsidRPr="00EA5EF3">
              <w:t xml:space="preserve">. (2017). </w:t>
            </w:r>
            <w:proofErr w:type="spellStart"/>
            <w:r w:rsidRPr="00EA5EF3">
              <w:t>Communicating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Science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Effectively</w:t>
            </w:r>
            <w:proofErr w:type="spellEnd"/>
            <w:r w:rsidRPr="00EA5EF3">
              <w:t xml:space="preserve">: A </w:t>
            </w:r>
            <w:proofErr w:type="spellStart"/>
            <w:r w:rsidRPr="00EA5EF3">
              <w:t>Research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Agenda</w:t>
            </w:r>
            <w:proofErr w:type="spellEnd"/>
            <w:r w:rsidRPr="00EA5EF3">
              <w:t xml:space="preserve">. </w:t>
            </w:r>
            <w:proofErr w:type="spellStart"/>
            <w:r w:rsidRPr="00EA5EF3">
              <w:t>Washington</w:t>
            </w:r>
            <w:proofErr w:type="spellEnd"/>
            <w:r w:rsidRPr="00EA5EF3">
              <w:t xml:space="preserve">, DC: </w:t>
            </w:r>
            <w:proofErr w:type="spellStart"/>
            <w:r w:rsidRPr="00EA5EF3">
              <w:t>The</w:t>
            </w:r>
            <w:proofErr w:type="spellEnd"/>
            <w:r w:rsidRPr="00EA5EF3">
              <w:t xml:space="preserve"> National </w:t>
            </w:r>
            <w:proofErr w:type="spellStart"/>
            <w:r w:rsidRPr="00EA5EF3">
              <w:t>Academies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Press</w:t>
            </w:r>
            <w:proofErr w:type="spellEnd"/>
            <w:r w:rsidRPr="00EA5EF3">
              <w:t xml:space="preserve">. </w:t>
            </w:r>
            <w:proofErr w:type="spellStart"/>
            <w:r w:rsidRPr="00EA5EF3">
              <w:t>doi</w:t>
            </w:r>
            <w:proofErr w:type="spellEnd"/>
            <w:r w:rsidRPr="00EA5EF3">
              <w:t>: 10.17226/23674.</w:t>
            </w:r>
          </w:p>
          <w:p w:rsidR="00584058" w:rsidRPr="00C32A75" w:rsidRDefault="00584058" w:rsidP="003023B6">
            <w:pPr>
              <w:pStyle w:val="ListParagraph"/>
              <w:numPr>
                <w:ilvl w:val="0"/>
                <w:numId w:val="1"/>
              </w:numPr>
            </w:pPr>
            <w:r w:rsidRPr="00EA5EF3">
              <w:t xml:space="preserve">National </w:t>
            </w:r>
            <w:proofErr w:type="spellStart"/>
            <w:r w:rsidRPr="00EA5EF3">
              <w:t>Research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Council</w:t>
            </w:r>
            <w:proofErr w:type="spellEnd"/>
            <w:r w:rsidRPr="00EA5EF3">
              <w:t xml:space="preserve"> 2014. </w:t>
            </w:r>
            <w:proofErr w:type="spellStart"/>
            <w:r w:rsidRPr="00EA5EF3">
              <w:t>Sustainable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Infrastructures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for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Life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Science</w:t>
            </w:r>
            <w:proofErr w:type="spellEnd"/>
            <w:r>
              <w:t xml:space="preserve"> </w:t>
            </w:r>
            <w:proofErr w:type="spellStart"/>
            <w:r w:rsidRPr="00EA5EF3">
              <w:t>Communication</w:t>
            </w:r>
            <w:proofErr w:type="spellEnd"/>
            <w:r w:rsidRPr="00EA5EF3">
              <w:t xml:space="preserve">: </w:t>
            </w:r>
            <w:proofErr w:type="spellStart"/>
            <w:r w:rsidRPr="00EA5EF3">
              <w:t>Workshop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Summary</w:t>
            </w:r>
            <w:proofErr w:type="spellEnd"/>
            <w:r w:rsidRPr="00EA5EF3">
              <w:t xml:space="preserve">. </w:t>
            </w:r>
            <w:proofErr w:type="spellStart"/>
            <w:r w:rsidRPr="00EA5EF3">
              <w:t>Washington</w:t>
            </w:r>
            <w:proofErr w:type="spellEnd"/>
            <w:r w:rsidRPr="00EA5EF3">
              <w:t xml:space="preserve">, DC: </w:t>
            </w:r>
            <w:proofErr w:type="spellStart"/>
            <w:r w:rsidRPr="00EA5EF3">
              <w:t>The</w:t>
            </w:r>
            <w:proofErr w:type="spellEnd"/>
            <w:r w:rsidRPr="00EA5EF3">
              <w:t xml:space="preserve"> National </w:t>
            </w:r>
            <w:proofErr w:type="spellStart"/>
            <w:r w:rsidRPr="00EA5EF3">
              <w:t>Academies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Press</w:t>
            </w:r>
            <w:proofErr w:type="spellEnd"/>
            <w:r w:rsidRPr="00EA5EF3">
              <w:t>.</w:t>
            </w:r>
          </w:p>
          <w:p w:rsidR="00584058" w:rsidRPr="00C32A75" w:rsidRDefault="00584058" w:rsidP="003023B6">
            <w:pPr>
              <w:pStyle w:val="ListParagraph"/>
              <w:ind w:left="360"/>
            </w:pPr>
            <w:r w:rsidRPr="00EA5EF3">
              <w:t>https://doi.org/10.17226/18728.</w:t>
            </w:r>
          </w:p>
          <w:p w:rsidR="00584058" w:rsidRPr="00C32A75" w:rsidRDefault="00584058" w:rsidP="003023B6">
            <w:pPr>
              <w:pStyle w:val="ListParagraph"/>
              <w:numPr>
                <w:ilvl w:val="0"/>
                <w:numId w:val="1"/>
              </w:numPr>
            </w:pPr>
            <w:r w:rsidRPr="00EA5EF3">
              <w:t xml:space="preserve">National </w:t>
            </w:r>
            <w:proofErr w:type="spellStart"/>
            <w:r w:rsidRPr="00EA5EF3">
              <w:t>Academy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of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Sciences</w:t>
            </w:r>
            <w:proofErr w:type="spellEnd"/>
            <w:r w:rsidRPr="00EA5EF3">
              <w:t xml:space="preserve"> 2014. </w:t>
            </w:r>
            <w:proofErr w:type="spellStart"/>
            <w:r w:rsidRPr="00EA5EF3">
              <w:t>The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Science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of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Science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Communication</w:t>
            </w:r>
            <w:proofErr w:type="spellEnd"/>
            <w:r w:rsidRPr="00EA5EF3">
              <w:t xml:space="preserve"> II:</w:t>
            </w:r>
            <w:r>
              <w:t xml:space="preserve"> </w:t>
            </w:r>
            <w:proofErr w:type="spellStart"/>
            <w:r w:rsidRPr="00EA5EF3">
              <w:t>Summary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of</w:t>
            </w:r>
            <w:proofErr w:type="spellEnd"/>
            <w:r w:rsidRPr="00EA5EF3">
              <w:t xml:space="preserve"> a </w:t>
            </w:r>
            <w:proofErr w:type="spellStart"/>
            <w:r w:rsidRPr="00EA5EF3">
              <w:t>Colloquium</w:t>
            </w:r>
            <w:proofErr w:type="spellEnd"/>
            <w:r w:rsidRPr="00EA5EF3">
              <w:t xml:space="preserve">. </w:t>
            </w:r>
            <w:proofErr w:type="spellStart"/>
            <w:r w:rsidRPr="00EA5EF3">
              <w:t>Washington</w:t>
            </w:r>
            <w:proofErr w:type="spellEnd"/>
            <w:r w:rsidRPr="00EA5EF3">
              <w:t xml:space="preserve">, DC: </w:t>
            </w:r>
            <w:proofErr w:type="spellStart"/>
            <w:r w:rsidRPr="00EA5EF3">
              <w:t>The</w:t>
            </w:r>
            <w:proofErr w:type="spellEnd"/>
            <w:r w:rsidRPr="00EA5EF3">
              <w:t xml:space="preserve"> National </w:t>
            </w:r>
            <w:proofErr w:type="spellStart"/>
            <w:r w:rsidRPr="00EA5EF3">
              <w:t>Academies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Press</w:t>
            </w:r>
            <w:proofErr w:type="spellEnd"/>
            <w:r w:rsidRPr="00EA5EF3">
              <w:t>.</w:t>
            </w:r>
            <w:r>
              <w:t xml:space="preserve"> </w:t>
            </w:r>
            <w:hyperlink r:id="rId5" w:history="1">
              <w:r w:rsidRPr="00C32A75">
                <w:t>https://doi.org/10.17226/18478</w:t>
              </w:r>
            </w:hyperlink>
            <w:r w:rsidRPr="00C32A75">
              <w:t>.</w:t>
            </w:r>
          </w:p>
          <w:p w:rsidR="00584058" w:rsidRPr="00C32A75" w:rsidRDefault="00584058" w:rsidP="003023B6">
            <w:pPr>
              <w:pStyle w:val="ListParagraph"/>
              <w:numPr>
                <w:ilvl w:val="0"/>
                <w:numId w:val="1"/>
              </w:numPr>
            </w:pPr>
            <w:r w:rsidRPr="00EA5EF3">
              <w:t xml:space="preserve">National </w:t>
            </w:r>
            <w:proofErr w:type="spellStart"/>
            <w:r w:rsidRPr="00EA5EF3">
              <w:t>Academy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of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Sciences</w:t>
            </w:r>
            <w:proofErr w:type="spellEnd"/>
            <w:r w:rsidRPr="00EA5EF3">
              <w:t xml:space="preserve"> 2018. </w:t>
            </w:r>
            <w:proofErr w:type="spellStart"/>
            <w:r w:rsidRPr="00EA5EF3">
              <w:t>The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Science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of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Science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Communication</w:t>
            </w:r>
            <w:proofErr w:type="spellEnd"/>
            <w:r w:rsidRPr="00EA5EF3">
              <w:t xml:space="preserve"> III:</w:t>
            </w:r>
          </w:p>
          <w:p w:rsidR="00584058" w:rsidRPr="00C32A75" w:rsidRDefault="00584058" w:rsidP="003023B6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EA5EF3">
              <w:t>Inspiring</w:t>
            </w:r>
            <w:proofErr w:type="spellEnd"/>
            <w:r w:rsidRPr="00EA5EF3">
              <w:t xml:space="preserve"> Novel </w:t>
            </w:r>
            <w:proofErr w:type="spellStart"/>
            <w:r w:rsidRPr="00EA5EF3">
              <w:t>Collaborations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and</w:t>
            </w:r>
            <w:proofErr w:type="spellEnd"/>
            <w:r w:rsidRPr="00EA5EF3">
              <w:t xml:space="preserve"> Building </w:t>
            </w:r>
            <w:proofErr w:type="spellStart"/>
            <w:r w:rsidRPr="00EA5EF3">
              <w:t>Capacity</w:t>
            </w:r>
            <w:proofErr w:type="spellEnd"/>
            <w:r w:rsidRPr="00EA5EF3">
              <w:t xml:space="preserve">: </w:t>
            </w:r>
            <w:proofErr w:type="spellStart"/>
            <w:r w:rsidRPr="00EA5EF3">
              <w:t>Proceedings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of</w:t>
            </w:r>
            <w:proofErr w:type="spellEnd"/>
            <w:r w:rsidRPr="00EA5EF3">
              <w:t xml:space="preserve"> a</w:t>
            </w:r>
            <w:r>
              <w:t xml:space="preserve"> </w:t>
            </w:r>
            <w:proofErr w:type="spellStart"/>
            <w:r w:rsidRPr="00EA5EF3">
              <w:t>Colloquium</w:t>
            </w:r>
            <w:proofErr w:type="spellEnd"/>
            <w:r w:rsidRPr="00EA5EF3">
              <w:t xml:space="preserve">. </w:t>
            </w:r>
            <w:proofErr w:type="spellStart"/>
            <w:r w:rsidRPr="00EA5EF3">
              <w:t>Washington</w:t>
            </w:r>
            <w:proofErr w:type="spellEnd"/>
            <w:r w:rsidRPr="00EA5EF3">
              <w:t xml:space="preserve">, DC: </w:t>
            </w:r>
            <w:proofErr w:type="spellStart"/>
            <w:r w:rsidRPr="00EA5EF3">
              <w:t>The</w:t>
            </w:r>
            <w:proofErr w:type="spellEnd"/>
            <w:r w:rsidRPr="00EA5EF3">
              <w:t xml:space="preserve"> National </w:t>
            </w:r>
            <w:proofErr w:type="spellStart"/>
            <w:r w:rsidRPr="00EA5EF3">
              <w:t>Academies</w:t>
            </w:r>
            <w:proofErr w:type="spellEnd"/>
            <w:r w:rsidRPr="00EA5EF3">
              <w:t xml:space="preserve"> </w:t>
            </w:r>
            <w:proofErr w:type="spellStart"/>
            <w:r w:rsidRPr="00EA5EF3">
              <w:t>Press</w:t>
            </w:r>
            <w:proofErr w:type="spellEnd"/>
            <w:r w:rsidRPr="00EA5EF3">
              <w:t>.</w:t>
            </w:r>
          </w:p>
          <w:p w:rsidR="00584058" w:rsidRPr="0093308E" w:rsidRDefault="003023B6" w:rsidP="003023B6">
            <w:pPr>
              <w:pStyle w:val="ListParagraph"/>
              <w:ind w:left="360"/>
            </w:pPr>
            <w:hyperlink r:id="rId6" w:history="1">
              <w:r w:rsidRPr="00CB42AB">
                <w:rPr>
                  <w:rStyle w:val="Hyperlink"/>
                </w:rPr>
                <w:t>https://doi.org/10.17226/24958</w:t>
              </w:r>
            </w:hyperlink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pStyle w:val="Nosaukumi"/>
            </w:pPr>
            <w:r w:rsidRPr="0093308E">
              <w:t>Papildus informācijas avoti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C32A75" w:rsidRDefault="00584058" w:rsidP="003023B6">
            <w:pPr>
              <w:pStyle w:val="ListParagraph"/>
              <w:numPr>
                <w:ilvl w:val="0"/>
                <w:numId w:val="2"/>
              </w:numPr>
            </w:pPr>
            <w:r w:rsidRPr="00E0615F">
              <w:t xml:space="preserve">National </w:t>
            </w:r>
            <w:proofErr w:type="spellStart"/>
            <w:r w:rsidRPr="00C32A75">
              <w:t>Academies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of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Sciences</w:t>
            </w:r>
            <w:proofErr w:type="spellEnd"/>
            <w:r w:rsidRPr="00C32A75">
              <w:t xml:space="preserve">, Engineering, </w:t>
            </w:r>
            <w:proofErr w:type="spellStart"/>
            <w:r w:rsidRPr="00C32A75">
              <w:t>and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Medicine</w:t>
            </w:r>
            <w:proofErr w:type="spellEnd"/>
            <w:r w:rsidRPr="00C32A75">
              <w:t xml:space="preserve"> 2015. </w:t>
            </w:r>
            <w:proofErr w:type="spellStart"/>
            <w:r w:rsidRPr="00C32A75">
              <w:t>Trust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and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Confidence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at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the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Interfaces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of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the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Life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Sciences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and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Society</w:t>
            </w:r>
            <w:proofErr w:type="spellEnd"/>
            <w:r w:rsidRPr="00C32A75">
              <w:t xml:space="preserve">: </w:t>
            </w:r>
            <w:proofErr w:type="spellStart"/>
            <w:r w:rsidRPr="00C32A75">
              <w:t>Does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the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Public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Trust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Science</w:t>
            </w:r>
            <w:proofErr w:type="spellEnd"/>
            <w:r w:rsidRPr="00C32A75">
              <w:t xml:space="preserve">? A </w:t>
            </w:r>
            <w:proofErr w:type="spellStart"/>
            <w:r w:rsidRPr="00C32A75">
              <w:t>Workshop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Summary</w:t>
            </w:r>
            <w:proofErr w:type="spellEnd"/>
            <w:r w:rsidRPr="00C32A75">
              <w:t xml:space="preserve">. </w:t>
            </w:r>
            <w:proofErr w:type="spellStart"/>
            <w:r w:rsidRPr="00C32A75">
              <w:t>Washington</w:t>
            </w:r>
            <w:proofErr w:type="spellEnd"/>
            <w:r w:rsidRPr="00C32A75">
              <w:t xml:space="preserve">, DC: </w:t>
            </w:r>
            <w:proofErr w:type="spellStart"/>
            <w:r w:rsidRPr="00C32A75">
              <w:t>The</w:t>
            </w:r>
            <w:proofErr w:type="spellEnd"/>
            <w:r w:rsidRPr="00C32A75">
              <w:t xml:space="preserve"> National </w:t>
            </w:r>
            <w:proofErr w:type="spellStart"/>
            <w:r w:rsidRPr="00C32A75">
              <w:t>Academies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Press</w:t>
            </w:r>
            <w:proofErr w:type="spellEnd"/>
            <w:r w:rsidRPr="00C32A75">
              <w:t>. https://doi.org/10.17226/21798.</w:t>
            </w:r>
          </w:p>
          <w:p w:rsidR="00584058" w:rsidRPr="0093308E" w:rsidRDefault="00584058" w:rsidP="003023B6">
            <w:pPr>
              <w:pStyle w:val="ListParagraph"/>
              <w:numPr>
                <w:ilvl w:val="0"/>
                <w:numId w:val="2"/>
              </w:numPr>
            </w:pPr>
            <w:bookmarkStart w:id="0" w:name="_GoBack"/>
            <w:bookmarkEnd w:id="0"/>
            <w:r w:rsidRPr="00E0615F">
              <w:t xml:space="preserve">National </w:t>
            </w:r>
            <w:proofErr w:type="spellStart"/>
            <w:r w:rsidRPr="00E0615F">
              <w:t>Academies</w:t>
            </w:r>
            <w:proofErr w:type="spellEnd"/>
            <w:r w:rsidRPr="00E0615F">
              <w:t xml:space="preserve"> </w:t>
            </w:r>
            <w:proofErr w:type="spellStart"/>
            <w:r w:rsidRPr="00E0615F">
              <w:t>of</w:t>
            </w:r>
            <w:proofErr w:type="spellEnd"/>
            <w:r w:rsidRPr="00E0615F">
              <w:t xml:space="preserve"> </w:t>
            </w:r>
            <w:proofErr w:type="spellStart"/>
            <w:r w:rsidRPr="00E0615F">
              <w:t>Sciences</w:t>
            </w:r>
            <w:proofErr w:type="spellEnd"/>
            <w:r w:rsidRPr="00E0615F">
              <w:t xml:space="preserve">, Engineering, </w:t>
            </w:r>
            <w:proofErr w:type="spellStart"/>
            <w:r w:rsidRPr="00E0615F">
              <w:t>and</w:t>
            </w:r>
            <w:proofErr w:type="spellEnd"/>
            <w:r w:rsidRPr="00E0615F">
              <w:t xml:space="preserve"> </w:t>
            </w:r>
            <w:proofErr w:type="spellStart"/>
            <w:r w:rsidRPr="00E0615F">
              <w:t>Medicine</w:t>
            </w:r>
            <w:proofErr w:type="spellEnd"/>
            <w:r w:rsidRPr="00E0615F">
              <w:t xml:space="preserve"> 2016. </w:t>
            </w:r>
            <w:proofErr w:type="spellStart"/>
            <w:r w:rsidRPr="00E0615F">
              <w:t>Effective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Chemistry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Communication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in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Informal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Environments</w:t>
            </w:r>
            <w:proofErr w:type="spellEnd"/>
            <w:r w:rsidRPr="00C32A75">
              <w:t xml:space="preserve">. </w:t>
            </w:r>
            <w:proofErr w:type="spellStart"/>
            <w:r w:rsidRPr="00C32A75">
              <w:t>Washington</w:t>
            </w:r>
            <w:proofErr w:type="spellEnd"/>
            <w:r w:rsidRPr="00C32A75">
              <w:t xml:space="preserve">, DC: </w:t>
            </w:r>
            <w:proofErr w:type="spellStart"/>
            <w:r w:rsidRPr="00C32A75">
              <w:t>The</w:t>
            </w:r>
            <w:proofErr w:type="spellEnd"/>
            <w:r w:rsidRPr="00C32A75">
              <w:t xml:space="preserve"> National </w:t>
            </w:r>
            <w:proofErr w:type="spellStart"/>
            <w:r w:rsidRPr="00C32A75">
              <w:t>Academies</w:t>
            </w:r>
            <w:proofErr w:type="spellEnd"/>
            <w:r w:rsidRPr="00C32A75">
              <w:t xml:space="preserve"> </w:t>
            </w:r>
            <w:proofErr w:type="spellStart"/>
            <w:r w:rsidRPr="00C32A75">
              <w:t>Press</w:t>
            </w:r>
            <w:proofErr w:type="spellEnd"/>
            <w:r w:rsidRPr="00C32A75">
              <w:t xml:space="preserve">. https://doi.org/10.17226/21790. </w:t>
            </w:r>
            <w:r w:rsidRPr="00357503">
              <w:t>.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roofErr w:type="spellStart"/>
            <w:r w:rsidRPr="00AD1510">
              <w:t>Journal</w:t>
            </w:r>
            <w:proofErr w:type="spellEnd"/>
            <w:r w:rsidRPr="00AD1510">
              <w:t xml:space="preserve"> </w:t>
            </w:r>
            <w:proofErr w:type="spellStart"/>
            <w:r w:rsidRPr="00AD1510">
              <w:t>of</w:t>
            </w:r>
            <w:proofErr w:type="spellEnd"/>
            <w:r w:rsidRPr="00AD1510">
              <w:t xml:space="preserve"> </w:t>
            </w:r>
            <w:proofErr w:type="spellStart"/>
            <w:r w:rsidRPr="00AD1510">
              <w:t>Science</w:t>
            </w:r>
            <w:proofErr w:type="spellEnd"/>
            <w:r w:rsidRPr="00AD1510">
              <w:t xml:space="preserve"> </w:t>
            </w:r>
            <w:proofErr w:type="spellStart"/>
            <w:r w:rsidRPr="00AD1510">
              <w:t>Communication</w:t>
            </w:r>
            <w:proofErr w:type="spellEnd"/>
            <w:r w:rsidRPr="00AD1510">
              <w:t xml:space="preserve"> (JCOM), </w:t>
            </w:r>
            <w:proofErr w:type="spellStart"/>
            <w:r w:rsidRPr="00AD1510">
              <w:t>Science</w:t>
            </w:r>
            <w:proofErr w:type="spellEnd"/>
            <w:r w:rsidRPr="00AD1510">
              <w:t xml:space="preserve"> </w:t>
            </w:r>
            <w:proofErr w:type="spellStart"/>
            <w:r w:rsidRPr="00AD1510">
              <w:t>Communication</w:t>
            </w:r>
            <w:proofErr w:type="spellEnd"/>
            <w:r w:rsidRPr="00AD1510">
              <w:t xml:space="preserve"> (SC), </w:t>
            </w:r>
            <w:proofErr w:type="spellStart"/>
            <w:r w:rsidRPr="00AD1510">
              <w:t>Frontiers</w:t>
            </w:r>
            <w:proofErr w:type="spellEnd"/>
            <w:r w:rsidRPr="00AD1510">
              <w:t xml:space="preserve"> </w:t>
            </w:r>
            <w:proofErr w:type="spellStart"/>
            <w:r w:rsidRPr="00AD1510">
              <w:t>in</w:t>
            </w:r>
            <w:proofErr w:type="spellEnd"/>
            <w:r w:rsidRPr="00AD1510">
              <w:t xml:space="preserve"> </w:t>
            </w:r>
            <w:proofErr w:type="spellStart"/>
            <w:r w:rsidRPr="00AD1510">
              <w:t>Communication</w:t>
            </w:r>
            <w:proofErr w:type="spellEnd"/>
            <w:r w:rsidRPr="00AD1510">
              <w:t xml:space="preserve">: </w:t>
            </w:r>
            <w:proofErr w:type="spellStart"/>
            <w:r w:rsidRPr="00AD1510">
              <w:t>Science</w:t>
            </w:r>
            <w:proofErr w:type="spellEnd"/>
            <w:r w:rsidRPr="00AD1510">
              <w:t xml:space="preserve"> </w:t>
            </w:r>
            <w:proofErr w:type="spellStart"/>
            <w:r w:rsidRPr="00AD1510">
              <w:t>and</w:t>
            </w:r>
            <w:proofErr w:type="spellEnd"/>
            <w:r w:rsidRPr="00AD1510">
              <w:t xml:space="preserve"> </w:t>
            </w:r>
            <w:proofErr w:type="spellStart"/>
            <w:r w:rsidRPr="00AD1510">
              <w:t>Environmental</w:t>
            </w:r>
            <w:proofErr w:type="spellEnd"/>
            <w:r w:rsidRPr="00AD1510">
              <w:t xml:space="preserve"> </w:t>
            </w:r>
            <w:proofErr w:type="spellStart"/>
            <w:r w:rsidRPr="00AD1510">
              <w:t>Communication</w:t>
            </w:r>
            <w:proofErr w:type="spellEnd"/>
            <w:r w:rsidRPr="00AD1510">
              <w:t xml:space="preserve">, </w:t>
            </w:r>
            <w:hyperlink r:id="rId7" w:history="1">
              <w:proofErr w:type="spellStart"/>
              <w:r w:rsidRPr="00AD1510">
                <w:t>International</w:t>
              </w:r>
              <w:proofErr w:type="spellEnd"/>
              <w:r w:rsidRPr="00AD1510">
                <w:t xml:space="preserve"> </w:t>
              </w:r>
              <w:proofErr w:type="spellStart"/>
              <w:r w:rsidRPr="00AD1510">
                <w:t>Journal</w:t>
              </w:r>
              <w:proofErr w:type="spellEnd"/>
              <w:r w:rsidRPr="00AD1510">
                <w:t xml:space="preserve"> </w:t>
              </w:r>
              <w:proofErr w:type="spellStart"/>
              <w:r w:rsidRPr="00AD1510">
                <w:t>of</w:t>
              </w:r>
              <w:proofErr w:type="spellEnd"/>
              <w:r w:rsidRPr="00AD1510">
                <w:t xml:space="preserve"> </w:t>
              </w:r>
              <w:proofErr w:type="spellStart"/>
              <w:r w:rsidRPr="00AD1510">
                <w:t>Science</w:t>
              </w:r>
              <w:proofErr w:type="spellEnd"/>
              <w:r w:rsidRPr="00AD1510">
                <w:t xml:space="preserve"> </w:t>
              </w:r>
              <w:proofErr w:type="spellStart"/>
              <w:r w:rsidRPr="00AD1510">
                <w:t>Education</w:t>
              </w:r>
              <w:proofErr w:type="spellEnd"/>
            </w:hyperlink>
            <w:r>
              <w:t xml:space="preserve"> 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p w:rsidR="00584058" w:rsidRPr="0093308E" w:rsidRDefault="00584058" w:rsidP="00401CAA">
            <w:pPr>
              <w:pStyle w:val="Nosaukumi"/>
            </w:pPr>
            <w:r w:rsidRPr="0093308E">
              <w:t>Piezīmes</w:t>
            </w:r>
          </w:p>
        </w:tc>
      </w:tr>
      <w:tr w:rsidR="00584058" w:rsidRPr="0093308E" w:rsidTr="00401CAA">
        <w:tc>
          <w:tcPr>
            <w:tcW w:w="9039" w:type="dxa"/>
            <w:gridSpan w:val="2"/>
          </w:tcPr>
          <w:tbl>
            <w:tblPr>
              <w:tblStyle w:val="TableGrid"/>
              <w:tblW w:w="9039" w:type="dxa"/>
              <w:tblLook w:val="04A0" w:firstRow="1" w:lastRow="0" w:firstColumn="1" w:lastColumn="0" w:noHBand="0" w:noVBand="1"/>
            </w:tblPr>
            <w:tblGrid>
              <w:gridCol w:w="9039"/>
            </w:tblGrid>
            <w:tr w:rsidR="00584058" w:rsidRPr="0093308E" w:rsidTr="00401CAA">
              <w:tc>
                <w:tcPr>
                  <w:tcW w:w="9039" w:type="dxa"/>
                </w:tcPr>
                <w:p w:rsidR="00584058" w:rsidRPr="00B37BCA" w:rsidRDefault="00584058" w:rsidP="00401CAA">
                  <w:r>
                    <w:t>Atbilst AMSP "Bioloģi</w:t>
                  </w:r>
                  <w:r w:rsidRPr="008207C9">
                    <w:t>ja" teorētisko atziņu izpētes daļai</w:t>
                  </w:r>
                </w:p>
              </w:tc>
            </w:tr>
          </w:tbl>
          <w:p w:rsidR="00584058" w:rsidRPr="0093308E" w:rsidRDefault="00584058" w:rsidP="00401CAA"/>
        </w:tc>
      </w:tr>
    </w:tbl>
    <w:p w:rsidR="00584058" w:rsidRPr="00E13AEA" w:rsidRDefault="00584058" w:rsidP="00584058"/>
    <w:p w:rsidR="00017663" w:rsidRDefault="00017663"/>
    <w:sectPr w:rsidR="00017663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3023B6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25213" w:rsidRDefault="003023B6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3023B6" w:rsidP="007534EA">
    <w:pPr>
      <w:pStyle w:val="Header"/>
    </w:pPr>
  </w:p>
  <w:p w:rsidR="007B1FB4" w:rsidRPr="007B1FB4" w:rsidRDefault="003023B6" w:rsidP="007534EA">
    <w:pPr>
      <w:pStyle w:val="Header"/>
    </w:pPr>
  </w:p>
  <w:p w:rsidR="00982C4A" w:rsidRPr="00D66CC2" w:rsidRDefault="003023B6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24DDE"/>
    <w:multiLevelType w:val="hybridMultilevel"/>
    <w:tmpl w:val="2474DD5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F645B5"/>
    <w:multiLevelType w:val="hybridMultilevel"/>
    <w:tmpl w:val="E728AF4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058"/>
    <w:rsid w:val="00017663"/>
    <w:rsid w:val="003023B6"/>
    <w:rsid w:val="0058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CBF642"/>
  <w15:chartTrackingRefBased/>
  <w15:docId w15:val="{BAE41284-7636-4D15-B283-81ABD160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4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405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4058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8405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4058"/>
    <w:rPr>
      <w:rFonts w:ascii="Times New Roman" w:hAnsi="Times New Roman" w:cs="Times New Roman"/>
      <w:bCs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84058"/>
    <w:pPr>
      <w:ind w:left="720"/>
      <w:contextualSpacing/>
    </w:pPr>
  </w:style>
  <w:style w:type="paragraph" w:customStyle="1" w:styleId="Nosaukumi">
    <w:name w:val="Nosaukumi"/>
    <w:basedOn w:val="Normal"/>
    <w:qFormat/>
    <w:rsid w:val="00584058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584058"/>
    <w:rPr>
      <w:i/>
      <w:iCs w:val="0"/>
    </w:rPr>
  </w:style>
  <w:style w:type="character" w:styleId="Hyperlink">
    <w:name w:val="Hyperlink"/>
    <w:basedOn w:val="DefaultParagraphFont"/>
    <w:uiPriority w:val="99"/>
    <w:unhideWhenUsed/>
    <w:rsid w:val="003023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23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andfonline.com/toc/rsed20/curre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7226/24958" TargetMode="External"/><Relationship Id="rId11" Type="http://schemas.openxmlformats.org/officeDocument/2006/relationships/glossaryDocument" Target="glossary/document.xml"/><Relationship Id="rId5" Type="http://schemas.openxmlformats.org/officeDocument/2006/relationships/hyperlink" Target="https://doi.org/10.17226/1847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E753270FC264429BCBC2FC880FDB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1B83F1-B920-4CBD-862E-090EA84ED1E3}"/>
      </w:docPartPr>
      <w:docPartBody>
        <w:p w:rsidR="00000000" w:rsidRDefault="00587436" w:rsidP="00587436">
          <w:pPr>
            <w:pStyle w:val="5E753270FC264429BCBC2FC880FDB9D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436"/>
    <w:rsid w:val="00587436"/>
    <w:rsid w:val="0096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7436"/>
    <w:rPr>
      <w:color w:val="808080"/>
    </w:rPr>
  </w:style>
  <w:style w:type="paragraph" w:customStyle="1" w:styleId="5E753270FC264429BCBC2FC880FDB9D4">
    <w:name w:val="5E753270FC264429BCBC2FC880FDB9D4"/>
    <w:rsid w:val="005874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5985</Words>
  <Characters>3413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2023-12-19T11:11:00Z</dcterms:created>
  <dcterms:modified xsi:type="dcterms:W3CDTF">2023-12-19T11:12:00Z</dcterms:modified>
</cp:coreProperties>
</file>