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B84" w:rsidRPr="0049086B" w:rsidRDefault="00473B84" w:rsidP="00473B84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473B84" w:rsidRPr="0049086B" w:rsidRDefault="00473B84" w:rsidP="00473B84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473B84" w:rsidRPr="00E13AEA" w:rsidRDefault="00473B84" w:rsidP="00473B84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473B84" w:rsidRPr="0093308E" w:rsidTr="002D7141">
        <w:tc>
          <w:tcPr>
            <w:tcW w:w="4219" w:type="dxa"/>
          </w:tcPr>
          <w:p w:rsidR="00473B84" w:rsidRPr="0093308E" w:rsidRDefault="00473B84" w:rsidP="002D7141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473B84" w:rsidRPr="0007234B" w:rsidRDefault="00473B84" w:rsidP="002D7141">
            <w:pPr>
              <w:rPr>
                <w:b/>
                <w:i/>
                <w:lang w:eastAsia="lv-LV"/>
              </w:rPr>
            </w:pPr>
            <w:r w:rsidRPr="0007234B">
              <w:rPr>
                <w:b/>
                <w:i/>
              </w:rPr>
              <w:t>Dabas atpūtas stratēģija II</w:t>
            </w:r>
          </w:p>
        </w:tc>
      </w:tr>
      <w:tr w:rsidR="00473B84" w:rsidRPr="0093308E" w:rsidTr="002D7141">
        <w:tc>
          <w:tcPr>
            <w:tcW w:w="4219" w:type="dxa"/>
          </w:tcPr>
          <w:p w:rsidR="00473B84" w:rsidRPr="0093308E" w:rsidRDefault="00473B84" w:rsidP="002D7141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473B84" w:rsidRPr="0093308E" w:rsidRDefault="00473B84" w:rsidP="002D7141">
            <w:pPr>
              <w:rPr>
                <w:lang w:eastAsia="lv-LV"/>
              </w:rPr>
            </w:pPr>
          </w:p>
        </w:tc>
      </w:tr>
      <w:tr w:rsidR="00473B84" w:rsidRPr="0093308E" w:rsidTr="002D7141">
        <w:tc>
          <w:tcPr>
            <w:tcW w:w="4219" w:type="dxa"/>
          </w:tcPr>
          <w:p w:rsidR="00473B84" w:rsidRPr="0093308E" w:rsidRDefault="00473B84" w:rsidP="002D7141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74446DFD183C48C0B6E0352BF0C5CD88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:rsidR="00473B84" w:rsidRPr="0093308E" w:rsidRDefault="00473B84" w:rsidP="002D7141">
                <w:pPr>
                  <w:rPr>
                    <w:b/>
                  </w:rPr>
                </w:pPr>
                <w:r w:rsidRPr="0007234B">
                  <w:t>Bioloģija</w:t>
                </w:r>
              </w:p>
            </w:tc>
          </w:sdtContent>
        </w:sdt>
      </w:tr>
      <w:tr w:rsidR="00473B84" w:rsidRPr="0093308E" w:rsidTr="002D7141">
        <w:tc>
          <w:tcPr>
            <w:tcW w:w="4219" w:type="dxa"/>
          </w:tcPr>
          <w:p w:rsidR="00473B84" w:rsidRPr="0093308E" w:rsidRDefault="00473B84" w:rsidP="002D7141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473B84" w:rsidRPr="0093308E" w:rsidRDefault="00473B84" w:rsidP="002D7141">
            <w:pPr>
              <w:rPr>
                <w:lang w:eastAsia="lv-LV"/>
              </w:rPr>
            </w:pPr>
            <w:r>
              <w:t>5.</w:t>
            </w:r>
          </w:p>
        </w:tc>
      </w:tr>
      <w:tr w:rsidR="00473B84" w:rsidRPr="0093308E" w:rsidTr="002D7141">
        <w:tc>
          <w:tcPr>
            <w:tcW w:w="4219" w:type="dxa"/>
          </w:tcPr>
          <w:p w:rsidR="00473B84" w:rsidRPr="0093308E" w:rsidRDefault="00473B84" w:rsidP="002D7141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473B84" w:rsidRPr="0007234B" w:rsidRDefault="00473B84" w:rsidP="002D7141">
            <w:pPr>
              <w:rPr>
                <w:b/>
                <w:lang w:eastAsia="lv-LV"/>
              </w:rPr>
            </w:pPr>
            <w:r w:rsidRPr="0007234B">
              <w:rPr>
                <w:b/>
              </w:rPr>
              <w:t>3</w:t>
            </w:r>
          </w:p>
        </w:tc>
      </w:tr>
      <w:tr w:rsidR="00473B84" w:rsidRPr="0093308E" w:rsidTr="002D7141">
        <w:tc>
          <w:tcPr>
            <w:tcW w:w="4219" w:type="dxa"/>
          </w:tcPr>
          <w:p w:rsidR="00473B84" w:rsidRPr="0093308E" w:rsidRDefault="00473B84" w:rsidP="002D7141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473B84" w:rsidRPr="0007234B" w:rsidRDefault="00473B84" w:rsidP="002D7141">
            <w:pPr>
              <w:rPr>
                <w:b/>
              </w:rPr>
            </w:pPr>
            <w:r w:rsidRPr="0007234B">
              <w:rPr>
                <w:b/>
              </w:rPr>
              <w:t>4.5</w:t>
            </w:r>
          </w:p>
        </w:tc>
      </w:tr>
      <w:tr w:rsidR="00473B84" w:rsidRPr="0093308E" w:rsidTr="002D7141">
        <w:tc>
          <w:tcPr>
            <w:tcW w:w="4219" w:type="dxa"/>
          </w:tcPr>
          <w:p w:rsidR="00473B84" w:rsidRPr="0093308E" w:rsidRDefault="00473B84" w:rsidP="002D7141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473B84" w:rsidRPr="0093308E" w:rsidRDefault="00473B84" w:rsidP="002D7141">
            <w:pPr>
              <w:rPr>
                <w:lang w:eastAsia="lv-LV"/>
              </w:rPr>
            </w:pPr>
            <w:r>
              <w:t>48</w:t>
            </w:r>
          </w:p>
        </w:tc>
      </w:tr>
      <w:tr w:rsidR="00473B84" w:rsidRPr="0093308E" w:rsidTr="002D7141">
        <w:tc>
          <w:tcPr>
            <w:tcW w:w="4219" w:type="dxa"/>
          </w:tcPr>
          <w:p w:rsidR="00473B84" w:rsidRPr="0093308E" w:rsidRDefault="00473B84" w:rsidP="002D7141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473B84" w:rsidRPr="0093308E" w:rsidRDefault="00473B84" w:rsidP="002D7141">
            <w:r>
              <w:t>32</w:t>
            </w:r>
          </w:p>
        </w:tc>
      </w:tr>
      <w:tr w:rsidR="00473B84" w:rsidRPr="0093308E" w:rsidTr="002D7141">
        <w:tc>
          <w:tcPr>
            <w:tcW w:w="4219" w:type="dxa"/>
          </w:tcPr>
          <w:p w:rsidR="00473B84" w:rsidRPr="0093308E" w:rsidRDefault="00473B84" w:rsidP="002D7141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473B84" w:rsidRPr="0093308E" w:rsidRDefault="00473B84" w:rsidP="002D7141">
            <w:r>
              <w:t>16</w:t>
            </w:r>
          </w:p>
        </w:tc>
      </w:tr>
      <w:tr w:rsidR="00473B84" w:rsidRPr="0093308E" w:rsidTr="002D7141">
        <w:tc>
          <w:tcPr>
            <w:tcW w:w="4219" w:type="dxa"/>
          </w:tcPr>
          <w:p w:rsidR="00473B84" w:rsidRPr="0093308E" w:rsidRDefault="00473B84" w:rsidP="002D7141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473B84" w:rsidRPr="0093308E" w:rsidRDefault="00473B84" w:rsidP="002D7141">
            <w:r>
              <w:t>0</w:t>
            </w:r>
          </w:p>
        </w:tc>
      </w:tr>
      <w:tr w:rsidR="00473B84" w:rsidRPr="0093308E" w:rsidTr="002D7141">
        <w:tc>
          <w:tcPr>
            <w:tcW w:w="4219" w:type="dxa"/>
          </w:tcPr>
          <w:p w:rsidR="00473B84" w:rsidRPr="0093308E" w:rsidRDefault="00473B84" w:rsidP="002D7141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473B84" w:rsidRPr="0093308E" w:rsidRDefault="00473B84" w:rsidP="002D7141">
            <w:r>
              <w:t>0</w:t>
            </w:r>
          </w:p>
        </w:tc>
      </w:tr>
      <w:tr w:rsidR="00473B84" w:rsidRPr="0093308E" w:rsidTr="002D7141">
        <w:tc>
          <w:tcPr>
            <w:tcW w:w="4219" w:type="dxa"/>
          </w:tcPr>
          <w:p w:rsidR="00473B84" w:rsidRPr="0093308E" w:rsidRDefault="00473B84" w:rsidP="002D7141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473B84" w:rsidRPr="0093308E" w:rsidRDefault="00473B84" w:rsidP="002D7141">
            <w:pPr>
              <w:rPr>
                <w:lang w:eastAsia="lv-LV"/>
              </w:rPr>
            </w:pPr>
            <w:r>
              <w:t>72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93308E" w:rsidRDefault="00473B84" w:rsidP="002D7141">
            <w:pPr>
              <w:rPr>
                <w:lang w:eastAsia="lv-LV"/>
              </w:rPr>
            </w:pP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93308E" w:rsidRDefault="00473B84" w:rsidP="002D7141">
            <w:pPr>
              <w:pStyle w:val="Nosaukumi"/>
            </w:pPr>
            <w:r w:rsidRPr="0093308E">
              <w:t>Kursa autors(-i)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93308E" w:rsidRDefault="00473B84" w:rsidP="002D7141">
            <w:r>
              <w:t>Dr. biol., prof. Inese Kokina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93308E" w:rsidRDefault="00473B84" w:rsidP="002D7141">
            <w:pPr>
              <w:pStyle w:val="Nosaukumi"/>
            </w:pPr>
            <w:r w:rsidRPr="0093308E">
              <w:t>Kursa docētājs(-i)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Default="00473B84" w:rsidP="002D7141">
            <w:r>
              <w:t>Dr. biol., profesore Inese Kokina, D</w:t>
            </w:r>
            <w:r w:rsidRPr="00D7378E">
              <w:t>zīvības zinātņu un tehnoloģiju institūts,</w:t>
            </w:r>
            <w:r>
              <w:t xml:space="preserve"> Biotehnoloģiju departaments</w:t>
            </w:r>
          </w:p>
          <w:p w:rsidR="00473B84" w:rsidRDefault="00473B84" w:rsidP="002D7141">
            <w:r>
              <w:t>Dr. biol</w:t>
            </w:r>
            <w:r w:rsidRPr="00336D24">
              <w:t xml:space="preserve">., </w:t>
            </w:r>
            <w:r>
              <w:t xml:space="preserve">profesors Arvīds </w:t>
            </w:r>
            <w:proofErr w:type="spellStart"/>
            <w:r>
              <w:t>Barševskis</w:t>
            </w:r>
            <w:proofErr w:type="spellEnd"/>
            <w:r w:rsidRPr="00336D24">
              <w:t xml:space="preserve">, Dzīvības zinātņu un tehnoloģiju institūts, </w:t>
            </w:r>
            <w:proofErr w:type="spellStart"/>
            <w:r w:rsidRPr="00336D24">
              <w:t>Bio</w:t>
            </w:r>
            <w:r>
              <w:t>sistemātikas</w:t>
            </w:r>
            <w:proofErr w:type="spellEnd"/>
            <w:r>
              <w:t xml:space="preserve"> </w:t>
            </w:r>
            <w:r w:rsidRPr="00336D24">
              <w:t>departaments</w:t>
            </w:r>
          </w:p>
          <w:p w:rsidR="00473B84" w:rsidRDefault="00473B84" w:rsidP="002D7141">
            <w:r>
              <w:t>Dr. biol</w:t>
            </w:r>
            <w:r w:rsidRPr="0029272D">
              <w:t xml:space="preserve">., </w:t>
            </w:r>
            <w:proofErr w:type="spellStart"/>
            <w:r>
              <w:t>vad.pētnieks</w:t>
            </w:r>
            <w:proofErr w:type="spellEnd"/>
            <w:r>
              <w:t xml:space="preserve"> Uldis Valainis</w:t>
            </w:r>
            <w:r w:rsidRPr="0029272D">
              <w:t xml:space="preserve">, Dzīvības zinātņu un tehnoloģiju institūts, </w:t>
            </w:r>
            <w:proofErr w:type="spellStart"/>
            <w:r w:rsidRPr="0029272D">
              <w:t>Biosistemātikas</w:t>
            </w:r>
            <w:proofErr w:type="spellEnd"/>
            <w:r w:rsidRPr="0029272D">
              <w:t xml:space="preserve"> departaments</w:t>
            </w:r>
          </w:p>
          <w:p w:rsidR="00473B84" w:rsidRPr="007534EA" w:rsidRDefault="00473B84" w:rsidP="002D7141">
            <w:r>
              <w:t>Dr. biol</w:t>
            </w:r>
            <w:r w:rsidRPr="0029272D">
              <w:t xml:space="preserve">., </w:t>
            </w:r>
            <w:proofErr w:type="spellStart"/>
            <w:r w:rsidRPr="0029272D">
              <w:t>vad.pētnieks</w:t>
            </w:r>
            <w:proofErr w:type="spellEnd"/>
            <w:r w:rsidRPr="0029272D">
              <w:t xml:space="preserve"> </w:t>
            </w:r>
            <w:proofErr w:type="spellStart"/>
            <w:r>
              <w:t>Maksims</w:t>
            </w:r>
            <w:proofErr w:type="spellEnd"/>
            <w:r>
              <w:t xml:space="preserve"> </w:t>
            </w:r>
            <w:proofErr w:type="spellStart"/>
            <w:r>
              <w:t>Balalaikins</w:t>
            </w:r>
            <w:proofErr w:type="spellEnd"/>
            <w:r w:rsidRPr="0029272D">
              <w:t xml:space="preserve">, Dzīvības zinātņu un tehnoloģiju institūts, </w:t>
            </w:r>
            <w:proofErr w:type="spellStart"/>
            <w:r w:rsidRPr="0029272D">
              <w:t>Biosistemātikas</w:t>
            </w:r>
            <w:proofErr w:type="spellEnd"/>
            <w:r w:rsidRPr="0029272D">
              <w:t xml:space="preserve"> departaments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93308E" w:rsidRDefault="00473B84" w:rsidP="002D7141">
            <w:pPr>
              <w:pStyle w:val="Nosaukumi"/>
            </w:pPr>
            <w:r w:rsidRPr="0093308E">
              <w:t>Priekšzināšanas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93308E" w:rsidRDefault="00473B84" w:rsidP="002D7141">
            <w:r>
              <w:t>Dabas atpūtas stratēģija I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93308E" w:rsidRDefault="00473B84" w:rsidP="002D7141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Default="00473B84" w:rsidP="002D7141">
            <w:r>
              <w:t>Studiju kursa</w:t>
            </w:r>
            <w:r w:rsidRPr="002414AD">
              <w:t xml:space="preserve"> mērķis: </w:t>
            </w:r>
            <w:r>
              <w:t>s</w:t>
            </w:r>
            <w:r w:rsidRPr="004D71D4">
              <w:t>timulēt studentu radošumu un sistēmisko domāšanu, rīko</w:t>
            </w:r>
            <w:r>
              <w:t>joties</w:t>
            </w:r>
            <w:r w:rsidRPr="004D71D4">
              <w:t xml:space="preserve"> saskaņā ar grūti prognozējamām vides izmaiņām, kad</w:t>
            </w:r>
            <w:r>
              <w:t xml:space="preserve"> nepieciešama</w:t>
            </w:r>
            <w:r w:rsidRPr="004D71D4">
              <w:t xml:space="preserve"> spēja pieņemt jaunus, ilgtspējīgus, sociāli atbildīgus lēmumus, lai </w:t>
            </w:r>
            <w:r>
              <w:t>līdzsvarotu</w:t>
            </w:r>
            <w:r w:rsidRPr="004D71D4">
              <w:t xml:space="preserve"> bioloģisko</w:t>
            </w:r>
            <w:r>
              <w:t>s</w:t>
            </w:r>
            <w:r w:rsidRPr="004D71D4">
              <w:t xml:space="preserve"> resursu</w:t>
            </w:r>
            <w:r>
              <w:t>s</w:t>
            </w:r>
            <w:r w:rsidRPr="004D71D4">
              <w:t xml:space="preserve"> un cilvēku atpūtas prasības</w:t>
            </w:r>
            <w:r>
              <w:t>.</w:t>
            </w:r>
          </w:p>
          <w:p w:rsidR="00473B84" w:rsidRDefault="00473B84" w:rsidP="002D7141">
            <w:r>
              <w:t>Studiju kursa uzdevumi:</w:t>
            </w:r>
          </w:p>
          <w:p w:rsidR="00473B84" w:rsidRDefault="00473B84" w:rsidP="002D7141">
            <w:r>
              <w:t>1. Sniegt studējošiem jaunākās zināšanas pielietojamā bioloģijā, vienlaikus apvienojot teorētiskās zināšanas ar praktiskām iemaņām.</w:t>
            </w:r>
          </w:p>
          <w:p w:rsidR="00473B84" w:rsidRDefault="00473B84" w:rsidP="002D7141">
            <w:r>
              <w:t xml:space="preserve">2. </w:t>
            </w:r>
            <w:r w:rsidRPr="000369A3">
              <w:t xml:space="preserve">Attīstīt studējošo kompetenci organizēt un veikt aktivitātes, kas balstītas uz bioloģiskās daudzveidības </w:t>
            </w:r>
            <w:r>
              <w:t>izpēti.</w:t>
            </w:r>
          </w:p>
          <w:p w:rsidR="00473B84" w:rsidRPr="002414AD" w:rsidRDefault="00473B84" w:rsidP="002D7141">
            <w:r>
              <w:t>3. Sekmēt inovāciju attīstību, vadot atpūtas aktivitātes.</w:t>
            </w:r>
          </w:p>
          <w:p w:rsidR="00473B84" w:rsidRPr="0093308E" w:rsidRDefault="00473B84" w:rsidP="002D7141">
            <w:r>
              <w:t>4. Veicināt studējošo patstāvīgā darba iemaņu stiprināšanu, tajā skaitā iemaņas darba organizācijā, plānošanā, atbilstošo metožu izvēlē, to pielietošanā praksē.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93308E" w:rsidRDefault="00473B84" w:rsidP="002D7141">
            <w:pPr>
              <w:pStyle w:val="Nosaukumi"/>
            </w:pPr>
            <w:r w:rsidRPr="0093308E">
              <w:t>Studiju kursa kalendārais plāns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0568EB" w:rsidRDefault="00473B84" w:rsidP="002D7141">
            <w:r>
              <w:t xml:space="preserve">L32, S16, </w:t>
            </w:r>
            <w:proofErr w:type="spellStart"/>
            <w:r>
              <w:t>Pd</w:t>
            </w:r>
            <w:proofErr w:type="spellEnd"/>
            <w:r>
              <w:t xml:space="preserve"> 72</w:t>
            </w:r>
          </w:p>
          <w:p w:rsidR="00473B84" w:rsidRDefault="00473B84" w:rsidP="002D7141">
            <w:r>
              <w:t>1.</w:t>
            </w:r>
            <w:r w:rsidRPr="000568EB">
              <w:t xml:space="preserve"> </w:t>
            </w:r>
            <w:r>
              <w:t>Potenciālo rekreācijas vietu menedžmenta plāna izveides: nozīme, principi. L4</w:t>
            </w:r>
            <w:r w:rsidRPr="000568EB">
              <w:t>,</w:t>
            </w:r>
            <w:r>
              <w:t xml:space="preserve"> S4,</w:t>
            </w:r>
            <w:r w:rsidRPr="000568EB">
              <w:t xml:space="preserve"> </w:t>
            </w:r>
            <w:r>
              <w:t>Pd8</w:t>
            </w:r>
          </w:p>
          <w:p w:rsidR="00473B84" w:rsidRDefault="00473B84" w:rsidP="002D7141">
            <w:r>
              <w:t xml:space="preserve">2. </w:t>
            </w:r>
            <w:r w:rsidRPr="00142D75">
              <w:t xml:space="preserve">Dabas </w:t>
            </w:r>
            <w:r>
              <w:t>rekreācijas</w:t>
            </w:r>
            <w:r w:rsidRPr="00142D75">
              <w:t xml:space="preserve"> efektivitātes novērtēšana ilgtspējīgu rezultātu sasniegšanā</w:t>
            </w:r>
            <w:r>
              <w:t>. L4, S4, Pd8</w:t>
            </w:r>
          </w:p>
          <w:p w:rsidR="00473B84" w:rsidRDefault="00473B84" w:rsidP="002D7141">
            <w:r>
              <w:t xml:space="preserve">3. Ietekmes un risku </w:t>
            </w:r>
            <w:proofErr w:type="spellStart"/>
            <w:r>
              <w:t>izvērtējums</w:t>
            </w:r>
            <w:proofErr w:type="spellEnd"/>
            <w:r>
              <w:t xml:space="preserve"> rekreācijā izmantojamiem dabas objektiem un teritorijām. L4, S2, Pd8</w:t>
            </w:r>
          </w:p>
          <w:p w:rsidR="00473B84" w:rsidRDefault="00473B84" w:rsidP="002D7141">
            <w:r>
              <w:lastRenderedPageBreak/>
              <w:t xml:space="preserve">4. </w:t>
            </w:r>
            <w:r w:rsidRPr="00DA1C87">
              <w:t>Ar rekreāciju saistīto projektu atbilstības kritēriji vietējai attīstības stratēģijai par katru</w:t>
            </w:r>
            <w:r>
              <w:t xml:space="preserve"> rīcības plānā iekļauto rīcību. L4, S2, Pd8</w:t>
            </w:r>
          </w:p>
          <w:p w:rsidR="00473B84" w:rsidRDefault="00473B84" w:rsidP="002D7141">
            <w:r>
              <w:t xml:space="preserve">5. </w:t>
            </w:r>
            <w:r w:rsidRPr="00DA1C87">
              <w:t>Pierobežas apgabali kā būtisk</w:t>
            </w:r>
            <w:r>
              <w:t>ie tūrisma un rekreācijas attīstības virzieni.  L4, S2, Pd8</w:t>
            </w:r>
          </w:p>
          <w:p w:rsidR="00473B84" w:rsidRDefault="00473B84" w:rsidP="002D7141">
            <w:r>
              <w:t xml:space="preserve">6. </w:t>
            </w:r>
            <w:r w:rsidRPr="00DA1C87">
              <w:t>Attīstības prioritāšu un finanšu plānošanas sasaiste</w:t>
            </w:r>
            <w:r>
              <w:t xml:space="preserve"> dabas rekreācijas jomā. L4, S2, Pd8</w:t>
            </w:r>
          </w:p>
          <w:p w:rsidR="00473B84" w:rsidRDefault="00473B84" w:rsidP="002D7141">
            <w:r>
              <w:t xml:space="preserve">7. </w:t>
            </w:r>
            <w:r w:rsidRPr="00DA1C87">
              <w:t>Ilgtspējīgas attīstības īstenošanas un uzraudzības process</w:t>
            </w:r>
            <w:r>
              <w:t xml:space="preserve"> dabas rekreācijas jomā. L4,  Pd8</w:t>
            </w:r>
          </w:p>
          <w:p w:rsidR="00473B84" w:rsidRDefault="00473B84" w:rsidP="002D7141">
            <w:r>
              <w:t>8. Klimata pārmaiņas un bioloģiskā daudzveidība: ietekme uz rekreācijas objektiem. L2, Pd8</w:t>
            </w:r>
          </w:p>
          <w:p w:rsidR="00473B84" w:rsidRPr="0093308E" w:rsidRDefault="00473B84" w:rsidP="002D7141">
            <w:r>
              <w:t xml:space="preserve">9. </w:t>
            </w:r>
            <w:r w:rsidRPr="000806F9">
              <w:t>Vides prasību ievērošana un dabas daudzveidības saglabāšanos, lai nemazinātu nākamo paaudžu rekreācijas vajadzību apmierināšanas iespējas</w:t>
            </w:r>
            <w:r>
              <w:t xml:space="preserve">. L2, Pd8 </w:t>
            </w:r>
            <w:r w:rsidRPr="000568EB">
              <w:t xml:space="preserve"> 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93308E" w:rsidRDefault="00473B84" w:rsidP="002D7141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162C68" w:rsidRDefault="00473B84" w:rsidP="002D7141">
            <w:r>
              <w:t>Zināšanas:</w:t>
            </w:r>
          </w:p>
          <w:p w:rsidR="00473B84" w:rsidRDefault="00473B84" w:rsidP="002D7141">
            <w:r>
              <w:t>- izpratīs</w:t>
            </w:r>
            <w:r w:rsidRPr="006C660B">
              <w:t xml:space="preserve"> </w:t>
            </w:r>
            <w:r>
              <w:t>dabas rekreācijas teorētisku</w:t>
            </w:r>
            <w:r w:rsidRPr="006C660B">
              <w:t>s</w:t>
            </w:r>
            <w:r>
              <w:t xml:space="preserve"> </w:t>
            </w:r>
            <w:r w:rsidRPr="006C660B">
              <w:t>pamatus</w:t>
            </w:r>
            <w:r>
              <w:t xml:space="preserve"> un pratīs tos pielietot praksē;</w:t>
            </w:r>
          </w:p>
          <w:p w:rsidR="00473B84" w:rsidRDefault="00473B84" w:rsidP="002D7141">
            <w:r>
              <w:t xml:space="preserve">- </w:t>
            </w:r>
            <w:r w:rsidRPr="00E445F6">
              <w:t>demonstrē</w:t>
            </w:r>
            <w:r>
              <w:t>s</w:t>
            </w:r>
            <w:r w:rsidRPr="00E445F6">
              <w:t xml:space="preserve"> zināšanas </w:t>
            </w:r>
            <w:r>
              <w:t>par dabas resursiem, ko var izmantot rekreācijā, pratīs tos izmantot;</w:t>
            </w:r>
          </w:p>
          <w:p w:rsidR="00473B84" w:rsidRDefault="00473B84" w:rsidP="002D7141">
            <w:r>
              <w:t>- pārzinās dabas rekreācijā pielietojamās metodes;</w:t>
            </w:r>
          </w:p>
          <w:p w:rsidR="00473B84" w:rsidRPr="00162C68" w:rsidRDefault="00473B84" w:rsidP="002D7141">
            <w:r>
              <w:t>Prasmes:</w:t>
            </w:r>
          </w:p>
          <w:p w:rsidR="00473B84" w:rsidRDefault="00473B84" w:rsidP="002D7141">
            <w:r>
              <w:t>- spēs</w:t>
            </w:r>
            <w:r w:rsidRPr="002C16BC">
              <w:t xml:space="preserve"> izplānot</w:t>
            </w:r>
            <w:r>
              <w:t xml:space="preserve"> rekreācijas</w:t>
            </w:r>
            <w:r w:rsidRPr="002C16BC">
              <w:t xml:space="preserve"> p</w:t>
            </w:r>
            <w:r>
              <w:t>asākumus atbilstoši ilgtspējīgās attīstības principiem;</w:t>
            </w:r>
          </w:p>
          <w:p w:rsidR="00473B84" w:rsidRPr="00162C68" w:rsidRDefault="00473B84" w:rsidP="002D7141">
            <w:r>
              <w:t>- pratīs izvēlēties un patstāvīgi izmantot atbilstošas rekreācijas metodes;</w:t>
            </w:r>
          </w:p>
          <w:p w:rsidR="00473B84" w:rsidRDefault="00473B84" w:rsidP="002D7141">
            <w:r>
              <w:t>- spēs analizēt rekreācijas pasākumu efektivitāti un ietekmi uz vidi;</w:t>
            </w:r>
          </w:p>
          <w:p w:rsidR="00473B84" w:rsidRPr="00162C68" w:rsidRDefault="00473B84" w:rsidP="002D7141">
            <w:r>
              <w:t>Kompetence:</w:t>
            </w:r>
          </w:p>
          <w:p w:rsidR="00473B84" w:rsidRDefault="00473B84" w:rsidP="002D7141">
            <w:r>
              <w:t>- Pratīs organizēt rekreācijas pasākumus, izvērtēt to ietekmi uz cilvēku un apkārtējo vidi;</w:t>
            </w:r>
          </w:p>
          <w:p w:rsidR="00473B84" w:rsidRPr="00162C68" w:rsidRDefault="00473B84" w:rsidP="002D7141">
            <w:r>
              <w:t>- patstāvīgi izvēlēsies dabas rekreācijai atbilstošus biotopus, pratīs tos izvērtēt, analizēt ieguvumus un zaudējumus;</w:t>
            </w:r>
          </w:p>
          <w:p w:rsidR="00473B84" w:rsidRPr="0093308E" w:rsidRDefault="00473B84" w:rsidP="002D7141">
            <w:r>
              <w:t xml:space="preserve">- īstenos dabas rekreācijas pasākumus 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93308E" w:rsidRDefault="00473B84" w:rsidP="002D7141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C07DEE" w:rsidRDefault="00473B84" w:rsidP="002D7141">
            <w:r w:rsidRPr="00C07DEE">
              <w:t>Pirms katras nodarbības studējošie ie</w:t>
            </w:r>
            <w:r>
              <w:t>pazīstas ar nodarbības tematu</w:t>
            </w:r>
            <w:r w:rsidRPr="00C07DEE">
              <w:t xml:space="preserve"> un atbilstošo zinātnisko un mācību literatūru.</w:t>
            </w:r>
          </w:p>
          <w:p w:rsidR="00473B84" w:rsidRPr="00C07DEE" w:rsidRDefault="00473B84" w:rsidP="002D7141">
            <w:r w:rsidRPr="00C07DEE">
              <w:t>Patstāvīgais darbs paredzēts pēc katra semināra un ir saistīts ar lekcijas tēmu padziļinātu</w:t>
            </w:r>
            <w:r>
              <w:t xml:space="preserve"> analīzi. Patstāvīgā darba ietva</w:t>
            </w:r>
            <w:r w:rsidRPr="00C07DEE">
              <w:t xml:space="preserve">ros tiek veikta literatūras avotu analīze. Studējošie patstāvīgā darba ietvaros gatavojas kursa </w:t>
            </w:r>
            <w:proofErr w:type="spellStart"/>
            <w:r w:rsidRPr="00C07DEE">
              <w:t>starppārbaudījumiem</w:t>
            </w:r>
            <w:proofErr w:type="spellEnd"/>
            <w:r w:rsidRPr="00C07DEE">
              <w:t xml:space="preserve"> (2 kontroldarbi) un noslēguma pārbaudījumam. </w:t>
            </w:r>
          </w:p>
          <w:p w:rsidR="00473B84" w:rsidRPr="00C07DEE" w:rsidRDefault="00473B84" w:rsidP="002D7141">
            <w:r w:rsidRPr="00C07DEE">
              <w:t> </w:t>
            </w:r>
          </w:p>
          <w:p w:rsidR="00473B84" w:rsidRPr="00C07DEE" w:rsidRDefault="00473B84" w:rsidP="002D7141">
            <w:r w:rsidRPr="00C07DEE">
              <w:t xml:space="preserve">1. kontroldarbs. </w:t>
            </w:r>
            <w:r>
              <w:t xml:space="preserve">Dabas rekreācijas pasākumu efektivitātes </w:t>
            </w:r>
            <w:proofErr w:type="spellStart"/>
            <w:r>
              <w:t>izvērtējums</w:t>
            </w:r>
            <w:proofErr w:type="spellEnd"/>
          </w:p>
          <w:p w:rsidR="00473B84" w:rsidRPr="0093308E" w:rsidRDefault="00473B84" w:rsidP="002D7141">
            <w:r w:rsidRPr="00C07DEE">
              <w:t>2. kontroldarbs. Klimata pārmaiņas un bioloģiskā daudzveidība: ietekme uz rekreācijas objektiem</w:t>
            </w:r>
            <w:r>
              <w:t xml:space="preserve">. </w:t>
            </w:r>
            <w:r w:rsidRPr="00C07DEE">
              <w:t>Vides prasību ievērošana un dabas daudzveidības saglabāšan</w:t>
            </w:r>
            <w:r>
              <w:t>a</w:t>
            </w:r>
            <w:r w:rsidRPr="00C07DEE">
              <w:t>, lai nemazinātu nākamo paaudžu rekreācijas vajadzību apmierināšanas iespējas</w:t>
            </w:r>
            <w:r>
              <w:t xml:space="preserve"> 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93308E" w:rsidRDefault="00473B84" w:rsidP="002D7141">
            <w:pPr>
              <w:pStyle w:val="Nosaukumi"/>
            </w:pPr>
            <w:r w:rsidRPr="0093308E">
              <w:t>Prasības kredītpunktu iegūšanai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766814" w:rsidRDefault="00473B84" w:rsidP="002D7141"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766814">
              <w:t xml:space="preserve"> saskaņā ar Latvijas Republikas  normatīvajiem aktiem un atbilstoši "Nolikumam par studijām Daugavpils Universitātē" (apstiprināts DU Senāta sēdē 17.12.2018.,  protokols Nr. 15).</w:t>
            </w:r>
          </w:p>
          <w:p w:rsidR="00473B84" w:rsidRPr="00766814" w:rsidRDefault="00473B84" w:rsidP="002D7141">
            <w:r w:rsidRPr="0048087E">
              <w:t>Studiju kursa noslēguma pārbaudījums</w:t>
            </w:r>
            <w:r>
              <w:t xml:space="preserve"> - rakstisks eksāmens (6</w:t>
            </w:r>
            <w:r w:rsidRPr="00766814">
              <w:t xml:space="preserve">0% no gala vērtējuma). </w:t>
            </w:r>
          </w:p>
          <w:p w:rsidR="00473B84" w:rsidRPr="0093308E" w:rsidRDefault="00473B84" w:rsidP="002D7141">
            <w:r>
              <w:t>Pie</w:t>
            </w:r>
            <w:r w:rsidRPr="00766814">
              <w:t xml:space="preserve"> eksāmena kārtošanas tiek pielaisti tikai tie stud</w:t>
            </w:r>
            <w:r>
              <w:t>ējošie, kas ir nokārtojuši divus kontroldarbus, kas veido 40% no gala vērtējuma.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93308E" w:rsidRDefault="00473B84" w:rsidP="002D7141">
            <w:pPr>
              <w:pStyle w:val="Nosaukumi"/>
            </w:pPr>
            <w:r w:rsidRPr="0093308E">
              <w:t>Kursa saturs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14717E" w:rsidRDefault="00473B84" w:rsidP="002D7141">
            <w:r w:rsidRPr="00C404EF">
              <w:t>L</w:t>
            </w:r>
            <w:r>
              <w:t>32, S16</w:t>
            </w:r>
            <w:r w:rsidRPr="0014717E">
              <w:t>,</w:t>
            </w:r>
            <w:r>
              <w:t xml:space="preserve"> Pd72</w:t>
            </w:r>
          </w:p>
          <w:p w:rsidR="00473B84" w:rsidRPr="0014717E" w:rsidRDefault="00473B84" w:rsidP="002D7141">
            <w:r>
              <w:t>Lekcijas:</w:t>
            </w:r>
          </w:p>
          <w:p w:rsidR="00473B84" w:rsidRDefault="00473B84" w:rsidP="002D7141">
            <w:r>
              <w:t xml:space="preserve">1. </w:t>
            </w:r>
            <w:r w:rsidRPr="002C51EA">
              <w:t>Potenciālo rekreācijas vietu</w:t>
            </w:r>
            <w:r>
              <w:t xml:space="preserve"> apzināšana,</w:t>
            </w:r>
            <w:r w:rsidRPr="002C51EA">
              <w:t xml:space="preserve"> menedžmenta plāna izveides nozīme</w:t>
            </w:r>
            <w:r>
              <w:t>. L4, Pd4</w:t>
            </w:r>
          </w:p>
          <w:p w:rsidR="00473B84" w:rsidRDefault="00473B84" w:rsidP="002D7141">
            <w:r>
              <w:t>2. Potenciālo rekreācijas vietu menedžmenta plāna izveides principi. L2, Pd4</w:t>
            </w:r>
          </w:p>
          <w:p w:rsidR="00473B84" w:rsidRDefault="00473B84" w:rsidP="002D7141">
            <w:r>
              <w:lastRenderedPageBreak/>
              <w:t>3. Dabas rekreācijas efektivitātes ilgtspējas principi un ilgtspējīgu rezultātu sasniegšana. L4, Pd6</w:t>
            </w:r>
          </w:p>
          <w:p w:rsidR="00473B84" w:rsidRDefault="00473B84" w:rsidP="002D7141">
            <w:r>
              <w:t xml:space="preserve">4. Risku </w:t>
            </w:r>
            <w:proofErr w:type="spellStart"/>
            <w:r>
              <w:t>izvērtējums</w:t>
            </w:r>
            <w:proofErr w:type="spellEnd"/>
            <w:r>
              <w:t xml:space="preserve"> rekreācijā izmantojamiem objektiem un teritorijām. L4, Pd4</w:t>
            </w:r>
          </w:p>
          <w:p w:rsidR="00473B84" w:rsidRDefault="00473B84" w:rsidP="002D7141">
            <w:r>
              <w:t xml:space="preserve">5. Ietekmes </w:t>
            </w:r>
            <w:proofErr w:type="spellStart"/>
            <w:r>
              <w:t>izvērtējums</w:t>
            </w:r>
            <w:proofErr w:type="spellEnd"/>
            <w:r>
              <w:t xml:space="preserve"> dabas rekreācijā izmantojamiem dabas objektiem un teritorijām. L2, Pd4</w:t>
            </w:r>
          </w:p>
          <w:p w:rsidR="00473B84" w:rsidRDefault="00473B84" w:rsidP="002D7141">
            <w:r>
              <w:t xml:space="preserve">6. </w:t>
            </w:r>
            <w:r w:rsidRPr="002C51EA">
              <w:t>Ar rekreāciju saistīto projektu atbilstības kritēriji vietējai attīstības stratēģijai</w:t>
            </w:r>
            <w:r>
              <w:t>.</w:t>
            </w:r>
            <w:r w:rsidRPr="002C51EA">
              <w:t xml:space="preserve"> L4, Pd</w:t>
            </w:r>
            <w:r>
              <w:t>6</w:t>
            </w:r>
          </w:p>
          <w:p w:rsidR="00473B84" w:rsidRDefault="00473B84" w:rsidP="002D7141">
            <w:r>
              <w:t>7. Pierobežas apgabali kā būtiskie un rekreācijas attīstības virzieni. L4, Pd4</w:t>
            </w:r>
          </w:p>
          <w:p w:rsidR="00473B84" w:rsidRDefault="00473B84" w:rsidP="002D7141">
            <w:r>
              <w:t>8. Finanšu plānošana dabas rekreācijā. L2, Pd4</w:t>
            </w:r>
          </w:p>
          <w:p w:rsidR="00473B84" w:rsidRDefault="00473B84" w:rsidP="002D7141">
            <w:r>
              <w:t xml:space="preserve">9. </w:t>
            </w:r>
            <w:r w:rsidRPr="00454C12">
              <w:t>Attīstības prioritāšu un finanšu plānošanas sasaiste dabas rekreācijas jomā</w:t>
            </w:r>
            <w:r>
              <w:t>. L2, Pd4</w:t>
            </w:r>
          </w:p>
          <w:p w:rsidR="00473B84" w:rsidRDefault="00473B84" w:rsidP="002D7141">
            <w:r>
              <w:t>10. Ilgtspējīgā attīstība dabas rekreācijas jomā. L4, Pd8</w:t>
            </w:r>
          </w:p>
          <w:p w:rsidR="00473B84" w:rsidRDefault="00473B84" w:rsidP="002D7141"/>
          <w:p w:rsidR="00473B84" w:rsidRPr="0014717E" w:rsidRDefault="00473B84" w:rsidP="002D7141">
            <w:r>
              <w:t>Semināri:</w:t>
            </w:r>
          </w:p>
          <w:p w:rsidR="00473B84" w:rsidRDefault="00473B84" w:rsidP="002D7141">
            <w:r>
              <w:t>1. Rekreācijas vietu izpēte un apzināšana: metodes, principi. S2, Pd2</w:t>
            </w:r>
          </w:p>
          <w:p w:rsidR="00473B84" w:rsidRDefault="00473B84" w:rsidP="002D7141">
            <w:r>
              <w:t>2. Rekreācijas vietu menedžments: attīstības plāna mērķi, uzdevumi, būtība. S2, Pd2</w:t>
            </w:r>
          </w:p>
          <w:p w:rsidR="00473B84" w:rsidRDefault="00473B84" w:rsidP="002D7141">
            <w:r>
              <w:t>3. Dabas rekreācijas pasākumu ilgtspējas izvērtēšana. S2, Pd2</w:t>
            </w:r>
          </w:p>
          <w:p w:rsidR="00473B84" w:rsidRDefault="00473B84" w:rsidP="002D7141">
            <w:r>
              <w:t xml:space="preserve">4. Dabas rekreācijas pasākumu efektivitātes </w:t>
            </w:r>
            <w:proofErr w:type="spellStart"/>
            <w:r>
              <w:t>izvērtējums</w:t>
            </w:r>
            <w:proofErr w:type="spellEnd"/>
            <w:r>
              <w:t>. S2, Pd2</w:t>
            </w:r>
          </w:p>
          <w:p w:rsidR="00473B84" w:rsidRDefault="00473B84" w:rsidP="002D7141">
            <w:r>
              <w:t xml:space="preserve">5. </w:t>
            </w:r>
            <w:r w:rsidRPr="00F664EC">
              <w:t xml:space="preserve">Ietekmes un risku </w:t>
            </w:r>
            <w:proofErr w:type="spellStart"/>
            <w:r w:rsidRPr="00F664EC">
              <w:t>izvērtējums</w:t>
            </w:r>
            <w:proofErr w:type="spellEnd"/>
            <w:r w:rsidRPr="00F664EC">
              <w:t xml:space="preserve"> rekreācijā izmantojamiem dabas objektiem un teritorijām</w:t>
            </w:r>
            <w:r>
              <w:t>.</w:t>
            </w:r>
            <w:r w:rsidRPr="00F664EC">
              <w:t xml:space="preserve"> S2, P</w:t>
            </w:r>
            <w:r>
              <w:t>d4</w:t>
            </w:r>
          </w:p>
          <w:p w:rsidR="00473B84" w:rsidRDefault="00473B84" w:rsidP="002D7141">
            <w:r>
              <w:t xml:space="preserve">6. Ar rekreāciju saistīto projektu efektivitātes </w:t>
            </w:r>
            <w:proofErr w:type="spellStart"/>
            <w:r>
              <w:t>izvērtējums</w:t>
            </w:r>
            <w:proofErr w:type="spellEnd"/>
            <w:r>
              <w:t>. S2, Pd4</w:t>
            </w:r>
          </w:p>
          <w:p w:rsidR="00473B84" w:rsidRDefault="00473B84" w:rsidP="002D7141">
            <w:r>
              <w:t>7. Pierobežas apgabalu izmantošanas iespējas tūrismā un rekreācijā. S2, Pd4</w:t>
            </w:r>
          </w:p>
          <w:p w:rsidR="00473B84" w:rsidRPr="0093308E" w:rsidRDefault="00473B84" w:rsidP="002D7141">
            <w:r>
              <w:t xml:space="preserve">8. Finanšu plānošanas principi dabas rekreācijas jomā. S2, Pd4 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93308E" w:rsidRDefault="00473B84" w:rsidP="002D7141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4A2034" w:rsidRDefault="004A2034" w:rsidP="00465DEF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4A2034">
              <w:rPr>
                <w:shd w:val="clear" w:color="auto" w:fill="FFFFFF"/>
              </w:rPr>
              <w:t>Gössling</w:t>
            </w:r>
            <w:proofErr w:type="spellEnd"/>
            <w:r w:rsidRPr="004A2034">
              <w:rPr>
                <w:shd w:val="clear" w:color="auto" w:fill="FFFFFF"/>
              </w:rPr>
              <w:t xml:space="preserve">, S., Balas, M., </w:t>
            </w:r>
            <w:proofErr w:type="spellStart"/>
            <w:r w:rsidRPr="004A2034">
              <w:rPr>
                <w:shd w:val="clear" w:color="auto" w:fill="FFFFFF"/>
              </w:rPr>
              <w:t>Mayer</w:t>
            </w:r>
            <w:proofErr w:type="spellEnd"/>
            <w:r w:rsidRPr="004A2034">
              <w:rPr>
                <w:shd w:val="clear" w:color="auto" w:fill="FFFFFF"/>
              </w:rPr>
              <w:t xml:space="preserve">, M., &amp; </w:t>
            </w:r>
            <w:proofErr w:type="spellStart"/>
            <w:r w:rsidRPr="004A2034">
              <w:rPr>
                <w:shd w:val="clear" w:color="auto" w:fill="FFFFFF"/>
              </w:rPr>
              <w:t>Sun</w:t>
            </w:r>
            <w:proofErr w:type="spellEnd"/>
            <w:r w:rsidRPr="004A2034">
              <w:rPr>
                <w:shd w:val="clear" w:color="auto" w:fill="FFFFFF"/>
              </w:rPr>
              <w:t xml:space="preserve">, Y. Y. (2023). A </w:t>
            </w:r>
            <w:proofErr w:type="spellStart"/>
            <w:r w:rsidRPr="004A2034">
              <w:rPr>
                <w:shd w:val="clear" w:color="auto" w:fill="FFFFFF"/>
              </w:rPr>
              <w:t>review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of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tourism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and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climate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change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mitigation</w:t>
            </w:r>
            <w:proofErr w:type="spellEnd"/>
            <w:r w:rsidRPr="004A2034">
              <w:rPr>
                <w:shd w:val="clear" w:color="auto" w:fill="FFFFFF"/>
              </w:rPr>
              <w:t xml:space="preserve">: </w:t>
            </w:r>
            <w:proofErr w:type="spellStart"/>
            <w:r w:rsidRPr="004A2034">
              <w:rPr>
                <w:shd w:val="clear" w:color="auto" w:fill="FFFFFF"/>
              </w:rPr>
              <w:t>The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scales</w:t>
            </w:r>
            <w:proofErr w:type="spellEnd"/>
            <w:r w:rsidRPr="004A2034">
              <w:rPr>
                <w:shd w:val="clear" w:color="auto" w:fill="FFFFFF"/>
              </w:rPr>
              <w:t xml:space="preserve">, </w:t>
            </w:r>
            <w:proofErr w:type="spellStart"/>
            <w:r w:rsidRPr="004A2034">
              <w:rPr>
                <w:shd w:val="clear" w:color="auto" w:fill="FFFFFF"/>
              </w:rPr>
              <w:t>scopes</w:t>
            </w:r>
            <w:proofErr w:type="spellEnd"/>
            <w:r w:rsidRPr="004A2034">
              <w:rPr>
                <w:shd w:val="clear" w:color="auto" w:fill="FFFFFF"/>
              </w:rPr>
              <w:t xml:space="preserve">, </w:t>
            </w:r>
            <w:proofErr w:type="spellStart"/>
            <w:r w:rsidRPr="004A2034">
              <w:rPr>
                <w:shd w:val="clear" w:color="auto" w:fill="FFFFFF"/>
              </w:rPr>
              <w:t>stakeholders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and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strategies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of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carbon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management</w:t>
            </w:r>
            <w:proofErr w:type="spellEnd"/>
            <w:r w:rsidRPr="004A2034">
              <w:rPr>
                <w:shd w:val="clear" w:color="auto" w:fill="FFFFFF"/>
              </w:rPr>
              <w:t>. </w:t>
            </w:r>
            <w:proofErr w:type="spellStart"/>
            <w:r w:rsidRPr="004A2034">
              <w:rPr>
                <w:i/>
                <w:iCs w:val="0"/>
                <w:shd w:val="clear" w:color="auto" w:fill="FFFFFF"/>
              </w:rPr>
              <w:t>Tourism</w:t>
            </w:r>
            <w:proofErr w:type="spellEnd"/>
            <w:r w:rsidRPr="004A2034">
              <w:rPr>
                <w:i/>
                <w:iCs w:val="0"/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i/>
                <w:iCs w:val="0"/>
                <w:shd w:val="clear" w:color="auto" w:fill="FFFFFF"/>
              </w:rPr>
              <w:t>Management</w:t>
            </w:r>
            <w:proofErr w:type="spellEnd"/>
            <w:r w:rsidRPr="004A2034">
              <w:rPr>
                <w:shd w:val="clear" w:color="auto" w:fill="FFFFFF"/>
              </w:rPr>
              <w:t>, </w:t>
            </w:r>
            <w:r w:rsidRPr="004A2034">
              <w:rPr>
                <w:i/>
                <w:iCs w:val="0"/>
                <w:shd w:val="clear" w:color="auto" w:fill="FFFFFF"/>
              </w:rPr>
              <w:t>95</w:t>
            </w:r>
            <w:r w:rsidRPr="004A2034">
              <w:rPr>
                <w:shd w:val="clear" w:color="auto" w:fill="FFFFFF"/>
              </w:rPr>
              <w:t>, 104681.</w:t>
            </w:r>
          </w:p>
          <w:p w:rsidR="004A2034" w:rsidRPr="0093308E" w:rsidRDefault="004A2034" w:rsidP="00465DEF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4A2034">
              <w:rPr>
                <w:shd w:val="clear" w:color="auto" w:fill="FFFFFF"/>
              </w:rPr>
              <w:t>Scott</w:t>
            </w:r>
            <w:proofErr w:type="spellEnd"/>
            <w:r w:rsidRPr="004A2034">
              <w:rPr>
                <w:shd w:val="clear" w:color="auto" w:fill="FFFFFF"/>
              </w:rPr>
              <w:t xml:space="preserve">, D., &amp; </w:t>
            </w:r>
            <w:proofErr w:type="spellStart"/>
            <w:r w:rsidRPr="004A2034">
              <w:rPr>
                <w:shd w:val="clear" w:color="auto" w:fill="FFFFFF"/>
              </w:rPr>
              <w:t>Gössling</w:t>
            </w:r>
            <w:proofErr w:type="spellEnd"/>
            <w:r w:rsidRPr="004A2034">
              <w:rPr>
                <w:shd w:val="clear" w:color="auto" w:fill="FFFFFF"/>
              </w:rPr>
              <w:t xml:space="preserve">, S. (2022). A </w:t>
            </w:r>
            <w:proofErr w:type="spellStart"/>
            <w:r w:rsidRPr="004A2034">
              <w:rPr>
                <w:shd w:val="clear" w:color="auto" w:fill="FFFFFF"/>
              </w:rPr>
              <w:t>review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of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research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into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tourism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and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climate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change-Launching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the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annals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of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tourism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research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curated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collection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on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tourism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and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climate</w:t>
            </w:r>
            <w:proofErr w:type="spellEnd"/>
            <w:r w:rsidRPr="004A2034">
              <w:rPr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shd w:val="clear" w:color="auto" w:fill="FFFFFF"/>
              </w:rPr>
              <w:t>change</w:t>
            </w:r>
            <w:proofErr w:type="spellEnd"/>
            <w:r w:rsidRPr="004A2034">
              <w:rPr>
                <w:shd w:val="clear" w:color="auto" w:fill="FFFFFF"/>
              </w:rPr>
              <w:t>. </w:t>
            </w:r>
            <w:proofErr w:type="spellStart"/>
            <w:r w:rsidRPr="004A2034">
              <w:rPr>
                <w:i/>
                <w:iCs w:val="0"/>
                <w:shd w:val="clear" w:color="auto" w:fill="FFFFFF"/>
              </w:rPr>
              <w:t>Annals</w:t>
            </w:r>
            <w:proofErr w:type="spellEnd"/>
            <w:r w:rsidRPr="004A2034">
              <w:rPr>
                <w:i/>
                <w:iCs w:val="0"/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i/>
                <w:iCs w:val="0"/>
                <w:shd w:val="clear" w:color="auto" w:fill="FFFFFF"/>
              </w:rPr>
              <w:t>of</w:t>
            </w:r>
            <w:proofErr w:type="spellEnd"/>
            <w:r w:rsidRPr="004A2034">
              <w:rPr>
                <w:i/>
                <w:iCs w:val="0"/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i/>
                <w:iCs w:val="0"/>
                <w:shd w:val="clear" w:color="auto" w:fill="FFFFFF"/>
              </w:rPr>
              <w:t>Tourism</w:t>
            </w:r>
            <w:proofErr w:type="spellEnd"/>
            <w:r w:rsidRPr="004A2034">
              <w:rPr>
                <w:i/>
                <w:iCs w:val="0"/>
                <w:shd w:val="clear" w:color="auto" w:fill="FFFFFF"/>
              </w:rPr>
              <w:t xml:space="preserve"> </w:t>
            </w:r>
            <w:proofErr w:type="spellStart"/>
            <w:r w:rsidRPr="004A2034">
              <w:rPr>
                <w:i/>
                <w:iCs w:val="0"/>
                <w:shd w:val="clear" w:color="auto" w:fill="FFFFFF"/>
              </w:rPr>
              <w:t>Research</w:t>
            </w:r>
            <w:proofErr w:type="spellEnd"/>
            <w:r w:rsidRPr="004A2034">
              <w:rPr>
                <w:shd w:val="clear" w:color="auto" w:fill="FFFFFF"/>
              </w:rPr>
              <w:t>, </w:t>
            </w:r>
            <w:r w:rsidRPr="004A2034">
              <w:rPr>
                <w:i/>
                <w:iCs w:val="0"/>
                <w:shd w:val="clear" w:color="auto" w:fill="FFFFFF"/>
              </w:rPr>
              <w:t>95</w:t>
            </w:r>
            <w:r w:rsidRPr="004A2034">
              <w:rPr>
                <w:shd w:val="clear" w:color="auto" w:fill="FFFFFF"/>
              </w:rPr>
              <w:t>, 103409.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93308E" w:rsidRDefault="00473B84" w:rsidP="002D7141">
            <w:pPr>
              <w:pStyle w:val="Nosaukumi"/>
            </w:pPr>
            <w:r w:rsidRPr="0093308E">
              <w:t>Papildus informācijas avoti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1B285F" w:rsidRDefault="001B285F" w:rsidP="008832D7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1B285F">
              <w:rPr>
                <w:color w:val="222222"/>
                <w:shd w:val="clear" w:color="auto" w:fill="FFFFFF"/>
              </w:rPr>
              <w:t>Soga</w:t>
            </w:r>
            <w:proofErr w:type="spellEnd"/>
            <w:r w:rsidRPr="001B285F">
              <w:rPr>
                <w:color w:val="222222"/>
                <w:shd w:val="clear" w:color="auto" w:fill="FFFFFF"/>
              </w:rPr>
              <w:t xml:space="preserve">, M., &amp; Gaston, K. J. (2022). </w:t>
            </w:r>
            <w:proofErr w:type="spellStart"/>
            <w:r w:rsidRPr="001B285F">
              <w:rPr>
                <w:color w:val="222222"/>
                <w:shd w:val="clear" w:color="auto" w:fill="FFFFFF"/>
              </w:rPr>
              <w:t>The</w:t>
            </w:r>
            <w:proofErr w:type="spellEnd"/>
            <w:r w:rsidRPr="001B285F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B285F">
              <w:rPr>
                <w:color w:val="222222"/>
                <w:shd w:val="clear" w:color="auto" w:fill="FFFFFF"/>
              </w:rPr>
              <w:t>dark</w:t>
            </w:r>
            <w:proofErr w:type="spellEnd"/>
            <w:r w:rsidRPr="001B285F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B285F">
              <w:rPr>
                <w:color w:val="222222"/>
                <w:shd w:val="clear" w:color="auto" w:fill="FFFFFF"/>
              </w:rPr>
              <w:t>side</w:t>
            </w:r>
            <w:proofErr w:type="spellEnd"/>
            <w:r w:rsidRPr="001B285F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B285F">
              <w:rPr>
                <w:color w:val="222222"/>
                <w:shd w:val="clear" w:color="auto" w:fill="FFFFFF"/>
              </w:rPr>
              <w:t>of</w:t>
            </w:r>
            <w:proofErr w:type="spellEnd"/>
            <w:r w:rsidRPr="001B285F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B285F">
              <w:rPr>
                <w:color w:val="222222"/>
                <w:shd w:val="clear" w:color="auto" w:fill="FFFFFF"/>
              </w:rPr>
              <w:t>nature</w:t>
            </w:r>
            <w:proofErr w:type="spellEnd"/>
            <w:r w:rsidRPr="001B285F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B285F">
              <w:rPr>
                <w:color w:val="222222"/>
                <w:shd w:val="clear" w:color="auto" w:fill="FFFFFF"/>
              </w:rPr>
              <w:t>experience</w:t>
            </w:r>
            <w:proofErr w:type="spellEnd"/>
            <w:r w:rsidRPr="001B285F">
              <w:rPr>
                <w:color w:val="222222"/>
                <w:shd w:val="clear" w:color="auto" w:fill="FFFFFF"/>
              </w:rPr>
              <w:t xml:space="preserve">: </w:t>
            </w:r>
            <w:proofErr w:type="spellStart"/>
            <w:r w:rsidRPr="001B285F">
              <w:rPr>
                <w:color w:val="222222"/>
                <w:shd w:val="clear" w:color="auto" w:fill="FFFFFF"/>
              </w:rPr>
              <w:t>Typology</w:t>
            </w:r>
            <w:proofErr w:type="spellEnd"/>
            <w:r w:rsidRPr="001B285F">
              <w:rPr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1B285F">
              <w:rPr>
                <w:color w:val="222222"/>
                <w:shd w:val="clear" w:color="auto" w:fill="FFFFFF"/>
              </w:rPr>
              <w:t>dynamics</w:t>
            </w:r>
            <w:proofErr w:type="spellEnd"/>
            <w:r w:rsidRPr="001B285F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B285F">
              <w:rPr>
                <w:color w:val="222222"/>
                <w:shd w:val="clear" w:color="auto" w:fill="FFFFFF"/>
              </w:rPr>
              <w:t>and</w:t>
            </w:r>
            <w:proofErr w:type="spellEnd"/>
            <w:r w:rsidRPr="001B285F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B285F">
              <w:rPr>
                <w:color w:val="222222"/>
                <w:shd w:val="clear" w:color="auto" w:fill="FFFFFF"/>
              </w:rPr>
              <w:t>implications</w:t>
            </w:r>
            <w:proofErr w:type="spellEnd"/>
            <w:r w:rsidRPr="001B285F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B285F">
              <w:rPr>
                <w:color w:val="222222"/>
                <w:shd w:val="clear" w:color="auto" w:fill="FFFFFF"/>
              </w:rPr>
              <w:t>of</w:t>
            </w:r>
            <w:proofErr w:type="spellEnd"/>
            <w:r w:rsidRPr="001B285F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B285F">
              <w:rPr>
                <w:color w:val="222222"/>
                <w:shd w:val="clear" w:color="auto" w:fill="FFFFFF"/>
              </w:rPr>
              <w:t>negative</w:t>
            </w:r>
            <w:proofErr w:type="spellEnd"/>
            <w:r w:rsidRPr="001B285F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B285F">
              <w:rPr>
                <w:color w:val="222222"/>
                <w:shd w:val="clear" w:color="auto" w:fill="FFFFFF"/>
              </w:rPr>
              <w:t>sensory</w:t>
            </w:r>
            <w:proofErr w:type="spellEnd"/>
            <w:r w:rsidRPr="001B285F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B285F">
              <w:rPr>
                <w:color w:val="222222"/>
                <w:shd w:val="clear" w:color="auto" w:fill="FFFFFF"/>
              </w:rPr>
              <w:t>interactions</w:t>
            </w:r>
            <w:proofErr w:type="spellEnd"/>
            <w:r w:rsidRPr="001B285F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B285F">
              <w:rPr>
                <w:color w:val="222222"/>
                <w:shd w:val="clear" w:color="auto" w:fill="FFFFFF"/>
              </w:rPr>
              <w:t>with</w:t>
            </w:r>
            <w:proofErr w:type="spellEnd"/>
            <w:r w:rsidRPr="001B285F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B285F">
              <w:rPr>
                <w:color w:val="222222"/>
                <w:shd w:val="clear" w:color="auto" w:fill="FFFFFF"/>
              </w:rPr>
              <w:t>nature</w:t>
            </w:r>
            <w:proofErr w:type="spellEnd"/>
            <w:r w:rsidRPr="001B285F">
              <w:rPr>
                <w:color w:val="222222"/>
                <w:shd w:val="clear" w:color="auto" w:fill="FFFFFF"/>
              </w:rPr>
              <w:t>. </w:t>
            </w:r>
            <w:proofErr w:type="spellStart"/>
            <w:r w:rsidRPr="001B285F">
              <w:rPr>
                <w:i/>
                <w:iCs w:val="0"/>
                <w:color w:val="222222"/>
                <w:shd w:val="clear" w:color="auto" w:fill="FFFFFF"/>
              </w:rPr>
              <w:t>People</w:t>
            </w:r>
            <w:proofErr w:type="spellEnd"/>
            <w:r w:rsidRPr="001B285F">
              <w:rPr>
                <w:i/>
                <w:iCs w:val="0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B285F">
              <w:rPr>
                <w:i/>
                <w:iCs w:val="0"/>
                <w:color w:val="222222"/>
                <w:shd w:val="clear" w:color="auto" w:fill="FFFFFF"/>
              </w:rPr>
              <w:t>and</w:t>
            </w:r>
            <w:proofErr w:type="spellEnd"/>
            <w:r w:rsidRPr="001B285F">
              <w:rPr>
                <w:i/>
                <w:iCs w:val="0"/>
                <w:color w:val="222222"/>
                <w:shd w:val="clear" w:color="auto" w:fill="FFFFFF"/>
              </w:rPr>
              <w:t xml:space="preserve"> Nature</w:t>
            </w:r>
            <w:r w:rsidRPr="001B285F">
              <w:rPr>
                <w:color w:val="222222"/>
                <w:shd w:val="clear" w:color="auto" w:fill="FFFFFF"/>
              </w:rPr>
              <w:t>, </w:t>
            </w:r>
            <w:r w:rsidRPr="001B285F">
              <w:rPr>
                <w:i/>
                <w:iCs w:val="0"/>
                <w:color w:val="222222"/>
                <w:shd w:val="clear" w:color="auto" w:fill="FFFFFF"/>
              </w:rPr>
              <w:t>4</w:t>
            </w:r>
            <w:r w:rsidRPr="001B285F">
              <w:rPr>
                <w:color w:val="222222"/>
                <w:shd w:val="clear" w:color="auto" w:fill="FFFFFF"/>
              </w:rPr>
              <w:t>(5), 1126-1140.</w:t>
            </w:r>
            <w:r w:rsidRPr="001B285F">
              <w:t xml:space="preserve"> 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93308E" w:rsidRDefault="00473B84" w:rsidP="002D7141">
            <w:pPr>
              <w:pStyle w:val="Nosaukumi"/>
            </w:pPr>
            <w:r w:rsidRPr="0093308E">
              <w:t>Periodika un citi informācijas avoti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93308E" w:rsidRDefault="004A2034" w:rsidP="002D7141">
            <w:r>
              <w:t xml:space="preserve">DU abonētās datubāzes: </w:t>
            </w:r>
            <w:proofErr w:type="spellStart"/>
            <w:r>
              <w:t>Scopus</w:t>
            </w:r>
            <w:proofErr w:type="spellEnd"/>
            <w:r>
              <w:t xml:space="preserve">, </w:t>
            </w:r>
            <w:proofErr w:type="spellStart"/>
            <w:r>
              <w:t>Web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science</w:t>
            </w:r>
            <w:proofErr w:type="spellEnd"/>
            <w:r>
              <w:t>, EBSCO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93308E" w:rsidRDefault="00473B84" w:rsidP="002D7141">
            <w:pPr>
              <w:pStyle w:val="Nosaukumi"/>
            </w:pPr>
            <w:r w:rsidRPr="0093308E">
              <w:t>Piezīmes</w:t>
            </w:r>
          </w:p>
        </w:tc>
      </w:tr>
      <w:tr w:rsidR="00473B84" w:rsidRPr="0093308E" w:rsidTr="002D7141">
        <w:tc>
          <w:tcPr>
            <w:tcW w:w="9039" w:type="dxa"/>
            <w:gridSpan w:val="2"/>
          </w:tcPr>
          <w:p w:rsidR="00473B84" w:rsidRPr="0093308E" w:rsidRDefault="00473B84" w:rsidP="002D7141">
            <w:r>
              <w:t xml:space="preserve">.Atbilst </w:t>
            </w:r>
            <w:r w:rsidRPr="00E24C5B">
              <w:t>AMSP "Biol</w:t>
            </w:r>
            <w:r>
              <w:t>oģija" teorētisko atziņu aprobācijas</w:t>
            </w:r>
            <w:r w:rsidRPr="00E24C5B">
              <w:t xml:space="preserve"> daļai.</w:t>
            </w:r>
          </w:p>
        </w:tc>
      </w:tr>
    </w:tbl>
    <w:p w:rsidR="0090088E" w:rsidRDefault="0090088E">
      <w:bookmarkStart w:id="0" w:name="_GoBack"/>
      <w:bookmarkEnd w:id="0"/>
    </w:p>
    <w:sectPr w:rsidR="0090088E" w:rsidSect="004A560D">
      <w:headerReference w:type="default" r:id="rId5"/>
      <w:footerReference w:type="default" r:id="rId6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86FA0" w:rsidRDefault="001B285F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86FA0" w:rsidRDefault="001B285F" w:rsidP="007534E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FA0" w:rsidRDefault="001B285F" w:rsidP="007534EA">
    <w:pPr>
      <w:pStyle w:val="Header"/>
    </w:pPr>
  </w:p>
  <w:p w:rsidR="00986FA0" w:rsidRPr="007B1FB4" w:rsidRDefault="001B285F" w:rsidP="007534EA">
    <w:pPr>
      <w:pStyle w:val="Header"/>
    </w:pPr>
  </w:p>
  <w:p w:rsidR="00986FA0" w:rsidRPr="00D66CC2" w:rsidRDefault="001B285F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D564E"/>
    <w:multiLevelType w:val="hybridMultilevel"/>
    <w:tmpl w:val="78EC623E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557177"/>
    <w:multiLevelType w:val="hybridMultilevel"/>
    <w:tmpl w:val="789A14A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B84"/>
    <w:rsid w:val="0007234B"/>
    <w:rsid w:val="001B285F"/>
    <w:rsid w:val="00465DEF"/>
    <w:rsid w:val="00473B84"/>
    <w:rsid w:val="004A2034"/>
    <w:rsid w:val="008832D7"/>
    <w:rsid w:val="0090088E"/>
    <w:rsid w:val="00E40FB6"/>
    <w:rsid w:val="00E5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B8717B"/>
  <w15:chartTrackingRefBased/>
  <w15:docId w15:val="{3F0258A4-42A6-45D6-B2AA-83EDFB8E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3B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3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3B8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B84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73B8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B84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473B8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473B84"/>
    <w:rPr>
      <w:i/>
      <w:iCs w:val="0"/>
    </w:rPr>
  </w:style>
  <w:style w:type="paragraph" w:styleId="ListParagraph">
    <w:name w:val="List Paragraph"/>
    <w:basedOn w:val="Normal"/>
    <w:uiPriority w:val="34"/>
    <w:qFormat/>
    <w:rsid w:val="00072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4446DFD183C48C0B6E0352BF0C5C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E19248-7E20-4984-B983-3886E2C1C533}"/>
      </w:docPartPr>
      <w:docPartBody>
        <w:p w:rsidR="00000000" w:rsidRDefault="00152D73" w:rsidP="00152D73">
          <w:pPr>
            <w:pStyle w:val="74446DFD183C48C0B6E0352BF0C5CD8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D73"/>
    <w:rsid w:val="00152D73"/>
    <w:rsid w:val="00CA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52D73"/>
    <w:rPr>
      <w:color w:val="808080"/>
    </w:rPr>
  </w:style>
  <w:style w:type="paragraph" w:customStyle="1" w:styleId="74446DFD183C48C0B6E0352BF0C5CD88">
    <w:name w:val="74446DFD183C48C0B6E0352BF0C5CD88"/>
    <w:rsid w:val="00152D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4530</Words>
  <Characters>2583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2023-12-14T12:29:00Z</dcterms:created>
  <dcterms:modified xsi:type="dcterms:W3CDTF">2023-12-14T12:39:00Z</dcterms:modified>
</cp:coreProperties>
</file>