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2E" w:rsidRPr="00CA702E" w:rsidRDefault="00CA702E">
      <w:pPr>
        <w:rPr>
          <w:rFonts w:ascii="Times New Roman" w:hAnsi="Times New Roman" w:cs="Times New Roman"/>
          <w:b/>
          <w:color w:val="2E74B5" w:themeColor="accent1" w:themeShade="BF"/>
          <w:sz w:val="36"/>
          <w:szCs w:val="36"/>
        </w:rPr>
      </w:pPr>
      <w:bookmarkStart w:id="0" w:name="_GoBack"/>
      <w:bookmarkEnd w:id="0"/>
      <w:r w:rsidRPr="00CA702E">
        <w:rPr>
          <w:rFonts w:ascii="Times New Roman" w:hAnsi="Times New Roman" w:cs="Times New Roman"/>
          <w:b/>
          <w:color w:val="2E74B5" w:themeColor="accent1" w:themeShade="BF"/>
          <w:sz w:val="36"/>
          <w:szCs w:val="36"/>
        </w:rPr>
        <w:t>ADMISSION RULES</w:t>
      </w:r>
    </w:p>
    <w:p w:rsidR="00CA702E" w:rsidRPr="00CA702E" w:rsidRDefault="00CA702E">
      <w:pPr>
        <w:rPr>
          <w:rFonts w:ascii="Times New Roman" w:hAnsi="Times New Roman" w:cs="Times New Roman"/>
          <w:b/>
          <w:sz w:val="28"/>
          <w:szCs w:val="28"/>
        </w:rPr>
      </w:pPr>
      <w:r w:rsidRPr="00CA702E">
        <w:rPr>
          <w:rFonts w:ascii="Times New Roman" w:hAnsi="Times New Roman" w:cs="Times New Roman"/>
          <w:b/>
          <w:sz w:val="28"/>
          <w:szCs w:val="28"/>
        </w:rPr>
        <w:t xml:space="preserve"> A. GENERAL RULES </w:t>
      </w:r>
    </w:p>
    <w:p w:rsidR="00CA702E" w:rsidRDefault="00CA702E">
      <w:pPr>
        <w:rPr>
          <w:rFonts w:ascii="Times New Roman" w:hAnsi="Times New Roman" w:cs="Times New Roman"/>
          <w:sz w:val="28"/>
          <w:szCs w:val="28"/>
        </w:rPr>
      </w:pPr>
      <w:r w:rsidRPr="00CA702E">
        <w:rPr>
          <w:rFonts w:ascii="Times New Roman" w:hAnsi="Times New Roman" w:cs="Times New Roman"/>
          <w:sz w:val="28"/>
          <w:szCs w:val="28"/>
        </w:rPr>
        <w:t>1. Staff mobility:</w:t>
      </w:r>
    </w:p>
    <w:p w:rsidR="00CA702E" w:rsidRDefault="00CA702E" w:rsidP="00C37C9F">
      <w:pPr>
        <w:spacing w:after="0"/>
        <w:rPr>
          <w:rFonts w:ascii="Times New Roman" w:hAnsi="Times New Roman" w:cs="Times New Roman"/>
          <w:sz w:val="28"/>
          <w:szCs w:val="28"/>
        </w:rPr>
      </w:pPr>
      <w:r w:rsidRPr="00CA702E">
        <w:rPr>
          <w:rFonts w:ascii="Times New Roman" w:hAnsi="Times New Roman" w:cs="Times New Roman"/>
          <w:sz w:val="28"/>
          <w:szCs w:val="28"/>
        </w:rPr>
        <w:t xml:space="preserve"> </w:t>
      </w:r>
      <w:r w:rsidRPr="00CA702E">
        <w:rPr>
          <w:rFonts w:ascii="Times New Roman" w:hAnsi="Times New Roman" w:cs="Times New Roman"/>
          <w:sz w:val="28"/>
          <w:szCs w:val="28"/>
        </w:rPr>
        <w:sym w:font="Symbol" w:char="F0B7"/>
      </w:r>
      <w:r w:rsidRPr="00CA702E">
        <w:rPr>
          <w:rFonts w:ascii="Times New Roman" w:hAnsi="Times New Roman" w:cs="Times New Roman"/>
          <w:sz w:val="28"/>
          <w:szCs w:val="28"/>
        </w:rPr>
        <w:t xml:space="preserve"> Teaching periods: this activity allows HEI teaching staff to teach at a partner HEI abroad. Staff mobility for teaching can be in any subject area/academic discipline. </w:t>
      </w:r>
    </w:p>
    <w:p w:rsidR="00CA702E" w:rsidRDefault="00CA702E" w:rsidP="00C37C9F">
      <w:pPr>
        <w:spacing w:after="0"/>
        <w:rPr>
          <w:rFonts w:ascii="Times New Roman" w:hAnsi="Times New Roman" w:cs="Times New Roman"/>
          <w:sz w:val="28"/>
          <w:szCs w:val="28"/>
        </w:rPr>
      </w:pPr>
      <w:r w:rsidRPr="00CA702E">
        <w:rPr>
          <w:rFonts w:ascii="Times New Roman" w:hAnsi="Times New Roman" w:cs="Times New Roman"/>
          <w:sz w:val="28"/>
          <w:szCs w:val="28"/>
        </w:rPr>
        <w:sym w:font="Symbol" w:char="F0B7"/>
      </w:r>
      <w:r w:rsidRPr="00CA702E">
        <w:rPr>
          <w:rFonts w:ascii="Times New Roman" w:hAnsi="Times New Roman" w:cs="Times New Roman"/>
          <w:sz w:val="28"/>
          <w:szCs w:val="28"/>
        </w:rPr>
        <w:t xml:space="preserve"> Training periods: this activity supports the professional development of HEI teaching and non-teaching staff in the form of training events abroad (excluding conferences) and job shadowing/observation periods/training at a partner HEI, or at another relevant organization abroad. </w:t>
      </w:r>
    </w:p>
    <w:p w:rsidR="00CA702E" w:rsidRDefault="00CA702E" w:rsidP="00C37C9F">
      <w:pPr>
        <w:spacing w:after="0"/>
        <w:rPr>
          <w:rFonts w:ascii="Times New Roman" w:hAnsi="Times New Roman" w:cs="Times New Roman"/>
          <w:sz w:val="28"/>
          <w:szCs w:val="28"/>
        </w:rPr>
      </w:pPr>
      <w:r w:rsidRPr="00CA702E">
        <w:rPr>
          <w:rFonts w:ascii="Times New Roman" w:hAnsi="Times New Roman" w:cs="Times New Roman"/>
          <w:sz w:val="28"/>
          <w:szCs w:val="28"/>
        </w:rPr>
        <w:sym w:font="Symbol" w:char="F0B7"/>
      </w:r>
      <w:r w:rsidRPr="00CA702E">
        <w:rPr>
          <w:rFonts w:ascii="Times New Roman" w:hAnsi="Times New Roman" w:cs="Times New Roman"/>
          <w:sz w:val="28"/>
          <w:szCs w:val="28"/>
        </w:rPr>
        <w:t xml:space="preserve"> All mobilities shall end till the end of the eligibility period for the implementation of the project of the corresponding call. </w:t>
      </w:r>
    </w:p>
    <w:p w:rsidR="00C37C9F" w:rsidRDefault="00C37C9F" w:rsidP="00C37C9F">
      <w:pPr>
        <w:spacing w:after="0"/>
        <w:rPr>
          <w:rFonts w:ascii="Times New Roman" w:hAnsi="Times New Roman" w:cs="Times New Roman"/>
          <w:sz w:val="28"/>
          <w:szCs w:val="28"/>
        </w:rPr>
      </w:pPr>
    </w:p>
    <w:p w:rsidR="00CA702E"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2. Duration of teaching activity: </w:t>
      </w:r>
    </w:p>
    <w:p w:rsidR="00C37C9F" w:rsidRDefault="00CA702E" w:rsidP="00C37C9F">
      <w:pPr>
        <w:spacing w:after="0"/>
        <w:rPr>
          <w:rFonts w:ascii="Times New Roman" w:hAnsi="Times New Roman" w:cs="Times New Roman"/>
          <w:sz w:val="28"/>
          <w:szCs w:val="28"/>
        </w:rPr>
      </w:pPr>
      <w:r w:rsidRPr="00CA702E">
        <w:rPr>
          <w:rFonts w:ascii="Times New Roman" w:hAnsi="Times New Roman" w:cs="Times New Roman"/>
          <w:sz w:val="28"/>
          <w:szCs w:val="28"/>
        </w:rPr>
        <w:sym w:font="Symbol" w:char="F0B7"/>
      </w:r>
      <w:r w:rsidRPr="00CA702E">
        <w:rPr>
          <w:rFonts w:ascii="Times New Roman" w:hAnsi="Times New Roman" w:cs="Times New Roman"/>
          <w:sz w:val="28"/>
          <w:szCs w:val="28"/>
        </w:rPr>
        <w:t xml:space="preserve"> A teaching activity has to comprise a minimum of 8 hours of teaching per week (or any shorter period of stay). </w:t>
      </w:r>
    </w:p>
    <w:p w:rsidR="00C37C9F" w:rsidRDefault="00CA702E" w:rsidP="00C37C9F">
      <w:pPr>
        <w:spacing w:after="0"/>
        <w:rPr>
          <w:rFonts w:ascii="Times New Roman" w:hAnsi="Times New Roman" w:cs="Times New Roman"/>
          <w:sz w:val="28"/>
          <w:szCs w:val="28"/>
        </w:rPr>
      </w:pPr>
      <w:r w:rsidRPr="00CA702E">
        <w:rPr>
          <w:rFonts w:ascii="Times New Roman" w:hAnsi="Times New Roman" w:cs="Times New Roman"/>
          <w:sz w:val="28"/>
          <w:szCs w:val="28"/>
        </w:rPr>
        <w:sym w:font="Symbol" w:char="F0B7"/>
      </w:r>
      <w:r w:rsidRPr="00CA702E">
        <w:rPr>
          <w:rFonts w:ascii="Times New Roman" w:hAnsi="Times New Roman" w:cs="Times New Roman"/>
          <w:sz w:val="28"/>
          <w:szCs w:val="28"/>
        </w:rPr>
        <w:t xml:space="preserve"> The teaching activity is combined with a training activity during a single period abroad, the minimum number of hours of teaching per week (or any shorter period of stay) is reduced to 4 hours.</w:t>
      </w:r>
    </w:p>
    <w:p w:rsidR="00C37C9F" w:rsidRDefault="00CA702E" w:rsidP="00C37C9F">
      <w:pPr>
        <w:spacing w:after="0"/>
        <w:rPr>
          <w:rFonts w:ascii="Times New Roman" w:hAnsi="Times New Roman" w:cs="Times New Roman"/>
          <w:sz w:val="28"/>
          <w:szCs w:val="28"/>
        </w:rPr>
      </w:pPr>
      <w:r w:rsidRPr="00CA702E">
        <w:rPr>
          <w:rFonts w:ascii="Times New Roman" w:hAnsi="Times New Roman" w:cs="Times New Roman"/>
          <w:sz w:val="28"/>
          <w:szCs w:val="28"/>
        </w:rPr>
        <w:t xml:space="preserve"> </w:t>
      </w:r>
      <w:r w:rsidRPr="00CA702E">
        <w:rPr>
          <w:rFonts w:ascii="Times New Roman" w:hAnsi="Times New Roman" w:cs="Times New Roman"/>
          <w:sz w:val="28"/>
          <w:szCs w:val="28"/>
        </w:rPr>
        <w:sym w:font="Symbol" w:char="F0B7"/>
      </w:r>
      <w:r w:rsidRPr="00CA702E">
        <w:rPr>
          <w:rFonts w:ascii="Times New Roman" w:hAnsi="Times New Roman" w:cs="Times New Roman"/>
          <w:sz w:val="28"/>
          <w:szCs w:val="28"/>
        </w:rPr>
        <w:t xml:space="preserve"> If the mobility lasts longer than one week, the minimum number of teaching hours for an incomplete week should be proportional to the duration of that week.</w:t>
      </w:r>
    </w:p>
    <w:p w:rsidR="00C37C9F" w:rsidRDefault="00C37C9F" w:rsidP="00C37C9F">
      <w:pPr>
        <w:spacing w:after="0"/>
        <w:rPr>
          <w:rFonts w:ascii="Times New Roman" w:hAnsi="Times New Roman" w:cs="Times New Roman"/>
          <w:sz w:val="28"/>
          <w:szCs w:val="28"/>
        </w:rPr>
      </w:pP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 3. Application procedure is open for all DU and Partner Universities’ staff who fulfill the following general criteria: </w:t>
      </w:r>
    </w:p>
    <w:p w:rsidR="00C37C9F" w:rsidRDefault="00CA702E" w:rsidP="00C37C9F">
      <w:pPr>
        <w:spacing w:after="0"/>
        <w:rPr>
          <w:rFonts w:ascii="Times New Roman" w:hAnsi="Times New Roman" w:cs="Times New Roman"/>
          <w:sz w:val="28"/>
          <w:szCs w:val="28"/>
        </w:rPr>
      </w:pPr>
      <w:r w:rsidRPr="00CA702E">
        <w:rPr>
          <w:rFonts w:ascii="Times New Roman" w:hAnsi="Times New Roman" w:cs="Times New Roman"/>
          <w:sz w:val="28"/>
          <w:szCs w:val="28"/>
        </w:rPr>
        <w:sym w:font="Symbol" w:char="F0B7"/>
      </w:r>
      <w:r w:rsidRPr="00CA702E">
        <w:rPr>
          <w:rFonts w:ascii="Times New Roman" w:hAnsi="Times New Roman" w:cs="Times New Roman"/>
          <w:sz w:val="28"/>
          <w:szCs w:val="28"/>
        </w:rPr>
        <w:t xml:space="preserve"> During the mobility the participants must remain employed at the Home Institution which has signed Inter Institutional Agreement with Daugavpils University; </w:t>
      </w:r>
    </w:p>
    <w:p w:rsidR="00C37C9F" w:rsidRDefault="00CA702E" w:rsidP="00C37C9F">
      <w:pPr>
        <w:spacing w:after="0"/>
        <w:rPr>
          <w:rFonts w:ascii="Times New Roman" w:hAnsi="Times New Roman" w:cs="Times New Roman"/>
          <w:sz w:val="28"/>
          <w:szCs w:val="28"/>
        </w:rPr>
      </w:pPr>
      <w:r w:rsidRPr="00CA702E">
        <w:rPr>
          <w:rFonts w:ascii="Times New Roman" w:hAnsi="Times New Roman" w:cs="Times New Roman"/>
          <w:sz w:val="28"/>
          <w:szCs w:val="28"/>
        </w:rPr>
        <w:sym w:font="Symbol" w:char="F0B7"/>
      </w:r>
      <w:r w:rsidRPr="00CA702E">
        <w:rPr>
          <w:rFonts w:ascii="Times New Roman" w:hAnsi="Times New Roman" w:cs="Times New Roman"/>
          <w:sz w:val="28"/>
          <w:szCs w:val="28"/>
        </w:rPr>
        <w:t xml:space="preserve"> Candidate can possess citizenship of any country, the affiliation to the home university shall decide about the possibility of taking part in KA107.</w:t>
      </w:r>
    </w:p>
    <w:p w:rsidR="00C37C9F" w:rsidRDefault="00C37C9F" w:rsidP="00C37C9F">
      <w:pPr>
        <w:spacing w:after="0"/>
        <w:rPr>
          <w:rFonts w:ascii="Times New Roman" w:hAnsi="Times New Roman" w:cs="Times New Roman"/>
          <w:sz w:val="28"/>
          <w:szCs w:val="28"/>
        </w:rPr>
      </w:pPr>
    </w:p>
    <w:p w:rsidR="00C37C9F" w:rsidRPr="00C37C9F" w:rsidRDefault="00CA702E">
      <w:pPr>
        <w:rPr>
          <w:rFonts w:ascii="Times New Roman" w:hAnsi="Times New Roman" w:cs="Times New Roman"/>
          <w:b/>
          <w:sz w:val="28"/>
          <w:szCs w:val="28"/>
        </w:rPr>
      </w:pPr>
      <w:r w:rsidRPr="00C37C9F">
        <w:rPr>
          <w:rFonts w:ascii="Times New Roman" w:hAnsi="Times New Roman" w:cs="Times New Roman"/>
          <w:b/>
          <w:sz w:val="28"/>
          <w:szCs w:val="28"/>
        </w:rPr>
        <w:t xml:space="preserve"> B. APPLICATION PROCEDURE </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4. The Partner University is obliged to deliver to Daugavpils University the application documents of the qualified candidates at latest 3 months </w:t>
      </w:r>
      <w:r w:rsidRPr="00CA702E">
        <w:rPr>
          <w:rFonts w:ascii="Times New Roman" w:hAnsi="Times New Roman" w:cs="Times New Roman"/>
          <w:sz w:val="28"/>
          <w:szCs w:val="28"/>
        </w:rPr>
        <w:lastRenderedPageBreak/>
        <w:t xml:space="preserve">prior the mobility period stated in the learning/ teaching/ training agreement. </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5. Applicants from Daugavpils University are defined in the project application process when submitting proposals for international partnerships which will be included in the project application.</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 6. Applicants from Daugavpils University are approved by the internal DU ERASMUS+ KA107 project commission which is formed by the rectors’ order. </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7. After publishing of the order, applicants are informed about their mobility confirmation and they must submit their financial agreement form, teaching/ training/learning agreement and insurance in timely manner. </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a. Mobility Agreement for teaching / Mobility agreement for training / Learning agreement and guidlines </w:t>
      </w:r>
      <w:hyperlink r:id="rId4" w:history="1">
        <w:r w:rsidRPr="00C37C9F">
          <w:rPr>
            <w:rStyle w:val="Hyperlink"/>
            <w:rFonts w:ascii="Times New Roman" w:hAnsi="Times New Roman" w:cs="Times New Roman"/>
            <w:sz w:val="28"/>
            <w:szCs w:val="28"/>
          </w:rPr>
          <w:t>how to fill in Learning agreement for studies</w:t>
        </w:r>
      </w:hyperlink>
      <w:r w:rsidRPr="00CA702E">
        <w:rPr>
          <w:rFonts w:ascii="Times New Roman" w:hAnsi="Times New Roman" w:cs="Times New Roman"/>
          <w:sz w:val="28"/>
          <w:szCs w:val="28"/>
        </w:rPr>
        <w:t xml:space="preserve"> </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b. Confirmation of the employer (home HEI) about the applicant’s employment status (note: DU employees do not need to submit this document) </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c. Proof of citizenship (copy of passport, ID card, or certificate of nationality, note: DU employees do not need to submit this document) </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All the documents are to be submitted in English and sent via e-mail. Daugavpils University is responsible for the selection procedure of the outgoing staff mobility participants and partner institution is responsible for the incoming staff mobility selection procedure. </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8. Once the recruitment process finishes at the Partner University, the Partner University is obliged to send to Daugavpils University letter signed by the head of institution stating that candidates were selected in open, equal and transparent way. </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9. The final verification and acceptance of the application form is confirmed by the Senior specialist in cooperation issues of Daugavpils University based on the submitted documents. </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10. Only complete applications will be evaluated. </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11. Priorities for the applicant selection: </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a. Staff working with international relations, </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lastRenderedPageBreak/>
        <w:t>b. Staff involved in international student recruitment, study process organization,</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 c. Staff ensuring and implementing study programmes in English, </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d. Academic staff, </w:t>
      </w:r>
    </w:p>
    <w:p w:rsidR="00C37C9F" w:rsidRDefault="00CA702E">
      <w:pPr>
        <w:rPr>
          <w:rFonts w:ascii="Times New Roman" w:hAnsi="Times New Roman" w:cs="Times New Roman"/>
          <w:sz w:val="28"/>
          <w:szCs w:val="28"/>
        </w:rPr>
      </w:pPr>
      <w:r w:rsidRPr="00CA702E">
        <w:rPr>
          <w:rFonts w:ascii="Times New Roman" w:hAnsi="Times New Roman" w:cs="Times New Roman"/>
          <w:sz w:val="28"/>
          <w:szCs w:val="28"/>
        </w:rPr>
        <w:t xml:space="preserve">e. Country specific priorities: </w:t>
      </w:r>
    </w:p>
    <w:p w:rsidR="00C37C9F" w:rsidRDefault="00CA702E" w:rsidP="00C37C9F">
      <w:pPr>
        <w:spacing w:after="0"/>
        <w:rPr>
          <w:rFonts w:ascii="Times New Roman" w:hAnsi="Times New Roman" w:cs="Times New Roman"/>
          <w:sz w:val="28"/>
          <w:szCs w:val="28"/>
        </w:rPr>
      </w:pPr>
      <w:r w:rsidRPr="00C37C9F">
        <w:rPr>
          <w:rFonts w:ascii="Times New Roman" w:hAnsi="Times New Roman" w:cs="Times New Roman"/>
          <w:b/>
          <w:sz w:val="28"/>
          <w:szCs w:val="28"/>
        </w:rPr>
        <w:t>Tajikistan</w:t>
      </w:r>
      <w:r w:rsidRPr="00CA702E">
        <w:rPr>
          <w:rFonts w:ascii="Times New Roman" w:hAnsi="Times New Roman" w:cs="Times New Roman"/>
          <w:sz w:val="28"/>
          <w:szCs w:val="28"/>
        </w:rPr>
        <w:t xml:space="preserve"> – 1. humanities, 2.</w:t>
      </w:r>
      <w:r w:rsidR="003537AB">
        <w:rPr>
          <w:rFonts w:ascii="Times New Roman" w:hAnsi="Times New Roman" w:cs="Times New Roman"/>
          <w:sz w:val="28"/>
          <w:szCs w:val="28"/>
        </w:rPr>
        <w:t xml:space="preserve"> natural sciences, 3. pedagogy, 4. physics;</w:t>
      </w:r>
    </w:p>
    <w:p w:rsidR="00C37C9F" w:rsidRDefault="00CA702E" w:rsidP="00C37C9F">
      <w:pPr>
        <w:spacing w:after="0"/>
        <w:rPr>
          <w:rFonts w:ascii="Times New Roman" w:hAnsi="Times New Roman" w:cs="Times New Roman"/>
          <w:sz w:val="28"/>
          <w:szCs w:val="28"/>
        </w:rPr>
      </w:pPr>
      <w:r w:rsidRPr="00C37C9F">
        <w:rPr>
          <w:rFonts w:ascii="Times New Roman" w:hAnsi="Times New Roman" w:cs="Times New Roman"/>
          <w:b/>
          <w:sz w:val="28"/>
          <w:szCs w:val="28"/>
        </w:rPr>
        <w:t>Lesotho</w:t>
      </w:r>
      <w:r w:rsidRPr="00CA702E">
        <w:rPr>
          <w:rFonts w:ascii="Times New Roman" w:hAnsi="Times New Roman" w:cs="Times New Roman"/>
          <w:sz w:val="28"/>
          <w:szCs w:val="28"/>
        </w:rPr>
        <w:t xml:space="preserve"> – 1. teacher education and continuing education for innovation and sustainable development (UNESCO), 2. environmental </w:t>
      </w:r>
      <w:r w:rsidR="00C22B43">
        <w:rPr>
          <w:rFonts w:ascii="Times New Roman" w:hAnsi="Times New Roman" w:cs="Times New Roman"/>
          <w:sz w:val="28"/>
          <w:szCs w:val="28"/>
        </w:rPr>
        <w:t>sciences &amp; natural resources, 3. education</w:t>
      </w:r>
    </w:p>
    <w:p w:rsidR="00C22B43" w:rsidRDefault="00CA702E" w:rsidP="00C37C9F">
      <w:pPr>
        <w:spacing w:after="0"/>
        <w:rPr>
          <w:rFonts w:ascii="Times New Roman" w:hAnsi="Times New Roman" w:cs="Times New Roman"/>
          <w:sz w:val="28"/>
          <w:szCs w:val="28"/>
        </w:rPr>
      </w:pPr>
      <w:r w:rsidRPr="00C37C9F">
        <w:rPr>
          <w:rFonts w:ascii="Times New Roman" w:hAnsi="Times New Roman" w:cs="Times New Roman"/>
          <w:b/>
          <w:sz w:val="28"/>
          <w:szCs w:val="28"/>
        </w:rPr>
        <w:t xml:space="preserve">Philippines </w:t>
      </w:r>
      <w:r w:rsidRPr="00CA702E">
        <w:rPr>
          <w:rFonts w:ascii="Times New Roman" w:hAnsi="Times New Roman" w:cs="Times New Roman"/>
          <w:sz w:val="28"/>
          <w:szCs w:val="28"/>
        </w:rPr>
        <w:t>– 1. systematic biology, 2. n</w:t>
      </w:r>
      <w:r w:rsidR="00C22B43">
        <w:rPr>
          <w:rFonts w:ascii="Times New Roman" w:hAnsi="Times New Roman" w:cs="Times New Roman"/>
          <w:sz w:val="28"/>
          <w:szCs w:val="28"/>
        </w:rPr>
        <w:t>atural sciences, 3. management, 4. Education;</w:t>
      </w:r>
    </w:p>
    <w:p w:rsidR="00C37C9F" w:rsidRDefault="00CA702E" w:rsidP="00C37C9F">
      <w:pPr>
        <w:spacing w:after="0"/>
        <w:rPr>
          <w:rFonts w:ascii="Times New Roman" w:hAnsi="Times New Roman" w:cs="Times New Roman"/>
          <w:sz w:val="28"/>
          <w:szCs w:val="28"/>
        </w:rPr>
      </w:pPr>
      <w:r w:rsidRPr="00C37C9F">
        <w:rPr>
          <w:rFonts w:ascii="Times New Roman" w:hAnsi="Times New Roman" w:cs="Times New Roman"/>
          <w:b/>
          <w:sz w:val="28"/>
          <w:szCs w:val="28"/>
        </w:rPr>
        <w:t>China –</w:t>
      </w:r>
      <w:r w:rsidRPr="00CA702E">
        <w:rPr>
          <w:rFonts w:ascii="Times New Roman" w:hAnsi="Times New Roman" w:cs="Times New Roman"/>
          <w:sz w:val="28"/>
          <w:szCs w:val="28"/>
        </w:rPr>
        <w:t xml:space="preserve"> 1. management, 2. economics, 3. natural sciences; </w:t>
      </w:r>
    </w:p>
    <w:p w:rsidR="00C22B43" w:rsidRDefault="00CA702E" w:rsidP="00C37C9F">
      <w:pPr>
        <w:spacing w:after="0"/>
        <w:rPr>
          <w:rFonts w:ascii="Times New Roman" w:hAnsi="Times New Roman" w:cs="Times New Roman"/>
          <w:sz w:val="28"/>
          <w:szCs w:val="28"/>
        </w:rPr>
      </w:pPr>
      <w:r w:rsidRPr="00C37C9F">
        <w:rPr>
          <w:rFonts w:ascii="Times New Roman" w:hAnsi="Times New Roman" w:cs="Times New Roman"/>
          <w:b/>
          <w:sz w:val="28"/>
          <w:szCs w:val="28"/>
        </w:rPr>
        <w:t xml:space="preserve">Israel </w:t>
      </w:r>
      <w:r w:rsidRPr="00CA702E">
        <w:rPr>
          <w:rFonts w:ascii="Times New Roman" w:hAnsi="Times New Roman" w:cs="Times New Roman"/>
          <w:sz w:val="28"/>
          <w:szCs w:val="28"/>
        </w:rPr>
        <w:t xml:space="preserve">– 1. </w:t>
      </w:r>
      <w:r w:rsidR="00C22B43">
        <w:rPr>
          <w:rFonts w:ascii="Times New Roman" w:hAnsi="Times New Roman" w:cs="Times New Roman"/>
          <w:sz w:val="28"/>
          <w:szCs w:val="28"/>
        </w:rPr>
        <w:t>literature and linguistics, 2. microbiology</w:t>
      </w:r>
      <w:r w:rsidR="003537AB">
        <w:rPr>
          <w:rFonts w:ascii="Times New Roman" w:hAnsi="Times New Roman" w:cs="Times New Roman"/>
          <w:sz w:val="28"/>
          <w:szCs w:val="28"/>
        </w:rPr>
        <w:t>, 3. s</w:t>
      </w:r>
      <w:r w:rsidR="00C22B43">
        <w:rPr>
          <w:rFonts w:ascii="Times New Roman" w:hAnsi="Times New Roman" w:cs="Times New Roman"/>
          <w:sz w:val="28"/>
          <w:szCs w:val="28"/>
        </w:rPr>
        <w:t>ociology and cultural studies;</w:t>
      </w:r>
    </w:p>
    <w:p w:rsidR="00C37C9F" w:rsidRDefault="00CA702E" w:rsidP="00C37C9F">
      <w:pPr>
        <w:spacing w:after="0"/>
        <w:rPr>
          <w:rFonts w:ascii="Times New Roman" w:hAnsi="Times New Roman" w:cs="Times New Roman"/>
          <w:sz w:val="28"/>
          <w:szCs w:val="28"/>
        </w:rPr>
      </w:pPr>
      <w:r w:rsidRPr="00C37C9F">
        <w:rPr>
          <w:rFonts w:ascii="Times New Roman" w:hAnsi="Times New Roman" w:cs="Times New Roman"/>
          <w:b/>
          <w:sz w:val="28"/>
          <w:szCs w:val="28"/>
        </w:rPr>
        <w:t>USA</w:t>
      </w:r>
      <w:r w:rsidR="00C22B43">
        <w:rPr>
          <w:rFonts w:ascii="Times New Roman" w:hAnsi="Times New Roman" w:cs="Times New Roman"/>
          <w:sz w:val="28"/>
          <w:szCs w:val="28"/>
        </w:rPr>
        <w:t xml:space="preserve"> – </w:t>
      </w:r>
      <w:r w:rsidR="003537AB">
        <w:rPr>
          <w:rFonts w:ascii="Times New Roman" w:hAnsi="Times New Roman" w:cs="Times New Roman"/>
          <w:sz w:val="28"/>
          <w:szCs w:val="28"/>
        </w:rPr>
        <w:t>1. ornithology, 2. ecology, 3. s</w:t>
      </w:r>
      <w:r w:rsidR="00C22B43">
        <w:rPr>
          <w:rFonts w:ascii="Times New Roman" w:hAnsi="Times New Roman" w:cs="Times New Roman"/>
          <w:sz w:val="28"/>
          <w:szCs w:val="28"/>
        </w:rPr>
        <w:t>oci</w:t>
      </w:r>
      <w:r w:rsidR="003537AB">
        <w:rPr>
          <w:rFonts w:ascii="Times New Roman" w:hAnsi="Times New Roman" w:cs="Times New Roman"/>
          <w:sz w:val="28"/>
          <w:szCs w:val="28"/>
        </w:rPr>
        <w:t>ology and cultural studies, 4. h</w:t>
      </w:r>
      <w:r w:rsidR="00C22B43">
        <w:rPr>
          <w:rFonts w:ascii="Times New Roman" w:hAnsi="Times New Roman" w:cs="Times New Roman"/>
          <w:sz w:val="28"/>
          <w:szCs w:val="28"/>
        </w:rPr>
        <w:t>umanities;</w:t>
      </w:r>
    </w:p>
    <w:p w:rsidR="00C37C9F" w:rsidRDefault="00C37C9F" w:rsidP="00C37C9F">
      <w:pPr>
        <w:spacing w:after="0"/>
        <w:rPr>
          <w:rFonts w:ascii="Times New Roman" w:hAnsi="Times New Roman" w:cs="Times New Roman"/>
          <w:sz w:val="28"/>
          <w:szCs w:val="28"/>
        </w:rPr>
      </w:pPr>
      <w:r w:rsidRPr="00C37C9F">
        <w:rPr>
          <w:rFonts w:ascii="Times New Roman" w:hAnsi="Times New Roman" w:cs="Times New Roman"/>
          <w:b/>
          <w:sz w:val="28"/>
          <w:szCs w:val="28"/>
        </w:rPr>
        <w:t xml:space="preserve">India </w:t>
      </w:r>
      <w:r>
        <w:rPr>
          <w:rFonts w:ascii="Times New Roman" w:hAnsi="Times New Roman" w:cs="Times New Roman"/>
          <w:sz w:val="28"/>
          <w:szCs w:val="28"/>
        </w:rPr>
        <w:t xml:space="preserve">– 1. </w:t>
      </w:r>
      <w:r w:rsidR="003537AB">
        <w:rPr>
          <w:rFonts w:ascii="Times New Roman" w:hAnsi="Times New Roman" w:cs="Times New Roman"/>
          <w:sz w:val="28"/>
          <w:szCs w:val="28"/>
        </w:rPr>
        <w:t>languages, 2. literature and linguistics, 3. sociology and cultural studies;</w:t>
      </w:r>
    </w:p>
    <w:p w:rsidR="00C22B43" w:rsidRDefault="00C37C9F" w:rsidP="00C37C9F">
      <w:pPr>
        <w:spacing w:after="0"/>
        <w:rPr>
          <w:rFonts w:ascii="Times New Roman" w:hAnsi="Times New Roman" w:cs="Times New Roman"/>
          <w:sz w:val="28"/>
          <w:szCs w:val="28"/>
        </w:rPr>
      </w:pPr>
      <w:r w:rsidRPr="00C37C9F">
        <w:rPr>
          <w:rFonts w:ascii="Times New Roman" w:hAnsi="Times New Roman" w:cs="Times New Roman"/>
          <w:b/>
          <w:sz w:val="28"/>
          <w:szCs w:val="28"/>
        </w:rPr>
        <w:t>Jamaica</w:t>
      </w:r>
      <w:r>
        <w:rPr>
          <w:rFonts w:ascii="Times New Roman" w:hAnsi="Times New Roman" w:cs="Times New Roman"/>
          <w:sz w:val="28"/>
          <w:szCs w:val="28"/>
        </w:rPr>
        <w:t xml:space="preserve"> – 1.</w:t>
      </w:r>
      <w:r w:rsidR="003537AB">
        <w:rPr>
          <w:rFonts w:ascii="Times New Roman" w:hAnsi="Times New Roman" w:cs="Times New Roman"/>
          <w:sz w:val="28"/>
          <w:szCs w:val="28"/>
        </w:rPr>
        <w:t xml:space="preserve"> languages, 2. education, 3. management and administration.</w:t>
      </w:r>
    </w:p>
    <w:p w:rsidR="00C22B43" w:rsidRDefault="00C22B43" w:rsidP="00C37C9F">
      <w:pPr>
        <w:spacing w:after="0"/>
        <w:rPr>
          <w:rFonts w:ascii="Times New Roman" w:hAnsi="Times New Roman" w:cs="Times New Roman"/>
          <w:sz w:val="28"/>
          <w:szCs w:val="28"/>
        </w:rPr>
      </w:pPr>
    </w:p>
    <w:p w:rsidR="00C37C9F" w:rsidRDefault="00CA702E" w:rsidP="00C37C9F">
      <w:pPr>
        <w:spacing w:after="0"/>
        <w:rPr>
          <w:rFonts w:ascii="Times New Roman" w:hAnsi="Times New Roman" w:cs="Times New Roman"/>
          <w:sz w:val="28"/>
          <w:szCs w:val="28"/>
        </w:rPr>
      </w:pPr>
      <w:r w:rsidRPr="00CA702E">
        <w:rPr>
          <w:rFonts w:ascii="Times New Roman" w:hAnsi="Times New Roman" w:cs="Times New Roman"/>
          <w:sz w:val="28"/>
          <w:szCs w:val="28"/>
        </w:rPr>
        <w:t xml:space="preserve">12. Decision about approval will be send directly to the candidate via email within 2 weeks from the conclusion of the recruitment process. </w:t>
      </w:r>
    </w:p>
    <w:p w:rsidR="00C37C9F" w:rsidRDefault="00C37C9F" w:rsidP="00C37C9F">
      <w:pPr>
        <w:spacing w:after="0"/>
        <w:rPr>
          <w:rFonts w:ascii="Times New Roman" w:hAnsi="Times New Roman" w:cs="Times New Roman"/>
          <w:sz w:val="28"/>
          <w:szCs w:val="28"/>
        </w:rPr>
      </w:pPr>
    </w:p>
    <w:p w:rsidR="00C37C9F" w:rsidRDefault="00CA702E" w:rsidP="00C37C9F">
      <w:pPr>
        <w:spacing w:after="0"/>
        <w:rPr>
          <w:rFonts w:ascii="Times New Roman" w:hAnsi="Times New Roman" w:cs="Times New Roman"/>
          <w:sz w:val="28"/>
          <w:szCs w:val="28"/>
        </w:rPr>
      </w:pPr>
      <w:r w:rsidRPr="00CA702E">
        <w:rPr>
          <w:rFonts w:ascii="Times New Roman" w:hAnsi="Times New Roman" w:cs="Times New Roman"/>
          <w:sz w:val="28"/>
          <w:szCs w:val="28"/>
        </w:rPr>
        <w:t xml:space="preserve">13. Grant agreement will be prepared only after selected participants will provide Travel and Health insurance and if applicable visa valid for the mobility period to the Senior specialist in cooperation issues of Daugavpils University. </w:t>
      </w:r>
    </w:p>
    <w:p w:rsidR="00C37C9F" w:rsidRDefault="00C37C9F" w:rsidP="00C37C9F">
      <w:pPr>
        <w:spacing w:after="0"/>
        <w:rPr>
          <w:rFonts w:ascii="Times New Roman" w:hAnsi="Times New Roman" w:cs="Times New Roman"/>
          <w:sz w:val="28"/>
          <w:szCs w:val="28"/>
        </w:rPr>
      </w:pPr>
    </w:p>
    <w:p w:rsidR="00C37C9F" w:rsidRPr="00C37C9F" w:rsidRDefault="00CA702E" w:rsidP="00C37C9F">
      <w:pPr>
        <w:spacing w:after="0"/>
        <w:rPr>
          <w:rFonts w:ascii="Times New Roman" w:hAnsi="Times New Roman" w:cs="Times New Roman"/>
          <w:b/>
          <w:sz w:val="28"/>
          <w:szCs w:val="28"/>
        </w:rPr>
      </w:pPr>
      <w:r w:rsidRPr="00C37C9F">
        <w:rPr>
          <w:rFonts w:ascii="Times New Roman" w:hAnsi="Times New Roman" w:cs="Times New Roman"/>
          <w:b/>
          <w:sz w:val="28"/>
          <w:szCs w:val="28"/>
        </w:rPr>
        <w:t xml:space="preserve">C. APPEALS </w:t>
      </w:r>
    </w:p>
    <w:p w:rsidR="00C37C9F" w:rsidRDefault="00C37C9F" w:rsidP="00C37C9F">
      <w:pPr>
        <w:spacing w:after="0"/>
        <w:rPr>
          <w:rFonts w:ascii="Times New Roman" w:hAnsi="Times New Roman" w:cs="Times New Roman"/>
          <w:sz w:val="28"/>
          <w:szCs w:val="28"/>
        </w:rPr>
      </w:pPr>
    </w:p>
    <w:p w:rsidR="00C37C9F" w:rsidRDefault="00CA702E" w:rsidP="00C37C9F">
      <w:pPr>
        <w:spacing w:after="0"/>
        <w:rPr>
          <w:rFonts w:ascii="Times New Roman" w:hAnsi="Times New Roman" w:cs="Times New Roman"/>
          <w:sz w:val="28"/>
          <w:szCs w:val="28"/>
        </w:rPr>
      </w:pPr>
      <w:r w:rsidRPr="00CA702E">
        <w:rPr>
          <w:rFonts w:ascii="Times New Roman" w:hAnsi="Times New Roman" w:cs="Times New Roman"/>
          <w:sz w:val="28"/>
          <w:szCs w:val="28"/>
        </w:rPr>
        <w:t xml:space="preserve">14. All applicants who do not agree with the selection results have the possibility to make an appeal. The appeal should be submitted via email to the Senior specialist in cooperation issues of Daugavpils University and international relations office via email </w:t>
      </w:r>
      <w:hyperlink r:id="rId5" w:history="1">
        <w:r w:rsidRPr="00C37C9F">
          <w:rPr>
            <w:rStyle w:val="Hyperlink"/>
            <w:rFonts w:ascii="Times New Roman" w:hAnsi="Times New Roman" w:cs="Times New Roman"/>
            <w:sz w:val="28"/>
            <w:szCs w:val="28"/>
          </w:rPr>
          <w:t>ssad@du.lv</w:t>
        </w:r>
      </w:hyperlink>
      <w:r w:rsidRPr="00CA702E">
        <w:rPr>
          <w:rFonts w:ascii="Times New Roman" w:hAnsi="Times New Roman" w:cs="Times New Roman"/>
          <w:sz w:val="28"/>
          <w:szCs w:val="28"/>
        </w:rPr>
        <w:t xml:space="preserve"> within a week from the announcement of results to his email. Project Coordinator will make a decision and inform the applicant about it not later than 7 days after receiving the appeal. </w:t>
      </w:r>
    </w:p>
    <w:p w:rsidR="00C37C9F" w:rsidRDefault="00C37C9F" w:rsidP="00C37C9F">
      <w:pPr>
        <w:spacing w:after="0"/>
        <w:rPr>
          <w:rFonts w:ascii="Times New Roman" w:hAnsi="Times New Roman" w:cs="Times New Roman"/>
          <w:sz w:val="28"/>
          <w:szCs w:val="28"/>
        </w:rPr>
      </w:pPr>
    </w:p>
    <w:p w:rsidR="00C37C9F" w:rsidRPr="00C37C9F" w:rsidRDefault="00CA702E" w:rsidP="00C37C9F">
      <w:pPr>
        <w:spacing w:after="0"/>
        <w:rPr>
          <w:rFonts w:ascii="Times New Roman" w:hAnsi="Times New Roman" w:cs="Times New Roman"/>
          <w:b/>
          <w:sz w:val="28"/>
          <w:szCs w:val="28"/>
        </w:rPr>
      </w:pPr>
      <w:r w:rsidRPr="00C37C9F">
        <w:rPr>
          <w:rFonts w:ascii="Times New Roman" w:hAnsi="Times New Roman" w:cs="Times New Roman"/>
          <w:b/>
          <w:sz w:val="28"/>
          <w:szCs w:val="28"/>
        </w:rPr>
        <w:lastRenderedPageBreak/>
        <w:t xml:space="preserve">D. VISA </w:t>
      </w:r>
    </w:p>
    <w:p w:rsidR="00C37C9F" w:rsidRDefault="00C37C9F" w:rsidP="00C37C9F">
      <w:pPr>
        <w:spacing w:after="0"/>
        <w:rPr>
          <w:rFonts w:ascii="Times New Roman" w:hAnsi="Times New Roman" w:cs="Times New Roman"/>
          <w:sz w:val="28"/>
          <w:szCs w:val="28"/>
        </w:rPr>
      </w:pPr>
    </w:p>
    <w:p w:rsidR="00DF6B17" w:rsidRPr="00CA702E" w:rsidRDefault="00CA702E" w:rsidP="00C37C9F">
      <w:pPr>
        <w:spacing w:after="0"/>
        <w:rPr>
          <w:rFonts w:ascii="Times New Roman" w:hAnsi="Times New Roman" w:cs="Times New Roman"/>
          <w:sz w:val="28"/>
          <w:szCs w:val="28"/>
        </w:rPr>
      </w:pPr>
      <w:r w:rsidRPr="00CA702E">
        <w:rPr>
          <w:rFonts w:ascii="Times New Roman" w:hAnsi="Times New Roman" w:cs="Times New Roman"/>
          <w:sz w:val="28"/>
          <w:szCs w:val="28"/>
        </w:rPr>
        <w:t>15. The Host institution will help the participant, within its abilities, in the process of visa application. All the necessary documents will be sent directly to the participants. Final decision regarding granting a visa belongs to the Consul. Costs of visa application are covered by the participants.</w:t>
      </w:r>
    </w:p>
    <w:sectPr w:rsidR="00DF6B17" w:rsidRPr="00CA70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2E"/>
    <w:rsid w:val="003537AB"/>
    <w:rsid w:val="00A03B27"/>
    <w:rsid w:val="00C22B43"/>
    <w:rsid w:val="00C37C9F"/>
    <w:rsid w:val="00CA702E"/>
    <w:rsid w:val="00DD3674"/>
    <w:rsid w:val="00DF6B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F29E0-C63E-47A9-8E99-AA61D39E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A702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02E"/>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CA70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37C9F"/>
    <w:rPr>
      <w:color w:val="0563C1" w:themeColor="hyperlink"/>
      <w:u w:val="single"/>
    </w:rPr>
  </w:style>
  <w:style w:type="character" w:styleId="FollowedHyperlink">
    <w:name w:val="FollowedHyperlink"/>
    <w:basedOn w:val="DefaultParagraphFont"/>
    <w:uiPriority w:val="99"/>
    <w:semiHidden/>
    <w:unhideWhenUsed/>
    <w:rsid w:val="00DD36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9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dmin\Downloads\ssad@du.lv" TargetMode="External"/><Relationship Id="rId4" Type="http://schemas.openxmlformats.org/officeDocument/2006/relationships/hyperlink" Target="http://www.viaa.gov.lv/library/files/original/KA103_un_KA107_Tr_spus_ja_studiju_l_guma_parauga_aizpild_anas_vadl_nij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3803</Words>
  <Characters>2168</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2020-05-18T08:31:00Z</dcterms:created>
  <dcterms:modified xsi:type="dcterms:W3CDTF">2020-05-18T08:31:00Z</dcterms:modified>
</cp:coreProperties>
</file>