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14C" w:rsidRPr="000C3E01" w:rsidRDefault="009C7882" w:rsidP="0035614C">
      <w:pPr>
        <w:pStyle w:val="Heading1"/>
        <w:rPr>
          <w:iCs/>
        </w:rPr>
      </w:pPr>
      <w:r>
        <w:rPr>
          <w:iCs/>
        </w:rPr>
        <w:t>Humanitārās</w:t>
      </w:r>
      <w:r w:rsidR="0035614C" w:rsidRPr="000C3E01">
        <w:rPr>
          <w:iCs/>
        </w:rPr>
        <w:t xml:space="preserve"> fakultātes</w:t>
      </w:r>
    </w:p>
    <w:p w:rsidR="0035614C" w:rsidRPr="000C3E01" w:rsidRDefault="009C7882" w:rsidP="0035614C">
      <w:pPr>
        <w:pStyle w:val="Heading1"/>
        <w:rPr>
          <w:iCs/>
        </w:rPr>
      </w:pPr>
      <w:r>
        <w:rPr>
          <w:iCs/>
        </w:rPr>
        <w:t>Latviešu literatūras un kultūras</w:t>
      </w:r>
      <w:r w:rsidR="0035614C">
        <w:rPr>
          <w:iCs/>
        </w:rPr>
        <w:t xml:space="preserve"> katedra</w:t>
      </w:r>
    </w:p>
    <w:p w:rsidR="0035614C" w:rsidRPr="000C3E01" w:rsidRDefault="0035614C" w:rsidP="0035614C">
      <w:pPr>
        <w:spacing w:after="0"/>
        <w:jc w:val="center"/>
        <w:rPr>
          <w:rFonts w:ascii="Times New Roman" w:hAnsi="Times New Roman"/>
          <w:b/>
          <w:sz w:val="24"/>
          <w:szCs w:val="24"/>
        </w:rPr>
      </w:pPr>
      <w:r>
        <w:rPr>
          <w:rFonts w:ascii="Times New Roman" w:hAnsi="Times New Roman"/>
          <w:b/>
          <w:sz w:val="24"/>
          <w:szCs w:val="24"/>
        </w:rPr>
        <w:t>DOCENTS</w:t>
      </w:r>
    </w:p>
    <w:p w:rsidR="0035614C" w:rsidRDefault="0035614C" w:rsidP="0035614C">
      <w:pPr>
        <w:spacing w:after="0"/>
      </w:pPr>
    </w:p>
    <w:p w:rsidR="0035614C" w:rsidRPr="001419AF" w:rsidRDefault="0035614C" w:rsidP="0035614C">
      <w:pPr>
        <w:tabs>
          <w:tab w:val="left" w:pos="2285"/>
        </w:tabs>
        <w:spacing w:after="0"/>
        <w:jc w:val="center"/>
        <w:rPr>
          <w:rFonts w:ascii="Times New Roman" w:hAnsi="Times New Roman"/>
          <w:b/>
          <w:sz w:val="24"/>
          <w:szCs w:val="24"/>
        </w:rPr>
      </w:pPr>
      <w:r w:rsidRPr="001419AF">
        <w:rPr>
          <w:rFonts w:ascii="Times New Roman" w:hAnsi="Times New Roman"/>
          <w:b/>
          <w:sz w:val="24"/>
          <w:szCs w:val="24"/>
        </w:rPr>
        <w:t>Galvenie uzdevumi un pienākumi</w:t>
      </w:r>
    </w:p>
    <w:p w:rsidR="009C7882" w:rsidRPr="00E24C11" w:rsidRDefault="009C7882" w:rsidP="009C7882">
      <w:pPr>
        <w:tabs>
          <w:tab w:val="left" w:pos="2285"/>
        </w:tabs>
        <w:spacing w:after="0" w:line="240" w:lineRule="auto"/>
        <w:jc w:val="both"/>
        <w:rPr>
          <w:rFonts w:ascii="Times New Roman" w:hAnsi="Times New Roman"/>
          <w:color w:val="222222"/>
          <w:sz w:val="24"/>
          <w:szCs w:val="24"/>
        </w:rPr>
      </w:pPr>
      <w:r w:rsidRPr="00E24C11">
        <w:rPr>
          <w:rFonts w:ascii="Times New Roman" w:hAnsi="Times New Roman"/>
          <w:color w:val="222222"/>
          <w:sz w:val="24"/>
          <w:szCs w:val="24"/>
        </w:rPr>
        <w:t>1. Docents ir  valodniecības un literatūrzinātnes nozarē atzīts speciālists, kurš veic mūsdienu līmenim atbilstošu zinātniskās pētniecības darbu un nodrošina augstas kvalitātes studijas valodniecības un literatūrzinātnes nozarē. Docenta galvenais uzdevums ir sekmēt studiju un pētniecības darba brīvību, veicināt atklātumu Daugavpils Universitātes (turpmāk DU) pārvaldē un tās lietu kārtošanā. Docenta amata pienākumi jāpilda tā, lai DU spētu īstenot savus stratēģiskos attīstības uzdevumus un sasniegt izvirzītos mērķus.</w:t>
      </w:r>
    </w:p>
    <w:p w:rsidR="009C7882" w:rsidRPr="00E24C11" w:rsidRDefault="009C7882" w:rsidP="009C7882">
      <w:pPr>
        <w:pStyle w:val="tv213"/>
        <w:spacing w:before="0" w:beforeAutospacing="0" w:after="0" w:afterAutospacing="0" w:line="270" w:lineRule="atLeast"/>
        <w:jc w:val="both"/>
        <w:rPr>
          <w:color w:val="414142"/>
        </w:rPr>
      </w:pPr>
      <w:r w:rsidRPr="00E24C11">
        <w:rPr>
          <w:color w:val="414142"/>
        </w:rPr>
        <w:t>2. Docenta galvenie pienākumi ir:</w:t>
      </w:r>
    </w:p>
    <w:p w:rsidR="009C7882" w:rsidRPr="00E24C11" w:rsidRDefault="009C7882" w:rsidP="009C7882">
      <w:pPr>
        <w:pStyle w:val="tv213"/>
        <w:spacing w:before="0" w:beforeAutospacing="0" w:after="0" w:afterAutospacing="0" w:line="270" w:lineRule="atLeast"/>
        <w:jc w:val="both"/>
        <w:rPr>
          <w:color w:val="414142"/>
        </w:rPr>
      </w:pPr>
      <w:r w:rsidRPr="00E24C11">
        <w:rPr>
          <w:color w:val="414142"/>
        </w:rPr>
        <w:t xml:space="preserve">2.1. veikt pētniecības darbu </w:t>
      </w:r>
      <w:r w:rsidRPr="00E24C11">
        <w:rPr>
          <w:color w:val="222222"/>
        </w:rPr>
        <w:t xml:space="preserve">valodniecības un literatūrzinātnes nozarē, </w:t>
      </w:r>
      <w:r w:rsidRPr="00E24C11">
        <w:rPr>
          <w:color w:val="414142"/>
        </w:rPr>
        <w:t>latviešu literatūras vēstures apakšnozarē;</w:t>
      </w:r>
    </w:p>
    <w:p w:rsidR="009C7882" w:rsidRPr="00E24C11" w:rsidRDefault="009C7882" w:rsidP="009C7882">
      <w:pPr>
        <w:pStyle w:val="tv213"/>
        <w:spacing w:before="0" w:beforeAutospacing="0" w:after="0" w:afterAutospacing="0" w:line="270" w:lineRule="atLeast"/>
        <w:jc w:val="both"/>
        <w:rPr>
          <w:color w:val="414142"/>
        </w:rPr>
      </w:pPr>
      <w:r w:rsidRPr="00E24C11">
        <w:rPr>
          <w:color w:val="414142"/>
        </w:rPr>
        <w:t xml:space="preserve">2.2. lasīt lekcijas, vadīt seminārus un praktiskā darba nodarbības, vadīt studiju, bakalaura un maģistra darbus, vadīt </w:t>
      </w:r>
      <w:r>
        <w:rPr>
          <w:color w:val="414142"/>
        </w:rPr>
        <w:t>profesionālo</w:t>
      </w:r>
      <w:r w:rsidRPr="00E24C11">
        <w:rPr>
          <w:color w:val="414142"/>
        </w:rPr>
        <w:t xml:space="preserve"> un/vai pedagoģisko praksi, organizēt eksāmenus un pārbaudījumus zemāk norādītajās studiju programmās šādos studiju kursos:</w:t>
      </w:r>
    </w:p>
    <w:p w:rsidR="009C7882" w:rsidRPr="00E24C11" w:rsidRDefault="009C7882" w:rsidP="009C7882">
      <w:pPr>
        <w:pStyle w:val="tv213"/>
        <w:spacing w:before="0" w:beforeAutospacing="0" w:after="0" w:afterAutospacing="0" w:line="270" w:lineRule="atLeast"/>
        <w:jc w:val="both"/>
        <w:rPr>
          <w:color w:val="414142"/>
        </w:rPr>
      </w:pPr>
      <w:r w:rsidRPr="00E24C11">
        <w:rPr>
          <w:color w:val="414142"/>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4677"/>
        <w:gridCol w:w="851"/>
        <w:gridCol w:w="850"/>
      </w:tblGrid>
      <w:tr w:rsidR="009C7882" w:rsidRPr="00E24C11" w:rsidTr="009C7882">
        <w:tc>
          <w:tcPr>
            <w:tcW w:w="2689" w:type="dxa"/>
          </w:tcPr>
          <w:p w:rsidR="009C7882" w:rsidRPr="00E24C11" w:rsidRDefault="009C7882" w:rsidP="00F97A9A">
            <w:pPr>
              <w:pStyle w:val="tv213"/>
              <w:spacing w:before="0" w:beforeAutospacing="0" w:after="0" w:afterAutospacing="0"/>
              <w:jc w:val="both"/>
              <w:rPr>
                <w:b/>
                <w:bCs/>
                <w:color w:val="414142"/>
                <w:sz w:val="22"/>
                <w:szCs w:val="22"/>
              </w:rPr>
            </w:pPr>
            <w:r w:rsidRPr="00E24C11">
              <w:rPr>
                <w:b/>
                <w:bCs/>
                <w:color w:val="414142"/>
                <w:sz w:val="22"/>
                <w:szCs w:val="22"/>
              </w:rPr>
              <w:t>Studiju</w:t>
            </w:r>
          </w:p>
          <w:p w:rsidR="009C7882" w:rsidRPr="00E24C11" w:rsidRDefault="009C7882" w:rsidP="00F97A9A">
            <w:pPr>
              <w:pStyle w:val="tv213"/>
              <w:spacing w:before="0" w:beforeAutospacing="0" w:after="0" w:afterAutospacing="0"/>
              <w:jc w:val="both"/>
              <w:rPr>
                <w:color w:val="414142"/>
                <w:sz w:val="22"/>
                <w:szCs w:val="22"/>
              </w:rPr>
            </w:pPr>
            <w:r w:rsidRPr="00E24C11">
              <w:rPr>
                <w:b/>
                <w:bCs/>
                <w:color w:val="414142"/>
                <w:sz w:val="22"/>
                <w:szCs w:val="22"/>
              </w:rPr>
              <w:t>programma</w:t>
            </w:r>
          </w:p>
        </w:tc>
        <w:tc>
          <w:tcPr>
            <w:tcW w:w="4677" w:type="dxa"/>
          </w:tcPr>
          <w:p w:rsidR="009C7882" w:rsidRPr="00E24C11" w:rsidRDefault="009C7882" w:rsidP="00F97A9A">
            <w:pPr>
              <w:pStyle w:val="tv213"/>
              <w:spacing w:before="0" w:beforeAutospacing="0" w:after="0" w:afterAutospacing="0"/>
              <w:jc w:val="both"/>
              <w:rPr>
                <w:b/>
                <w:bCs/>
                <w:color w:val="414142"/>
                <w:sz w:val="22"/>
                <w:szCs w:val="22"/>
              </w:rPr>
            </w:pPr>
            <w:r w:rsidRPr="00E24C11">
              <w:rPr>
                <w:b/>
                <w:bCs/>
                <w:color w:val="414142"/>
                <w:sz w:val="22"/>
                <w:szCs w:val="22"/>
              </w:rPr>
              <w:t>Studiju kursa nosaukums</w:t>
            </w:r>
          </w:p>
        </w:tc>
        <w:tc>
          <w:tcPr>
            <w:tcW w:w="851" w:type="dxa"/>
          </w:tcPr>
          <w:p w:rsidR="009C7882" w:rsidRPr="00E24C11" w:rsidRDefault="009C7882" w:rsidP="00F97A9A">
            <w:pPr>
              <w:pStyle w:val="tv213"/>
              <w:spacing w:before="0" w:beforeAutospacing="0" w:after="0" w:afterAutospacing="0"/>
              <w:jc w:val="both"/>
              <w:rPr>
                <w:b/>
                <w:bCs/>
                <w:color w:val="414142"/>
                <w:sz w:val="22"/>
                <w:szCs w:val="22"/>
              </w:rPr>
            </w:pPr>
            <w:r w:rsidRPr="00E24C11">
              <w:rPr>
                <w:b/>
                <w:bCs/>
                <w:color w:val="414142"/>
                <w:sz w:val="22"/>
                <w:szCs w:val="22"/>
              </w:rPr>
              <w:t>KP</w:t>
            </w:r>
          </w:p>
        </w:tc>
        <w:tc>
          <w:tcPr>
            <w:tcW w:w="850" w:type="dxa"/>
          </w:tcPr>
          <w:p w:rsidR="009C7882" w:rsidRPr="00E24C11" w:rsidRDefault="009C7882" w:rsidP="00F97A9A">
            <w:pPr>
              <w:pStyle w:val="tv213"/>
              <w:spacing w:before="0" w:beforeAutospacing="0" w:after="0" w:afterAutospacing="0"/>
              <w:jc w:val="both"/>
              <w:rPr>
                <w:b/>
                <w:bCs/>
                <w:color w:val="414142"/>
                <w:sz w:val="22"/>
                <w:szCs w:val="22"/>
              </w:rPr>
            </w:pPr>
            <w:r w:rsidRPr="00E24C11">
              <w:rPr>
                <w:b/>
                <w:bCs/>
                <w:color w:val="414142"/>
                <w:sz w:val="22"/>
                <w:szCs w:val="22"/>
              </w:rPr>
              <w:t xml:space="preserve">Sadaļa </w:t>
            </w:r>
          </w:p>
          <w:p w:rsidR="009C7882" w:rsidRPr="00E24C11" w:rsidRDefault="009C7882" w:rsidP="00F97A9A">
            <w:pPr>
              <w:pStyle w:val="tv213"/>
              <w:spacing w:before="0" w:beforeAutospacing="0" w:after="0" w:afterAutospacing="0"/>
              <w:jc w:val="both"/>
              <w:rPr>
                <w:color w:val="414142"/>
                <w:sz w:val="22"/>
                <w:szCs w:val="22"/>
              </w:rPr>
            </w:pPr>
            <w:r w:rsidRPr="00E24C11">
              <w:rPr>
                <w:b/>
                <w:bCs/>
                <w:color w:val="414142"/>
                <w:sz w:val="22"/>
                <w:szCs w:val="22"/>
              </w:rPr>
              <w:t>(A, B, C)</w:t>
            </w:r>
          </w:p>
        </w:tc>
      </w:tr>
      <w:tr w:rsidR="009C7882" w:rsidRPr="00E24C11" w:rsidTr="009C7882">
        <w:tc>
          <w:tcPr>
            <w:tcW w:w="2689" w:type="dxa"/>
            <w:tcBorders>
              <w:top w:val="outset" w:sz="6" w:space="0" w:color="auto"/>
              <w:left w:val="outset" w:sz="6" w:space="0" w:color="auto"/>
              <w:bottom w:val="outset" w:sz="6" w:space="0" w:color="auto"/>
              <w:right w:val="outset" w:sz="6" w:space="0" w:color="auto"/>
            </w:tcBorders>
            <w:vAlign w:val="center"/>
          </w:tcPr>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 xml:space="preserve">ABSP “Filoloģija (latviešu filoloģija </w:t>
            </w:r>
            <w:r w:rsidRPr="00E24C11">
              <w:rPr>
                <w:bCs/>
                <w:color w:val="414142"/>
                <w:sz w:val="22"/>
                <w:szCs w:val="22"/>
              </w:rPr>
              <w:t>ar specializāciju latviešu valodā; latviešu filoloģija ar otro valodu; latviešu valoda kā otrā valoda</w:t>
            </w:r>
            <w:r w:rsidRPr="00E24C11">
              <w:rPr>
                <w:color w:val="414142"/>
                <w:sz w:val="22"/>
                <w:szCs w:val="22"/>
              </w:rPr>
              <w:t>)”</w:t>
            </w:r>
          </w:p>
        </w:tc>
        <w:tc>
          <w:tcPr>
            <w:tcW w:w="4677" w:type="dxa"/>
            <w:tcBorders>
              <w:top w:val="outset" w:sz="6" w:space="0" w:color="auto"/>
              <w:left w:val="outset" w:sz="6" w:space="0" w:color="auto"/>
              <w:bottom w:val="outset" w:sz="6" w:space="0" w:color="auto"/>
              <w:right w:val="outset" w:sz="6" w:space="0" w:color="auto"/>
            </w:tcBorders>
            <w:vAlign w:val="center"/>
          </w:tcPr>
          <w:p w:rsidR="009C7882" w:rsidRPr="00E24C11" w:rsidRDefault="009C7882" w:rsidP="00F97A9A">
            <w:pPr>
              <w:pStyle w:val="tv213"/>
              <w:spacing w:before="0" w:beforeAutospacing="0" w:after="0" w:afterAutospacing="0"/>
              <w:jc w:val="both"/>
              <w:rPr>
                <w:bCs/>
                <w:sz w:val="22"/>
                <w:szCs w:val="22"/>
              </w:rPr>
            </w:pPr>
            <w:r w:rsidRPr="00E24C11">
              <w:rPr>
                <w:bCs/>
                <w:sz w:val="22"/>
                <w:szCs w:val="22"/>
              </w:rPr>
              <w:t>Latviešu bērnu literatūra</w:t>
            </w:r>
          </w:p>
          <w:p w:rsidR="009C7882" w:rsidRPr="00E24C11" w:rsidRDefault="009C7882" w:rsidP="00F97A9A">
            <w:pPr>
              <w:pStyle w:val="tv213"/>
              <w:spacing w:before="0" w:beforeAutospacing="0" w:after="0" w:afterAutospacing="0"/>
              <w:jc w:val="both"/>
              <w:rPr>
                <w:bCs/>
                <w:sz w:val="22"/>
                <w:szCs w:val="22"/>
              </w:rPr>
            </w:pPr>
            <w:r w:rsidRPr="00E24C11">
              <w:rPr>
                <w:sz w:val="22"/>
                <w:szCs w:val="22"/>
              </w:rPr>
              <w:t xml:space="preserve">Pasaules bērnu literatūra          </w:t>
            </w:r>
          </w:p>
          <w:p w:rsidR="009C7882" w:rsidRPr="00E24C11" w:rsidRDefault="009C7882" w:rsidP="00F97A9A">
            <w:pPr>
              <w:pStyle w:val="tv213"/>
              <w:spacing w:before="0" w:beforeAutospacing="0" w:after="0" w:afterAutospacing="0"/>
              <w:jc w:val="both"/>
              <w:rPr>
                <w:bCs/>
                <w:sz w:val="22"/>
                <w:szCs w:val="22"/>
              </w:rPr>
            </w:pPr>
            <w:r w:rsidRPr="00E24C11">
              <w:rPr>
                <w:sz w:val="22"/>
                <w:szCs w:val="22"/>
              </w:rPr>
              <w:t>Latviešu literatūras vēsture: 20. gs. 20.- 30. gadu latviešu literatūra</w:t>
            </w:r>
          </w:p>
          <w:p w:rsidR="009C7882" w:rsidRPr="00E24C11" w:rsidRDefault="009C7882" w:rsidP="00F97A9A">
            <w:pPr>
              <w:pStyle w:val="tv213"/>
              <w:spacing w:before="0" w:beforeAutospacing="0" w:after="0" w:afterAutospacing="0"/>
              <w:jc w:val="both"/>
              <w:rPr>
                <w:bCs/>
                <w:sz w:val="22"/>
                <w:szCs w:val="22"/>
              </w:rPr>
            </w:pPr>
            <w:r w:rsidRPr="00E24C11">
              <w:rPr>
                <w:bCs/>
                <w:color w:val="414142"/>
                <w:sz w:val="22"/>
                <w:szCs w:val="22"/>
              </w:rPr>
              <w:t>Romantisms un reālisms Rietumeiropas literatūrā</w:t>
            </w:r>
          </w:p>
          <w:p w:rsidR="009C7882" w:rsidRPr="00E24C11" w:rsidRDefault="009C7882" w:rsidP="00F97A9A">
            <w:pPr>
              <w:pStyle w:val="tv213"/>
              <w:spacing w:before="0" w:beforeAutospacing="0" w:after="0" w:afterAutospacing="0"/>
              <w:jc w:val="both"/>
              <w:rPr>
                <w:bCs/>
                <w:sz w:val="22"/>
                <w:szCs w:val="22"/>
              </w:rPr>
            </w:pPr>
            <w:r w:rsidRPr="00E24C11">
              <w:rPr>
                <w:bCs/>
                <w:color w:val="414142"/>
                <w:sz w:val="22"/>
                <w:szCs w:val="22"/>
              </w:rPr>
              <w:t>Literārā teksta interpretācija II (latviešu valoda kā otrā valoda)</w:t>
            </w:r>
          </w:p>
          <w:p w:rsidR="009C7882" w:rsidRPr="00E24C11" w:rsidRDefault="009C7882" w:rsidP="00F97A9A">
            <w:pPr>
              <w:pStyle w:val="tv213"/>
              <w:spacing w:before="0" w:beforeAutospacing="0" w:after="0" w:afterAutospacing="0"/>
              <w:jc w:val="both"/>
              <w:rPr>
                <w:bCs/>
                <w:color w:val="414142"/>
                <w:sz w:val="22"/>
                <w:szCs w:val="22"/>
              </w:rPr>
            </w:pPr>
            <w:r w:rsidRPr="00E24C11">
              <w:rPr>
                <w:bCs/>
                <w:color w:val="414142"/>
                <w:sz w:val="22"/>
                <w:szCs w:val="22"/>
              </w:rPr>
              <w:t>Literārā periodika (latviešu valoda kā otrā valoda)</w:t>
            </w:r>
          </w:p>
        </w:tc>
        <w:tc>
          <w:tcPr>
            <w:tcW w:w="851" w:type="dxa"/>
          </w:tcPr>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2</w:t>
            </w:r>
          </w:p>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2</w:t>
            </w:r>
          </w:p>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2</w:t>
            </w:r>
          </w:p>
          <w:p w:rsidR="009C7882" w:rsidRPr="00E24C11" w:rsidRDefault="009C7882" w:rsidP="00F97A9A">
            <w:pPr>
              <w:pStyle w:val="tv213"/>
              <w:spacing w:before="0" w:beforeAutospacing="0" w:after="0" w:afterAutospacing="0"/>
              <w:jc w:val="both"/>
              <w:rPr>
                <w:color w:val="414142"/>
                <w:sz w:val="22"/>
                <w:szCs w:val="22"/>
              </w:rPr>
            </w:pPr>
          </w:p>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1</w:t>
            </w:r>
          </w:p>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2</w:t>
            </w:r>
          </w:p>
          <w:p w:rsidR="009C7882" w:rsidRPr="00E24C11" w:rsidRDefault="009C7882" w:rsidP="00F97A9A">
            <w:pPr>
              <w:pStyle w:val="tv213"/>
              <w:spacing w:before="0" w:beforeAutospacing="0" w:after="0" w:afterAutospacing="0"/>
              <w:jc w:val="both"/>
              <w:rPr>
                <w:color w:val="414142"/>
                <w:sz w:val="22"/>
                <w:szCs w:val="22"/>
              </w:rPr>
            </w:pPr>
          </w:p>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2</w:t>
            </w:r>
          </w:p>
        </w:tc>
        <w:tc>
          <w:tcPr>
            <w:tcW w:w="850" w:type="dxa"/>
          </w:tcPr>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A</w:t>
            </w:r>
          </w:p>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B</w:t>
            </w:r>
          </w:p>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A</w:t>
            </w:r>
          </w:p>
          <w:p w:rsidR="009C7882" w:rsidRPr="00E24C11" w:rsidRDefault="009C7882" w:rsidP="00F97A9A">
            <w:pPr>
              <w:pStyle w:val="tv213"/>
              <w:spacing w:before="0" w:beforeAutospacing="0" w:after="0" w:afterAutospacing="0"/>
              <w:jc w:val="both"/>
              <w:rPr>
                <w:color w:val="414142"/>
                <w:sz w:val="22"/>
                <w:szCs w:val="22"/>
              </w:rPr>
            </w:pPr>
          </w:p>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A</w:t>
            </w:r>
          </w:p>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B</w:t>
            </w:r>
          </w:p>
          <w:p w:rsidR="009C7882" w:rsidRPr="00E24C11" w:rsidRDefault="009C7882" w:rsidP="00F97A9A">
            <w:pPr>
              <w:pStyle w:val="tv213"/>
              <w:spacing w:before="0" w:beforeAutospacing="0" w:after="0" w:afterAutospacing="0"/>
              <w:jc w:val="both"/>
              <w:rPr>
                <w:color w:val="414142"/>
                <w:sz w:val="22"/>
                <w:szCs w:val="22"/>
              </w:rPr>
            </w:pPr>
          </w:p>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B</w:t>
            </w:r>
          </w:p>
        </w:tc>
      </w:tr>
      <w:tr w:rsidR="009C7882" w:rsidRPr="00E24C11" w:rsidTr="009C7882">
        <w:tc>
          <w:tcPr>
            <w:tcW w:w="2689" w:type="dxa"/>
            <w:tcBorders>
              <w:top w:val="outset" w:sz="6" w:space="0" w:color="auto"/>
              <w:left w:val="outset" w:sz="6" w:space="0" w:color="auto"/>
              <w:bottom w:val="outset" w:sz="6" w:space="0" w:color="auto"/>
              <w:right w:val="outset" w:sz="6" w:space="0" w:color="auto"/>
            </w:tcBorders>
            <w:vAlign w:val="center"/>
          </w:tcPr>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AMSP “Filoloģija (latviešu filoloģija)”</w:t>
            </w:r>
          </w:p>
        </w:tc>
        <w:tc>
          <w:tcPr>
            <w:tcW w:w="4677" w:type="dxa"/>
            <w:tcBorders>
              <w:top w:val="outset" w:sz="6" w:space="0" w:color="auto"/>
              <w:left w:val="outset" w:sz="6" w:space="0" w:color="auto"/>
              <w:bottom w:val="outset" w:sz="6" w:space="0" w:color="auto"/>
              <w:right w:val="outset" w:sz="6" w:space="0" w:color="auto"/>
            </w:tcBorders>
            <w:vAlign w:val="center"/>
          </w:tcPr>
          <w:p w:rsidR="009C7882" w:rsidRPr="00E24C11" w:rsidRDefault="009C7882" w:rsidP="00F97A9A">
            <w:pPr>
              <w:pStyle w:val="tv213"/>
              <w:spacing w:before="0" w:beforeAutospacing="0" w:after="0" w:afterAutospacing="0"/>
              <w:jc w:val="both"/>
              <w:rPr>
                <w:bCs/>
                <w:color w:val="414142"/>
              </w:rPr>
            </w:pPr>
            <w:r w:rsidRPr="00E24C11">
              <w:rPr>
                <w:bCs/>
                <w:color w:val="414142"/>
              </w:rPr>
              <w:t>Bērnības tēlojumi literatūrā</w:t>
            </w:r>
          </w:p>
          <w:p w:rsidR="009C7882" w:rsidRPr="00E24C11" w:rsidRDefault="009C7882" w:rsidP="00F97A9A">
            <w:pPr>
              <w:pStyle w:val="tv213"/>
              <w:spacing w:before="0" w:beforeAutospacing="0" w:after="0" w:afterAutospacing="0"/>
              <w:jc w:val="both"/>
              <w:rPr>
                <w:bCs/>
                <w:color w:val="414142"/>
                <w:sz w:val="22"/>
                <w:szCs w:val="22"/>
              </w:rPr>
            </w:pPr>
            <w:r w:rsidRPr="00E24C11">
              <w:rPr>
                <w:bCs/>
                <w:color w:val="414142"/>
                <w:sz w:val="22"/>
                <w:szCs w:val="22"/>
              </w:rPr>
              <w:t>Eseja latviešu literatūrā</w:t>
            </w:r>
          </w:p>
          <w:p w:rsidR="009C7882" w:rsidRPr="00E24C11" w:rsidRDefault="009C7882" w:rsidP="00F97A9A">
            <w:pPr>
              <w:pStyle w:val="tv213"/>
              <w:spacing w:before="0" w:beforeAutospacing="0" w:after="0" w:afterAutospacing="0"/>
              <w:jc w:val="both"/>
              <w:rPr>
                <w:bCs/>
                <w:color w:val="414142"/>
                <w:sz w:val="22"/>
                <w:szCs w:val="22"/>
              </w:rPr>
            </w:pPr>
            <w:r w:rsidRPr="00E24C11">
              <w:rPr>
                <w:bCs/>
                <w:color w:val="414142"/>
                <w:sz w:val="22"/>
                <w:szCs w:val="22"/>
              </w:rPr>
              <w:t>Maģistra darba seminārs</w:t>
            </w:r>
          </w:p>
        </w:tc>
        <w:tc>
          <w:tcPr>
            <w:tcW w:w="851" w:type="dxa"/>
          </w:tcPr>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2</w:t>
            </w:r>
          </w:p>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2</w:t>
            </w:r>
          </w:p>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2</w:t>
            </w:r>
          </w:p>
        </w:tc>
        <w:tc>
          <w:tcPr>
            <w:tcW w:w="850" w:type="dxa"/>
          </w:tcPr>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B</w:t>
            </w:r>
          </w:p>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B</w:t>
            </w:r>
          </w:p>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B</w:t>
            </w:r>
          </w:p>
        </w:tc>
      </w:tr>
      <w:tr w:rsidR="009C7882" w:rsidRPr="00E24C11" w:rsidTr="009C7882">
        <w:tc>
          <w:tcPr>
            <w:tcW w:w="2689" w:type="dxa"/>
            <w:tcBorders>
              <w:top w:val="outset" w:sz="6" w:space="0" w:color="auto"/>
              <w:left w:val="outset" w:sz="6" w:space="0" w:color="auto"/>
              <w:bottom w:val="outset" w:sz="6" w:space="0" w:color="auto"/>
              <w:right w:val="outset" w:sz="6" w:space="0" w:color="auto"/>
            </w:tcBorders>
            <w:vAlign w:val="center"/>
          </w:tcPr>
          <w:p w:rsidR="009C7882" w:rsidRPr="00E24C11" w:rsidRDefault="009C7882" w:rsidP="00F97A9A">
            <w:pPr>
              <w:pStyle w:val="tv213"/>
              <w:spacing w:before="0" w:beforeAutospacing="0" w:after="0" w:afterAutospacing="0"/>
              <w:jc w:val="both"/>
              <w:rPr>
                <w:color w:val="414142"/>
                <w:sz w:val="22"/>
                <w:szCs w:val="22"/>
              </w:rPr>
            </w:pPr>
            <w:r w:rsidRPr="00E24C11">
              <w:rPr>
                <w:bCs/>
                <w:color w:val="414142"/>
                <w:sz w:val="22"/>
                <w:szCs w:val="22"/>
              </w:rPr>
              <w:t>Profesionālās augstākās izglītības BSP „Skolotājs”</w:t>
            </w:r>
          </w:p>
        </w:tc>
        <w:tc>
          <w:tcPr>
            <w:tcW w:w="4677" w:type="dxa"/>
            <w:tcBorders>
              <w:top w:val="outset" w:sz="6" w:space="0" w:color="auto"/>
              <w:left w:val="outset" w:sz="6" w:space="0" w:color="auto"/>
              <w:bottom w:val="outset" w:sz="6" w:space="0" w:color="auto"/>
              <w:right w:val="outset" w:sz="6" w:space="0" w:color="auto"/>
            </w:tcBorders>
            <w:vAlign w:val="center"/>
          </w:tcPr>
          <w:p w:rsidR="009C7882" w:rsidRPr="00E24C11" w:rsidRDefault="009C7882" w:rsidP="00F97A9A">
            <w:pPr>
              <w:pStyle w:val="tv213"/>
              <w:spacing w:before="0" w:beforeAutospacing="0" w:after="0" w:afterAutospacing="0"/>
              <w:jc w:val="both"/>
              <w:rPr>
                <w:bCs/>
                <w:color w:val="414142"/>
                <w:sz w:val="22"/>
                <w:szCs w:val="22"/>
              </w:rPr>
            </w:pPr>
            <w:r w:rsidRPr="00E24C11">
              <w:rPr>
                <w:bCs/>
                <w:color w:val="414142"/>
                <w:sz w:val="22"/>
                <w:szCs w:val="22"/>
              </w:rPr>
              <w:t>Bērnu un jauniešu literatūra</w:t>
            </w:r>
          </w:p>
          <w:p w:rsidR="009C7882" w:rsidRPr="00E24C11" w:rsidRDefault="009C7882" w:rsidP="00F97A9A">
            <w:pPr>
              <w:pStyle w:val="tv213"/>
              <w:spacing w:before="0" w:beforeAutospacing="0" w:after="0" w:afterAutospacing="0"/>
              <w:jc w:val="both"/>
              <w:rPr>
                <w:bCs/>
                <w:color w:val="414142"/>
                <w:sz w:val="22"/>
                <w:szCs w:val="22"/>
              </w:rPr>
            </w:pPr>
            <w:r w:rsidRPr="00E24C11">
              <w:rPr>
                <w:bCs/>
                <w:color w:val="414142"/>
                <w:sz w:val="22"/>
                <w:szCs w:val="22"/>
              </w:rPr>
              <w:t>Kultūras izpratnes un pašizpausmes mākslā joma: literatūra, tās metodika</w:t>
            </w:r>
          </w:p>
        </w:tc>
        <w:tc>
          <w:tcPr>
            <w:tcW w:w="851" w:type="dxa"/>
          </w:tcPr>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2</w:t>
            </w:r>
          </w:p>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2</w:t>
            </w:r>
          </w:p>
        </w:tc>
        <w:tc>
          <w:tcPr>
            <w:tcW w:w="850" w:type="dxa"/>
          </w:tcPr>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A</w:t>
            </w:r>
          </w:p>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A</w:t>
            </w:r>
          </w:p>
        </w:tc>
      </w:tr>
      <w:tr w:rsidR="009C7882" w:rsidRPr="00E24C11" w:rsidTr="009C7882">
        <w:tc>
          <w:tcPr>
            <w:tcW w:w="2689" w:type="dxa"/>
            <w:tcBorders>
              <w:top w:val="outset" w:sz="6" w:space="0" w:color="auto"/>
              <w:left w:val="outset" w:sz="6" w:space="0" w:color="auto"/>
              <w:bottom w:val="outset" w:sz="6" w:space="0" w:color="auto"/>
              <w:right w:val="outset" w:sz="6" w:space="0" w:color="auto"/>
            </w:tcBorders>
            <w:vAlign w:val="center"/>
          </w:tcPr>
          <w:p w:rsidR="009C7882" w:rsidRPr="00E24C11" w:rsidRDefault="009C7882" w:rsidP="00F97A9A">
            <w:pPr>
              <w:pStyle w:val="tv213"/>
              <w:spacing w:before="0" w:beforeAutospacing="0" w:after="0" w:afterAutospacing="0"/>
              <w:jc w:val="both"/>
              <w:rPr>
                <w:color w:val="414142"/>
                <w:sz w:val="22"/>
                <w:szCs w:val="22"/>
              </w:rPr>
            </w:pPr>
            <w:r w:rsidRPr="00E24C11">
              <w:rPr>
                <w:bCs/>
                <w:color w:val="414142"/>
                <w:sz w:val="22"/>
                <w:szCs w:val="22"/>
              </w:rPr>
              <w:t>Profesionālās augstākās izglītības BSP „Mākslas menedžments”</w:t>
            </w:r>
          </w:p>
        </w:tc>
        <w:tc>
          <w:tcPr>
            <w:tcW w:w="4677" w:type="dxa"/>
            <w:tcBorders>
              <w:top w:val="outset" w:sz="6" w:space="0" w:color="auto"/>
              <w:left w:val="outset" w:sz="6" w:space="0" w:color="auto"/>
              <w:bottom w:val="outset" w:sz="6" w:space="0" w:color="auto"/>
              <w:right w:val="outset" w:sz="6" w:space="0" w:color="auto"/>
            </w:tcBorders>
            <w:vAlign w:val="center"/>
          </w:tcPr>
          <w:p w:rsidR="009C7882" w:rsidRPr="00E24C11" w:rsidRDefault="009C7882" w:rsidP="00F97A9A">
            <w:pPr>
              <w:pStyle w:val="tv213"/>
              <w:spacing w:before="0" w:beforeAutospacing="0" w:after="0" w:afterAutospacing="0"/>
              <w:jc w:val="both"/>
              <w:rPr>
                <w:bCs/>
                <w:color w:val="414142"/>
                <w:sz w:val="22"/>
                <w:szCs w:val="22"/>
              </w:rPr>
            </w:pPr>
            <w:r w:rsidRPr="00E24C11">
              <w:rPr>
                <w:bCs/>
                <w:color w:val="414142"/>
                <w:sz w:val="22"/>
                <w:szCs w:val="22"/>
              </w:rPr>
              <w:t>Projektu izstrāde un vadība</w:t>
            </w:r>
          </w:p>
          <w:p w:rsidR="009C7882" w:rsidRPr="00E24C11" w:rsidRDefault="009C7882" w:rsidP="00F97A9A">
            <w:pPr>
              <w:pStyle w:val="tv213"/>
              <w:spacing w:before="0" w:beforeAutospacing="0" w:after="0" w:afterAutospacing="0"/>
              <w:jc w:val="both"/>
              <w:rPr>
                <w:bCs/>
                <w:color w:val="414142"/>
                <w:sz w:val="22"/>
                <w:szCs w:val="22"/>
              </w:rPr>
            </w:pPr>
            <w:r w:rsidRPr="00E24C11">
              <w:rPr>
                <w:bCs/>
                <w:color w:val="414142"/>
                <w:sz w:val="22"/>
                <w:szCs w:val="22"/>
              </w:rPr>
              <w:t>Praktiskā projektu izstrāde</w:t>
            </w:r>
          </w:p>
          <w:p w:rsidR="009C7882" w:rsidRPr="00E24C11" w:rsidRDefault="009C7882" w:rsidP="00F97A9A">
            <w:pPr>
              <w:pStyle w:val="tv213"/>
              <w:spacing w:before="0" w:beforeAutospacing="0" w:after="0" w:afterAutospacing="0"/>
              <w:jc w:val="both"/>
              <w:rPr>
                <w:bCs/>
                <w:color w:val="414142"/>
                <w:sz w:val="22"/>
                <w:szCs w:val="22"/>
              </w:rPr>
            </w:pPr>
            <w:r w:rsidRPr="00E24C11">
              <w:rPr>
                <w:bCs/>
                <w:color w:val="414142"/>
                <w:sz w:val="22"/>
                <w:szCs w:val="22"/>
              </w:rPr>
              <w:t>Mākslas un kultūras institūciju darbība</w:t>
            </w:r>
          </w:p>
          <w:p w:rsidR="009C7882" w:rsidRPr="00E24C11" w:rsidRDefault="009C7882" w:rsidP="00F97A9A">
            <w:pPr>
              <w:pStyle w:val="tv213"/>
              <w:spacing w:before="0" w:beforeAutospacing="0" w:after="0" w:afterAutospacing="0"/>
              <w:jc w:val="both"/>
              <w:rPr>
                <w:bCs/>
                <w:color w:val="414142"/>
                <w:sz w:val="22"/>
                <w:szCs w:val="22"/>
              </w:rPr>
            </w:pPr>
          </w:p>
        </w:tc>
        <w:tc>
          <w:tcPr>
            <w:tcW w:w="851" w:type="dxa"/>
          </w:tcPr>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2</w:t>
            </w:r>
          </w:p>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2</w:t>
            </w:r>
          </w:p>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2</w:t>
            </w:r>
          </w:p>
        </w:tc>
        <w:tc>
          <w:tcPr>
            <w:tcW w:w="850" w:type="dxa"/>
          </w:tcPr>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B</w:t>
            </w:r>
          </w:p>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B</w:t>
            </w:r>
          </w:p>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A</w:t>
            </w:r>
          </w:p>
        </w:tc>
      </w:tr>
      <w:tr w:rsidR="009C7882" w:rsidRPr="00E24C11" w:rsidTr="009C7882">
        <w:tc>
          <w:tcPr>
            <w:tcW w:w="2689" w:type="dxa"/>
            <w:tcBorders>
              <w:top w:val="outset" w:sz="6" w:space="0" w:color="auto"/>
              <w:left w:val="outset" w:sz="6" w:space="0" w:color="auto"/>
              <w:bottom w:val="outset" w:sz="6" w:space="0" w:color="auto"/>
              <w:right w:val="outset" w:sz="6" w:space="0" w:color="auto"/>
            </w:tcBorders>
            <w:vAlign w:val="center"/>
          </w:tcPr>
          <w:p w:rsidR="009C7882" w:rsidRPr="00E24C11" w:rsidRDefault="009C7882" w:rsidP="00F97A9A">
            <w:pPr>
              <w:pStyle w:val="tv213"/>
              <w:spacing w:after="0"/>
              <w:jc w:val="both"/>
              <w:rPr>
                <w:color w:val="414142"/>
                <w:sz w:val="22"/>
                <w:szCs w:val="22"/>
              </w:rPr>
            </w:pPr>
            <w:r w:rsidRPr="00E24C11">
              <w:rPr>
                <w:color w:val="414142"/>
                <w:sz w:val="22"/>
                <w:szCs w:val="22"/>
              </w:rPr>
              <w:t>Skolotājs – otrā līmeņa profesionālās augstākās izglītības studiju programma</w:t>
            </w:r>
          </w:p>
        </w:tc>
        <w:tc>
          <w:tcPr>
            <w:tcW w:w="4677" w:type="dxa"/>
            <w:tcBorders>
              <w:top w:val="outset" w:sz="6" w:space="0" w:color="auto"/>
              <w:left w:val="outset" w:sz="6" w:space="0" w:color="auto"/>
              <w:bottom w:val="outset" w:sz="6" w:space="0" w:color="auto"/>
              <w:right w:val="outset" w:sz="6" w:space="0" w:color="auto"/>
            </w:tcBorders>
            <w:vAlign w:val="center"/>
          </w:tcPr>
          <w:p w:rsidR="009C7882" w:rsidRPr="00E24C11" w:rsidRDefault="009C7882" w:rsidP="00F97A9A">
            <w:pPr>
              <w:pStyle w:val="tv213"/>
              <w:spacing w:before="0" w:beforeAutospacing="0" w:after="0" w:afterAutospacing="0"/>
              <w:jc w:val="both"/>
              <w:rPr>
                <w:bCs/>
                <w:color w:val="414142"/>
              </w:rPr>
            </w:pPr>
            <w:r w:rsidRPr="00E24C11">
              <w:rPr>
                <w:bCs/>
                <w:color w:val="414142"/>
              </w:rPr>
              <w:t>Latviešu literatūras mācību metodika</w:t>
            </w:r>
          </w:p>
          <w:p w:rsidR="009C7882" w:rsidRPr="00E24C11" w:rsidRDefault="009C7882" w:rsidP="00F97A9A">
            <w:pPr>
              <w:pStyle w:val="tv213"/>
              <w:spacing w:before="0" w:beforeAutospacing="0" w:after="0" w:afterAutospacing="0"/>
              <w:jc w:val="both"/>
              <w:rPr>
                <w:bCs/>
                <w:color w:val="414142"/>
                <w:sz w:val="22"/>
                <w:szCs w:val="22"/>
              </w:rPr>
            </w:pPr>
            <w:r w:rsidRPr="00E24C11">
              <w:rPr>
                <w:bCs/>
                <w:color w:val="414142"/>
                <w:sz w:val="22"/>
                <w:szCs w:val="22"/>
              </w:rPr>
              <w:t>Kultūras izpratnes un pašizpausmes mākslā jomas mācību metodika</w:t>
            </w:r>
          </w:p>
        </w:tc>
        <w:tc>
          <w:tcPr>
            <w:tcW w:w="851" w:type="dxa"/>
          </w:tcPr>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2</w:t>
            </w:r>
          </w:p>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2</w:t>
            </w:r>
          </w:p>
        </w:tc>
        <w:tc>
          <w:tcPr>
            <w:tcW w:w="850" w:type="dxa"/>
          </w:tcPr>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B</w:t>
            </w:r>
          </w:p>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B</w:t>
            </w:r>
          </w:p>
        </w:tc>
      </w:tr>
      <w:tr w:rsidR="009C7882" w:rsidRPr="00E24C11" w:rsidTr="009C7882">
        <w:tc>
          <w:tcPr>
            <w:tcW w:w="2689" w:type="dxa"/>
            <w:tcBorders>
              <w:top w:val="outset" w:sz="6" w:space="0" w:color="auto"/>
              <w:left w:val="outset" w:sz="6" w:space="0" w:color="auto"/>
              <w:bottom w:val="outset" w:sz="6" w:space="0" w:color="auto"/>
              <w:right w:val="outset" w:sz="6" w:space="0" w:color="auto"/>
            </w:tcBorders>
            <w:vAlign w:val="center"/>
          </w:tcPr>
          <w:p w:rsidR="009C7882" w:rsidRPr="00E24C11" w:rsidRDefault="009C7882" w:rsidP="00F97A9A">
            <w:pPr>
              <w:pStyle w:val="tv213"/>
              <w:spacing w:before="0" w:beforeAutospacing="0" w:after="0" w:afterAutospacing="0"/>
              <w:jc w:val="both"/>
              <w:rPr>
                <w:bCs/>
                <w:color w:val="414142"/>
                <w:sz w:val="22"/>
                <w:szCs w:val="22"/>
              </w:rPr>
            </w:pPr>
            <w:r w:rsidRPr="00E24C11">
              <w:rPr>
                <w:bCs/>
                <w:color w:val="414142"/>
                <w:sz w:val="22"/>
                <w:szCs w:val="22"/>
              </w:rPr>
              <w:t>PMSP „Izglītība” (latviešu valodas un literatūras skolotājs”)</w:t>
            </w:r>
          </w:p>
        </w:tc>
        <w:tc>
          <w:tcPr>
            <w:tcW w:w="4677" w:type="dxa"/>
            <w:tcBorders>
              <w:top w:val="outset" w:sz="6" w:space="0" w:color="auto"/>
              <w:left w:val="outset" w:sz="6" w:space="0" w:color="auto"/>
              <w:bottom w:val="outset" w:sz="6" w:space="0" w:color="auto"/>
              <w:right w:val="outset" w:sz="6" w:space="0" w:color="auto"/>
            </w:tcBorders>
            <w:vAlign w:val="center"/>
          </w:tcPr>
          <w:p w:rsidR="009C7882" w:rsidRPr="00E24C11" w:rsidRDefault="009C7882" w:rsidP="00F97A9A">
            <w:pPr>
              <w:pStyle w:val="tv213"/>
              <w:spacing w:before="0" w:beforeAutospacing="0" w:after="0" w:afterAutospacing="0"/>
              <w:jc w:val="both"/>
              <w:rPr>
                <w:bCs/>
                <w:color w:val="414142"/>
                <w:sz w:val="22"/>
                <w:szCs w:val="22"/>
              </w:rPr>
            </w:pPr>
            <w:r w:rsidRPr="00E24C11">
              <w:rPr>
                <w:bCs/>
                <w:color w:val="414142"/>
                <w:sz w:val="22"/>
                <w:szCs w:val="22"/>
              </w:rPr>
              <w:t>Latviešu literatūras mācību metodika</w:t>
            </w:r>
          </w:p>
          <w:p w:rsidR="009C7882" w:rsidRPr="00E24C11" w:rsidRDefault="009C7882" w:rsidP="00F97A9A">
            <w:pPr>
              <w:pStyle w:val="tv213"/>
              <w:spacing w:before="0" w:beforeAutospacing="0" w:after="0" w:afterAutospacing="0"/>
              <w:jc w:val="both"/>
              <w:rPr>
                <w:bCs/>
                <w:color w:val="414142"/>
                <w:sz w:val="22"/>
                <w:szCs w:val="22"/>
              </w:rPr>
            </w:pPr>
            <w:r w:rsidRPr="00E24C11">
              <w:rPr>
                <w:bCs/>
                <w:color w:val="414142"/>
                <w:sz w:val="22"/>
                <w:szCs w:val="22"/>
              </w:rPr>
              <w:t>Teksta interpretācijas pieejas literatūras stundā</w:t>
            </w:r>
          </w:p>
          <w:p w:rsidR="009C7882" w:rsidRPr="00E24C11" w:rsidRDefault="009C7882" w:rsidP="00F97A9A">
            <w:pPr>
              <w:pStyle w:val="tv213"/>
              <w:spacing w:before="0" w:beforeAutospacing="0" w:after="0" w:afterAutospacing="0"/>
              <w:jc w:val="both"/>
              <w:rPr>
                <w:bCs/>
                <w:color w:val="414142"/>
                <w:sz w:val="22"/>
                <w:szCs w:val="22"/>
              </w:rPr>
            </w:pPr>
          </w:p>
        </w:tc>
        <w:tc>
          <w:tcPr>
            <w:tcW w:w="851" w:type="dxa"/>
          </w:tcPr>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3</w:t>
            </w:r>
          </w:p>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2</w:t>
            </w:r>
          </w:p>
        </w:tc>
        <w:tc>
          <w:tcPr>
            <w:tcW w:w="850" w:type="dxa"/>
          </w:tcPr>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B</w:t>
            </w:r>
          </w:p>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B</w:t>
            </w:r>
          </w:p>
        </w:tc>
      </w:tr>
      <w:tr w:rsidR="009C7882" w:rsidRPr="00E24C11" w:rsidTr="009C7882">
        <w:tc>
          <w:tcPr>
            <w:tcW w:w="2689" w:type="dxa"/>
            <w:tcBorders>
              <w:top w:val="outset" w:sz="6" w:space="0" w:color="auto"/>
              <w:left w:val="outset" w:sz="6" w:space="0" w:color="auto"/>
              <w:bottom w:val="outset" w:sz="6" w:space="0" w:color="auto"/>
              <w:right w:val="outset" w:sz="6" w:space="0" w:color="auto"/>
            </w:tcBorders>
            <w:vAlign w:val="center"/>
          </w:tcPr>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PMSP „Karjeras konsultants un jaunatnes lietu speciālists”</w:t>
            </w:r>
          </w:p>
        </w:tc>
        <w:tc>
          <w:tcPr>
            <w:tcW w:w="4677" w:type="dxa"/>
            <w:tcBorders>
              <w:top w:val="outset" w:sz="6" w:space="0" w:color="auto"/>
              <w:left w:val="outset" w:sz="6" w:space="0" w:color="auto"/>
              <w:bottom w:val="outset" w:sz="6" w:space="0" w:color="auto"/>
              <w:right w:val="outset" w:sz="6" w:space="0" w:color="auto"/>
            </w:tcBorders>
            <w:vAlign w:val="center"/>
          </w:tcPr>
          <w:p w:rsidR="009C7882" w:rsidRPr="00E24C11" w:rsidRDefault="009C7882" w:rsidP="00F97A9A">
            <w:pPr>
              <w:pStyle w:val="tv213"/>
              <w:spacing w:before="0" w:beforeAutospacing="0" w:after="0" w:afterAutospacing="0"/>
              <w:jc w:val="both"/>
              <w:rPr>
                <w:bCs/>
                <w:color w:val="414142"/>
                <w:sz w:val="22"/>
                <w:szCs w:val="22"/>
              </w:rPr>
            </w:pPr>
            <w:r w:rsidRPr="00E24C11">
              <w:rPr>
                <w:bCs/>
                <w:color w:val="414142"/>
                <w:sz w:val="22"/>
                <w:szCs w:val="22"/>
              </w:rPr>
              <w:t>Projektu izstrāde un vadība</w:t>
            </w:r>
          </w:p>
        </w:tc>
        <w:tc>
          <w:tcPr>
            <w:tcW w:w="851" w:type="dxa"/>
          </w:tcPr>
          <w:p w:rsidR="009C7882" w:rsidRPr="00E24C11" w:rsidRDefault="009C7882" w:rsidP="00F97A9A">
            <w:pPr>
              <w:pStyle w:val="tv213"/>
              <w:spacing w:before="0" w:beforeAutospacing="0" w:after="0" w:afterAutospacing="0"/>
              <w:jc w:val="both"/>
              <w:rPr>
                <w:color w:val="414142"/>
                <w:sz w:val="22"/>
                <w:szCs w:val="22"/>
              </w:rPr>
            </w:pPr>
          </w:p>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2</w:t>
            </w:r>
          </w:p>
        </w:tc>
        <w:tc>
          <w:tcPr>
            <w:tcW w:w="850" w:type="dxa"/>
          </w:tcPr>
          <w:p w:rsidR="009C7882" w:rsidRPr="00E24C11" w:rsidRDefault="009C7882" w:rsidP="00F97A9A">
            <w:pPr>
              <w:pStyle w:val="tv213"/>
              <w:spacing w:before="0" w:beforeAutospacing="0" w:after="0" w:afterAutospacing="0"/>
              <w:jc w:val="both"/>
              <w:rPr>
                <w:color w:val="414142"/>
                <w:sz w:val="22"/>
                <w:szCs w:val="22"/>
              </w:rPr>
            </w:pPr>
          </w:p>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B</w:t>
            </w:r>
          </w:p>
        </w:tc>
      </w:tr>
      <w:tr w:rsidR="009C7882" w:rsidRPr="00E24C11" w:rsidTr="009C7882">
        <w:tc>
          <w:tcPr>
            <w:tcW w:w="2689" w:type="dxa"/>
            <w:tcBorders>
              <w:top w:val="outset" w:sz="6" w:space="0" w:color="auto"/>
              <w:left w:val="outset" w:sz="6" w:space="0" w:color="auto"/>
              <w:bottom w:val="outset" w:sz="6" w:space="0" w:color="auto"/>
              <w:right w:val="outset" w:sz="6" w:space="0" w:color="auto"/>
            </w:tcBorders>
            <w:vAlign w:val="center"/>
          </w:tcPr>
          <w:p w:rsidR="009C7882" w:rsidRPr="00E24C11" w:rsidRDefault="009C7882" w:rsidP="00F97A9A">
            <w:pPr>
              <w:pStyle w:val="tv213"/>
              <w:spacing w:after="0"/>
              <w:jc w:val="both"/>
              <w:rPr>
                <w:color w:val="414142"/>
                <w:sz w:val="22"/>
                <w:szCs w:val="22"/>
              </w:rPr>
            </w:pPr>
            <w:r w:rsidRPr="00E24C11">
              <w:rPr>
                <w:color w:val="414142"/>
                <w:sz w:val="22"/>
                <w:szCs w:val="22"/>
              </w:rPr>
              <w:t>PMSP „Starpkultūru attiecības”</w:t>
            </w:r>
          </w:p>
        </w:tc>
        <w:tc>
          <w:tcPr>
            <w:tcW w:w="4677" w:type="dxa"/>
            <w:tcBorders>
              <w:top w:val="outset" w:sz="6" w:space="0" w:color="auto"/>
              <w:left w:val="outset" w:sz="6" w:space="0" w:color="auto"/>
              <w:bottom w:val="outset" w:sz="6" w:space="0" w:color="auto"/>
              <w:right w:val="outset" w:sz="6" w:space="0" w:color="auto"/>
            </w:tcBorders>
            <w:vAlign w:val="center"/>
          </w:tcPr>
          <w:p w:rsidR="009C7882" w:rsidRPr="00E24C11" w:rsidRDefault="009C7882" w:rsidP="00F97A9A">
            <w:pPr>
              <w:pStyle w:val="tv213"/>
              <w:spacing w:before="0" w:beforeAutospacing="0" w:after="0" w:afterAutospacing="0"/>
              <w:jc w:val="both"/>
              <w:rPr>
                <w:bCs/>
                <w:color w:val="414142"/>
                <w:sz w:val="22"/>
                <w:szCs w:val="22"/>
              </w:rPr>
            </w:pPr>
          </w:p>
          <w:p w:rsidR="009C7882" w:rsidRPr="00E24C11" w:rsidRDefault="009C7882" w:rsidP="00F97A9A">
            <w:pPr>
              <w:pStyle w:val="tv213"/>
              <w:spacing w:before="0" w:beforeAutospacing="0" w:after="0" w:afterAutospacing="0"/>
              <w:jc w:val="both"/>
              <w:rPr>
                <w:bCs/>
                <w:color w:val="414142"/>
                <w:sz w:val="22"/>
                <w:szCs w:val="22"/>
              </w:rPr>
            </w:pPr>
            <w:r w:rsidRPr="00E24C11">
              <w:rPr>
                <w:bCs/>
                <w:color w:val="414142"/>
                <w:sz w:val="22"/>
                <w:szCs w:val="22"/>
              </w:rPr>
              <w:t>Nacionālās identitātes problēmas mūsdienu sabiedrībā</w:t>
            </w:r>
          </w:p>
        </w:tc>
        <w:tc>
          <w:tcPr>
            <w:tcW w:w="851" w:type="dxa"/>
          </w:tcPr>
          <w:p w:rsidR="009C7882" w:rsidRPr="00E24C11" w:rsidRDefault="009C7882" w:rsidP="00F97A9A">
            <w:pPr>
              <w:pStyle w:val="tv213"/>
              <w:spacing w:before="0" w:beforeAutospacing="0" w:after="0" w:afterAutospacing="0"/>
              <w:jc w:val="both"/>
              <w:rPr>
                <w:color w:val="414142"/>
                <w:sz w:val="22"/>
                <w:szCs w:val="22"/>
              </w:rPr>
            </w:pPr>
          </w:p>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2</w:t>
            </w:r>
          </w:p>
        </w:tc>
        <w:tc>
          <w:tcPr>
            <w:tcW w:w="850" w:type="dxa"/>
          </w:tcPr>
          <w:p w:rsidR="009C7882" w:rsidRPr="00E24C11" w:rsidRDefault="009C7882" w:rsidP="00F97A9A">
            <w:pPr>
              <w:pStyle w:val="tv213"/>
              <w:spacing w:before="0" w:beforeAutospacing="0" w:after="0" w:afterAutospacing="0"/>
              <w:jc w:val="both"/>
              <w:rPr>
                <w:color w:val="414142"/>
                <w:sz w:val="22"/>
                <w:szCs w:val="22"/>
              </w:rPr>
            </w:pPr>
          </w:p>
          <w:p w:rsidR="009C7882" w:rsidRPr="00E24C11" w:rsidRDefault="009C7882" w:rsidP="00F97A9A">
            <w:pPr>
              <w:pStyle w:val="tv213"/>
              <w:spacing w:before="0" w:beforeAutospacing="0" w:after="0" w:afterAutospacing="0"/>
              <w:jc w:val="both"/>
              <w:rPr>
                <w:color w:val="414142"/>
                <w:sz w:val="22"/>
                <w:szCs w:val="22"/>
              </w:rPr>
            </w:pPr>
            <w:r w:rsidRPr="00E24C11">
              <w:rPr>
                <w:color w:val="414142"/>
                <w:sz w:val="22"/>
                <w:szCs w:val="22"/>
              </w:rPr>
              <w:t>B</w:t>
            </w:r>
          </w:p>
        </w:tc>
      </w:tr>
    </w:tbl>
    <w:p w:rsidR="009C7882" w:rsidRPr="00E24C11" w:rsidRDefault="009C7882" w:rsidP="009C7882">
      <w:pPr>
        <w:pStyle w:val="tv213"/>
        <w:spacing w:before="0" w:beforeAutospacing="0" w:after="0" w:afterAutospacing="0" w:line="270" w:lineRule="atLeast"/>
        <w:jc w:val="both"/>
        <w:rPr>
          <w:color w:val="414142"/>
        </w:rPr>
      </w:pPr>
    </w:p>
    <w:p w:rsidR="009C7882" w:rsidRPr="00E24C11" w:rsidRDefault="009C7882" w:rsidP="009C7882">
      <w:pPr>
        <w:spacing w:after="0" w:line="240" w:lineRule="auto"/>
        <w:jc w:val="both"/>
        <w:rPr>
          <w:rFonts w:ascii="Times New Roman" w:hAnsi="Times New Roman"/>
          <w:sz w:val="24"/>
          <w:szCs w:val="24"/>
        </w:rPr>
      </w:pPr>
      <w:r w:rsidRPr="00E24C11">
        <w:rPr>
          <w:rFonts w:ascii="Times New Roman" w:hAnsi="Times New Roman"/>
          <w:color w:val="222222"/>
          <w:sz w:val="24"/>
          <w:szCs w:val="24"/>
        </w:rPr>
        <w:lastRenderedPageBreak/>
        <w:t xml:space="preserve">2.3. </w:t>
      </w:r>
      <w:r>
        <w:rPr>
          <w:rFonts w:ascii="Times New Roman" w:hAnsi="Times New Roman"/>
          <w:color w:val="222222"/>
          <w:sz w:val="24"/>
          <w:szCs w:val="24"/>
        </w:rPr>
        <w:t xml:space="preserve">atbilstoši DU akadēmiskā personāla zinātniskā darba efektivitātes vērtēšanas kārtības 3.4. punktam ievēlēšanas </w:t>
      </w:r>
      <w:r>
        <w:rPr>
          <w:rFonts w:ascii="Times New Roman" w:hAnsi="Times New Roman"/>
          <w:sz w:val="24"/>
          <w:szCs w:val="24"/>
        </w:rPr>
        <w:t>periodā</w:t>
      </w:r>
      <w:r w:rsidRPr="00CF6D5B">
        <w:rPr>
          <w:rFonts w:ascii="Times New Roman" w:hAnsi="Times New Roman"/>
          <w:sz w:val="24"/>
          <w:szCs w:val="24"/>
        </w:rPr>
        <w:t xml:space="preserve"> publicēt/apstiprināt publicēšanai vismaz </w:t>
      </w:r>
      <w:r>
        <w:rPr>
          <w:rFonts w:ascii="Times New Roman" w:hAnsi="Times New Roman"/>
          <w:sz w:val="24"/>
          <w:szCs w:val="24"/>
        </w:rPr>
        <w:t>2</w:t>
      </w:r>
      <w:r w:rsidRPr="00CF6D5B">
        <w:rPr>
          <w:rFonts w:ascii="Times New Roman" w:hAnsi="Times New Roman"/>
          <w:sz w:val="24"/>
          <w:szCs w:val="24"/>
        </w:rPr>
        <w:t xml:space="preserve"> rakstu</w:t>
      </w:r>
      <w:r>
        <w:rPr>
          <w:rFonts w:ascii="Times New Roman" w:hAnsi="Times New Roman"/>
          <w:sz w:val="24"/>
          <w:szCs w:val="24"/>
        </w:rPr>
        <w:t>s</w:t>
      </w:r>
      <w:r w:rsidRPr="00CF6D5B">
        <w:rPr>
          <w:rFonts w:ascii="Times New Roman" w:hAnsi="Times New Roman"/>
          <w:sz w:val="24"/>
          <w:szCs w:val="24"/>
        </w:rPr>
        <w:t xml:space="preserve"> zinātniskaj</w:t>
      </w:r>
      <w:r>
        <w:rPr>
          <w:rFonts w:ascii="Times New Roman" w:hAnsi="Times New Roman"/>
          <w:sz w:val="24"/>
          <w:szCs w:val="24"/>
        </w:rPr>
        <w:t>os</w:t>
      </w:r>
      <w:r w:rsidRPr="00CF6D5B">
        <w:rPr>
          <w:rFonts w:ascii="Times New Roman" w:hAnsi="Times New Roman"/>
          <w:sz w:val="24"/>
          <w:szCs w:val="24"/>
        </w:rPr>
        <w:t xml:space="preserve"> izdevum</w:t>
      </w:r>
      <w:r>
        <w:rPr>
          <w:rFonts w:ascii="Times New Roman" w:hAnsi="Times New Roman"/>
          <w:sz w:val="24"/>
          <w:szCs w:val="24"/>
        </w:rPr>
        <w:t>os</w:t>
      </w:r>
      <w:r w:rsidRPr="00CF6D5B">
        <w:rPr>
          <w:rFonts w:ascii="Times New Roman" w:hAnsi="Times New Roman"/>
          <w:sz w:val="24"/>
          <w:szCs w:val="24"/>
        </w:rPr>
        <w:t>, kas indeksēt</w:t>
      </w:r>
      <w:r>
        <w:rPr>
          <w:rFonts w:ascii="Times New Roman" w:hAnsi="Times New Roman"/>
          <w:sz w:val="24"/>
          <w:szCs w:val="24"/>
        </w:rPr>
        <w:t>i</w:t>
      </w:r>
      <w:r w:rsidRPr="00CF6D5B">
        <w:rPr>
          <w:rFonts w:ascii="Times New Roman" w:hAnsi="Times New Roman"/>
          <w:sz w:val="24"/>
          <w:szCs w:val="24"/>
        </w:rPr>
        <w:t xml:space="preserve"> Web of Science un/vai SCOPUS datu bāzēs</w:t>
      </w:r>
      <w:r w:rsidRPr="00E24C11">
        <w:rPr>
          <w:rFonts w:ascii="Times New Roman" w:hAnsi="Times New Roman"/>
          <w:sz w:val="24"/>
          <w:szCs w:val="24"/>
        </w:rPr>
        <w:t xml:space="preserve"> ar ietekmes faktoru zem vidējā nozarē;</w:t>
      </w:r>
    </w:p>
    <w:p w:rsidR="009C7882" w:rsidRPr="00E24C11" w:rsidRDefault="009C7882" w:rsidP="009C7882">
      <w:pPr>
        <w:spacing w:after="0" w:line="240" w:lineRule="auto"/>
        <w:jc w:val="both"/>
        <w:rPr>
          <w:rFonts w:ascii="Times New Roman" w:eastAsia="Times New Roman" w:hAnsi="Times New Roman"/>
          <w:sz w:val="24"/>
          <w:szCs w:val="24"/>
        </w:rPr>
      </w:pPr>
      <w:r w:rsidRPr="00E24C11">
        <w:rPr>
          <w:rFonts w:ascii="Times New Roman" w:hAnsi="Times New Roman"/>
          <w:sz w:val="24"/>
          <w:szCs w:val="24"/>
        </w:rPr>
        <w:t xml:space="preserve">2.4. </w:t>
      </w:r>
      <w:r w:rsidRPr="00E24C11">
        <w:rPr>
          <w:rFonts w:ascii="Times New Roman" w:eastAsia="Times New Roman" w:hAnsi="Times New Roman"/>
          <w:sz w:val="24"/>
          <w:szCs w:val="24"/>
        </w:rPr>
        <w:t xml:space="preserve">piedalīties ESF, ERAF, LZP, </w:t>
      </w:r>
      <w:r w:rsidRPr="00E24C11">
        <w:rPr>
          <w:rFonts w:ascii="Times New Roman" w:hAnsi="Times New Roman"/>
          <w:sz w:val="24"/>
          <w:szCs w:val="24"/>
        </w:rPr>
        <w:t>Patvēruma, migrācijas un integrācijas fonda</w:t>
      </w:r>
      <w:r w:rsidRPr="00E24C11">
        <w:rPr>
          <w:rFonts w:ascii="Times New Roman" w:eastAsia="Times New Roman" w:hAnsi="Times New Roman"/>
          <w:sz w:val="24"/>
          <w:szCs w:val="24"/>
        </w:rPr>
        <w:t xml:space="preserve"> u.c. zinātnisko projektu īstenošanā;</w:t>
      </w:r>
    </w:p>
    <w:p w:rsidR="009C7882" w:rsidRPr="00E24C11" w:rsidRDefault="009C7882" w:rsidP="009C7882">
      <w:pPr>
        <w:spacing w:after="0" w:line="240" w:lineRule="auto"/>
        <w:jc w:val="both"/>
        <w:rPr>
          <w:rFonts w:ascii="Times New Roman" w:eastAsia="Times New Roman" w:hAnsi="Times New Roman"/>
          <w:sz w:val="24"/>
          <w:szCs w:val="24"/>
        </w:rPr>
      </w:pPr>
      <w:r w:rsidRPr="00E24C11">
        <w:rPr>
          <w:rFonts w:ascii="Times New Roman" w:eastAsia="Times New Roman" w:hAnsi="Times New Roman"/>
          <w:sz w:val="24"/>
          <w:szCs w:val="24"/>
        </w:rPr>
        <w:t>2.5. kalendāra gada laikā piedalīties ar referātu (mutiska prezentācija vai stenda referāts) vismaz vienā starptautiskajā zinātniskajā  konferencē/kongresā, publicējot tēzes;</w:t>
      </w:r>
    </w:p>
    <w:p w:rsidR="009C7882" w:rsidRPr="00E24C11" w:rsidRDefault="009C7882" w:rsidP="009C7882">
      <w:pPr>
        <w:spacing w:after="0" w:line="240" w:lineRule="auto"/>
        <w:jc w:val="both"/>
        <w:rPr>
          <w:rFonts w:ascii="Times New Roman" w:eastAsia="Times New Roman" w:hAnsi="Times New Roman"/>
          <w:sz w:val="24"/>
          <w:szCs w:val="24"/>
        </w:rPr>
      </w:pPr>
      <w:r w:rsidRPr="00E24C11">
        <w:rPr>
          <w:rFonts w:ascii="Times New Roman" w:eastAsia="Times New Roman" w:hAnsi="Times New Roman"/>
          <w:sz w:val="24"/>
          <w:szCs w:val="24"/>
        </w:rPr>
        <w:t xml:space="preserve">2.6. sekot </w:t>
      </w:r>
      <w:r w:rsidRPr="00E24C11">
        <w:rPr>
          <w:rFonts w:ascii="Times New Roman" w:hAnsi="Times New Roman"/>
          <w:color w:val="222222"/>
          <w:sz w:val="24"/>
          <w:szCs w:val="24"/>
        </w:rPr>
        <w:t xml:space="preserve">valodniecības un literatūrzinātnes </w:t>
      </w:r>
      <w:r w:rsidRPr="00E24C11">
        <w:rPr>
          <w:rFonts w:ascii="Times New Roman" w:eastAsia="Times New Roman" w:hAnsi="Times New Roman"/>
          <w:sz w:val="24"/>
          <w:szCs w:val="24"/>
        </w:rPr>
        <w:t>nozares attīstībai, novitātēm un mūsdienu tendencēm, integrēt tās studiju procesā, nodrošinot zinātnes un studiju mijiedarbību;</w:t>
      </w:r>
    </w:p>
    <w:p w:rsidR="009C7882" w:rsidRPr="00E24C11" w:rsidRDefault="009C7882" w:rsidP="009C7882">
      <w:pPr>
        <w:spacing w:after="0" w:line="240" w:lineRule="auto"/>
        <w:jc w:val="both"/>
        <w:rPr>
          <w:rFonts w:ascii="Times New Roman" w:eastAsia="Times New Roman" w:hAnsi="Times New Roman"/>
          <w:sz w:val="24"/>
          <w:szCs w:val="24"/>
        </w:rPr>
      </w:pPr>
      <w:r w:rsidRPr="00E24C11">
        <w:rPr>
          <w:rFonts w:ascii="Times New Roman" w:eastAsia="Times New Roman" w:hAnsi="Times New Roman"/>
          <w:sz w:val="24"/>
          <w:szCs w:val="24"/>
        </w:rPr>
        <w:t>2.7. veicināt starptautisko sadarbību zinātnē, nodrošinot DU starptautisku atpazīstamību (ārvalstu zinātnieku iesaiste DU darbībā, vieslekcijas ārvalstīs, iesaistīšanās starptautiskos projektos, ekspertīzē, zinātniskajās organizācijās, u.c.);</w:t>
      </w:r>
    </w:p>
    <w:p w:rsidR="009C7882" w:rsidRPr="00E24C11" w:rsidRDefault="009C7882" w:rsidP="009C7882">
      <w:pPr>
        <w:spacing w:after="0" w:line="240" w:lineRule="auto"/>
        <w:jc w:val="both"/>
        <w:rPr>
          <w:rFonts w:ascii="Times New Roman" w:eastAsia="Times New Roman" w:hAnsi="Times New Roman"/>
          <w:sz w:val="24"/>
          <w:szCs w:val="24"/>
        </w:rPr>
      </w:pPr>
      <w:r w:rsidRPr="00E24C11">
        <w:rPr>
          <w:rFonts w:ascii="Times New Roman" w:eastAsia="Times New Roman" w:hAnsi="Times New Roman"/>
          <w:sz w:val="24"/>
          <w:szCs w:val="24"/>
        </w:rPr>
        <w:t>2.8. kalendārā gada laikā piedalīties/organizēt vismaz vienu zinātnes popularizēšanas pasākumu, pārstāvot DU;</w:t>
      </w:r>
    </w:p>
    <w:p w:rsidR="009C7882" w:rsidRPr="00E24C11" w:rsidRDefault="009C7882" w:rsidP="009C7882">
      <w:pPr>
        <w:pStyle w:val="BodyText2"/>
        <w:rPr>
          <w:sz w:val="24"/>
        </w:rPr>
      </w:pPr>
      <w:r w:rsidRPr="00E24C11">
        <w:rPr>
          <w:sz w:val="24"/>
        </w:rPr>
        <w:t>2.9. ievērot akadēmiska godīguma principus, veicinot godprātīgu un atbildīgu attieksmi pret studiju procesu, zinātnisko darbību, objektivitāti, atbildību, savstarpēju cieņu un uzticēšanos un izslēdzot maldināšanu un krāpšanos.</w:t>
      </w:r>
    </w:p>
    <w:p w:rsidR="009C7882" w:rsidRPr="00E24C11" w:rsidRDefault="009C7882" w:rsidP="009C7882">
      <w:pPr>
        <w:spacing w:after="0" w:line="240" w:lineRule="auto"/>
        <w:jc w:val="both"/>
        <w:rPr>
          <w:rFonts w:ascii="Times New Roman" w:eastAsia="Times New Roman" w:hAnsi="Times New Roman"/>
          <w:sz w:val="24"/>
          <w:szCs w:val="24"/>
        </w:rPr>
      </w:pPr>
    </w:p>
    <w:p w:rsidR="009C7882" w:rsidRPr="00E24C11" w:rsidRDefault="009C7882" w:rsidP="009C7882">
      <w:pPr>
        <w:pStyle w:val="tv213"/>
        <w:spacing w:before="0" w:beforeAutospacing="0" w:after="0" w:afterAutospacing="0" w:line="270" w:lineRule="atLeast"/>
        <w:jc w:val="both"/>
        <w:rPr>
          <w:color w:val="414142"/>
        </w:rPr>
      </w:pPr>
    </w:p>
    <w:p w:rsidR="009C7882" w:rsidRPr="00E24C11" w:rsidRDefault="009C7882" w:rsidP="009C7882">
      <w:pPr>
        <w:tabs>
          <w:tab w:val="left" w:pos="2285"/>
        </w:tabs>
        <w:jc w:val="center"/>
        <w:rPr>
          <w:rFonts w:ascii="Times New Roman" w:hAnsi="Times New Roman"/>
          <w:b/>
          <w:sz w:val="24"/>
          <w:szCs w:val="24"/>
        </w:rPr>
      </w:pPr>
      <w:r w:rsidRPr="00E24C11">
        <w:rPr>
          <w:rFonts w:ascii="Times New Roman" w:hAnsi="Times New Roman"/>
          <w:b/>
          <w:sz w:val="24"/>
          <w:szCs w:val="24"/>
        </w:rPr>
        <w:t>Amata pienākumu veikšanai nepieciešamā izglītība, zināšanas un prasmes</w:t>
      </w:r>
    </w:p>
    <w:p w:rsidR="009C7882" w:rsidRPr="00E24C11" w:rsidRDefault="009C7882" w:rsidP="009C7882">
      <w:pPr>
        <w:pStyle w:val="tv213"/>
        <w:spacing w:before="0" w:beforeAutospacing="0" w:after="0" w:afterAutospacing="0" w:line="270" w:lineRule="atLeast"/>
        <w:jc w:val="both"/>
        <w:rPr>
          <w:color w:val="414142"/>
        </w:rPr>
      </w:pPr>
      <w:r w:rsidRPr="00E24C11">
        <w:rPr>
          <w:color w:val="414142"/>
        </w:rPr>
        <w:t xml:space="preserve">1. Docenta amatā var ievēlēt personu, kurai ir </w:t>
      </w:r>
      <w:r w:rsidRPr="009462C1">
        <w:rPr>
          <w:color w:val="414142"/>
        </w:rPr>
        <w:t>filoloģijas doktora grāds literatūrzinātnes nozarē.</w:t>
      </w:r>
      <w:r w:rsidRPr="00E24C11">
        <w:rPr>
          <w:color w:val="414142"/>
        </w:rPr>
        <w:t xml:space="preserve"> </w:t>
      </w:r>
    </w:p>
    <w:p w:rsidR="009C7882" w:rsidRPr="00E24C11" w:rsidRDefault="009C7882" w:rsidP="009C7882">
      <w:pPr>
        <w:pStyle w:val="tvhtml"/>
        <w:shd w:val="clear" w:color="auto" w:fill="FFFFFF"/>
        <w:spacing w:before="0" w:beforeAutospacing="0" w:after="0" w:afterAutospacing="0"/>
        <w:jc w:val="both"/>
        <w:rPr>
          <w:color w:val="222222"/>
        </w:rPr>
      </w:pPr>
      <w:bookmarkStart w:id="0" w:name="_GoBack"/>
      <w:bookmarkEnd w:id="0"/>
      <w:r>
        <w:rPr>
          <w:color w:val="222222"/>
        </w:rPr>
        <w:t>2</w:t>
      </w:r>
      <w:r w:rsidRPr="00E24C11">
        <w:rPr>
          <w:color w:val="222222"/>
        </w:rPr>
        <w:t>. Angļu valodas prasme C1 līmenī.</w:t>
      </w:r>
    </w:p>
    <w:p w:rsidR="009C7882" w:rsidRPr="00E24C11" w:rsidRDefault="009C7882" w:rsidP="009C7882">
      <w:pPr>
        <w:tabs>
          <w:tab w:val="left" w:pos="2285"/>
        </w:tabs>
        <w:spacing w:after="0"/>
        <w:jc w:val="center"/>
        <w:rPr>
          <w:rFonts w:ascii="Times New Roman" w:hAnsi="Times New Roman"/>
          <w:b/>
          <w:sz w:val="24"/>
          <w:szCs w:val="24"/>
        </w:rPr>
      </w:pPr>
    </w:p>
    <w:sectPr w:rsidR="009C7882" w:rsidRPr="00E24C11" w:rsidSect="009C788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4C"/>
    <w:rsid w:val="0035614C"/>
    <w:rsid w:val="0099019E"/>
    <w:rsid w:val="009C7882"/>
    <w:rsid w:val="00D50A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8E8F"/>
  <w15:chartTrackingRefBased/>
  <w15:docId w15:val="{0C2D245B-5684-46CD-A9A8-AFB2F512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14C"/>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35614C"/>
    <w:pPr>
      <w:keepNext/>
      <w:spacing w:after="0"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14C"/>
    <w:rPr>
      <w:rFonts w:ascii="Times New Roman" w:eastAsia="Times New Roman" w:hAnsi="Times New Roman" w:cs="Times New Roman"/>
      <w:b/>
      <w:bCs/>
      <w:sz w:val="24"/>
      <w:szCs w:val="24"/>
    </w:rPr>
  </w:style>
  <w:style w:type="paragraph" w:customStyle="1" w:styleId="tv213">
    <w:name w:val="tv213"/>
    <w:basedOn w:val="Normal"/>
    <w:rsid w:val="0035614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rsid w:val="0035614C"/>
    <w:pPr>
      <w:spacing w:before="100" w:beforeAutospacing="1" w:after="100" w:afterAutospacing="1" w:line="240" w:lineRule="auto"/>
    </w:pPr>
    <w:rPr>
      <w:rFonts w:ascii="Times New Roman" w:eastAsia="Times New Roman" w:hAnsi="Times New Roman"/>
      <w:sz w:val="24"/>
      <w:szCs w:val="24"/>
      <w:lang w:eastAsia="lv-LV"/>
    </w:rPr>
  </w:style>
  <w:style w:type="paragraph" w:styleId="BodyText2">
    <w:name w:val="Body Text 2"/>
    <w:basedOn w:val="Normal"/>
    <w:link w:val="BodyText2Char"/>
    <w:semiHidden/>
    <w:rsid w:val="009C7882"/>
    <w:pPr>
      <w:spacing w:after="0" w:line="240" w:lineRule="auto"/>
      <w:jc w:val="both"/>
    </w:pPr>
    <w:rPr>
      <w:rFonts w:ascii="Times New Roman" w:eastAsia="Times New Roman" w:hAnsi="Times New Roman"/>
      <w:sz w:val="28"/>
      <w:szCs w:val="24"/>
    </w:rPr>
  </w:style>
  <w:style w:type="character" w:customStyle="1" w:styleId="BodyText2Char">
    <w:name w:val="Body Text 2 Char"/>
    <w:basedOn w:val="DefaultParagraphFont"/>
    <w:link w:val="BodyText2"/>
    <w:semiHidden/>
    <w:rsid w:val="009C7882"/>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2618</Words>
  <Characters>1493</Characters>
  <Application>Microsoft Office Word</Application>
  <DocSecurity>0</DocSecurity>
  <Lines>12</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2022-05-30T14:09:00Z</dcterms:created>
  <dcterms:modified xsi:type="dcterms:W3CDTF">2022-05-30T14:13:00Z</dcterms:modified>
</cp:coreProperties>
</file>