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F5" w:rsidRPr="000C3E01" w:rsidRDefault="001A3A05" w:rsidP="003004F5">
      <w:pPr>
        <w:pStyle w:val="Heading1"/>
        <w:rPr>
          <w:iCs/>
        </w:rPr>
      </w:pPr>
      <w:r>
        <w:rPr>
          <w:iCs/>
        </w:rPr>
        <w:t>Humanitārās</w:t>
      </w:r>
      <w:r w:rsidR="003004F5" w:rsidRPr="000C3E01">
        <w:rPr>
          <w:iCs/>
        </w:rPr>
        <w:t xml:space="preserve"> fakultātes</w:t>
      </w:r>
    </w:p>
    <w:p w:rsidR="003004F5" w:rsidRPr="000C3E01" w:rsidRDefault="001A3A05" w:rsidP="003004F5">
      <w:pPr>
        <w:pStyle w:val="Heading1"/>
        <w:rPr>
          <w:iCs/>
        </w:rPr>
      </w:pPr>
      <w:r>
        <w:rPr>
          <w:iCs/>
        </w:rPr>
        <w:t>Rusistikas un slāvistikas</w:t>
      </w:r>
      <w:r w:rsidR="003004F5">
        <w:rPr>
          <w:iCs/>
        </w:rPr>
        <w:t xml:space="preserve"> katedra</w:t>
      </w:r>
    </w:p>
    <w:p w:rsidR="003004F5" w:rsidRPr="000C3E01" w:rsidRDefault="003004F5" w:rsidP="003004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DOCENTS</w:t>
      </w:r>
    </w:p>
    <w:p w:rsidR="003004F5" w:rsidRDefault="003004F5" w:rsidP="003004F5">
      <w:pPr>
        <w:spacing w:after="0"/>
      </w:pPr>
    </w:p>
    <w:p w:rsidR="001A3A05" w:rsidRPr="00244434" w:rsidRDefault="001A3A05" w:rsidP="001A3A05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434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1A3A05" w:rsidRPr="00EE36C0" w:rsidRDefault="001A3A05" w:rsidP="001A3A05">
      <w:pPr>
        <w:tabs>
          <w:tab w:val="left" w:pos="228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</w:rPr>
        <w:t xml:space="preserve">Docents </w:t>
      </w:r>
      <w:r>
        <w:rPr>
          <w:rFonts w:ascii="Times New Roman" w:hAnsi="Times New Roman"/>
          <w:sz w:val="24"/>
          <w:szCs w:val="24"/>
        </w:rPr>
        <w:t xml:space="preserve">ir </w:t>
      </w:r>
      <w:r w:rsidRPr="00EE36C0">
        <w:rPr>
          <w:rFonts w:ascii="Times New Roman" w:hAnsi="Times New Roman"/>
          <w:sz w:val="24"/>
          <w:szCs w:val="24"/>
        </w:rPr>
        <w:t xml:space="preserve"> </w:t>
      </w:r>
      <w:r w:rsidRPr="00956C8C">
        <w:rPr>
          <w:rFonts w:ascii="Times New Roman" w:hAnsi="Times New Roman"/>
          <w:sz w:val="24"/>
          <w:szCs w:val="24"/>
        </w:rPr>
        <w:t xml:space="preserve">valodniecības un literatūrzinātnes </w:t>
      </w:r>
      <w:r w:rsidRPr="00EE36C0">
        <w:rPr>
          <w:rFonts w:ascii="Times New Roman" w:hAnsi="Times New Roman"/>
          <w:sz w:val="24"/>
          <w:szCs w:val="24"/>
        </w:rPr>
        <w:t xml:space="preserve">nozarē </w:t>
      </w:r>
      <w:r w:rsidRPr="00BA48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36C0">
        <w:rPr>
          <w:rFonts w:ascii="Times New Roman" w:hAnsi="Times New Roman"/>
          <w:sz w:val="24"/>
          <w:szCs w:val="24"/>
        </w:rPr>
        <w:t>atzīts speciālists, kurš veic mūsdienu līmenim atbilstošu zinātniskās pētniecības darbu un nodrošina augstas kvalitātes studijas</w:t>
      </w:r>
      <w:r w:rsidRPr="00DE49AA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956C8C">
        <w:rPr>
          <w:rFonts w:ascii="Times New Roman" w:hAnsi="Times New Roman"/>
          <w:sz w:val="24"/>
          <w:szCs w:val="24"/>
        </w:rPr>
        <w:t xml:space="preserve">valodniecības un literatūrzinātnes </w:t>
      </w:r>
      <w:r w:rsidRPr="00DE49AA">
        <w:rPr>
          <w:rFonts w:ascii="Times New Roman" w:hAnsi="Times New Roman"/>
          <w:sz w:val="24"/>
          <w:szCs w:val="24"/>
        </w:rPr>
        <w:t>zinātnes nozarē.</w:t>
      </w:r>
    </w:p>
    <w:p w:rsidR="001A3A05" w:rsidRPr="00244434" w:rsidRDefault="001A3A05" w:rsidP="001A3A05">
      <w:pPr>
        <w:tabs>
          <w:tab w:val="left" w:pos="22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36C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</w:rPr>
        <w:t xml:space="preserve">Docenta </w:t>
      </w:r>
      <w:r w:rsidRPr="00244434">
        <w:rPr>
          <w:rFonts w:ascii="Times New Roman" w:hAnsi="Times New Roman"/>
          <w:sz w:val="24"/>
          <w:szCs w:val="24"/>
        </w:rPr>
        <w:t>galvenais pienākums ir sekmēt studiju un pētniecības darba brīvību, veicināt atklātumu Daugavpils Universitātes (turpmāk DU) pā</w:t>
      </w:r>
      <w:r>
        <w:rPr>
          <w:rFonts w:ascii="Times New Roman" w:hAnsi="Times New Roman"/>
          <w:sz w:val="24"/>
          <w:szCs w:val="24"/>
        </w:rPr>
        <w:t>rvaldē un tās lietu kārtošanā.</w:t>
      </w:r>
      <w:r w:rsidRPr="00EE36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Docenta </w:t>
      </w:r>
      <w:r w:rsidRPr="00244434">
        <w:rPr>
          <w:rFonts w:ascii="Times New Roman" w:hAnsi="Times New Roman"/>
          <w:sz w:val="24"/>
          <w:szCs w:val="24"/>
        </w:rPr>
        <w:t>amata pienākumi jāpilda tā, lai DU spētu īstenot savus stratēģiskos attīstības uzdevumus un sasniegt izvirzītos mērķus.</w:t>
      </w:r>
    </w:p>
    <w:p w:rsidR="001A3A05" w:rsidRPr="00244434" w:rsidRDefault="001A3A05" w:rsidP="001A3A05">
      <w:pPr>
        <w:pStyle w:val="tv213"/>
        <w:spacing w:before="0" w:beforeAutospacing="0" w:after="0" w:afterAutospacing="0" w:line="276" w:lineRule="auto"/>
        <w:jc w:val="both"/>
      </w:pPr>
      <w:r>
        <w:t xml:space="preserve">3. Docenta </w:t>
      </w:r>
      <w:r w:rsidRPr="00244434">
        <w:t>galvenie uzdevumi ir:</w:t>
      </w:r>
    </w:p>
    <w:p w:rsidR="001A3A05" w:rsidRPr="00F01ABE" w:rsidRDefault="001A3A05" w:rsidP="001A3A05">
      <w:pPr>
        <w:pStyle w:val="tv213"/>
        <w:spacing w:before="0" w:beforeAutospacing="0" w:after="0" w:afterAutospacing="0" w:line="276" w:lineRule="auto"/>
        <w:jc w:val="both"/>
        <w:rPr>
          <w:b/>
        </w:rPr>
      </w:pPr>
      <w:r w:rsidRPr="005809DD">
        <w:t>3.1</w:t>
      </w:r>
      <w:r w:rsidRPr="00F01ABE">
        <w:rPr>
          <w:b/>
        </w:rPr>
        <w:t>. zinātn</w:t>
      </w:r>
      <w:r>
        <w:rPr>
          <w:b/>
        </w:rPr>
        <w:t>es</w:t>
      </w:r>
      <w:r w:rsidRPr="00F01ABE">
        <w:rPr>
          <w:b/>
        </w:rPr>
        <w:t xml:space="preserve"> </w:t>
      </w:r>
      <w:r>
        <w:rPr>
          <w:b/>
        </w:rPr>
        <w:t>jomā</w:t>
      </w:r>
      <w:r w:rsidRPr="00F01ABE">
        <w:rPr>
          <w:b/>
        </w:rPr>
        <w:t>:</w:t>
      </w:r>
    </w:p>
    <w:p w:rsidR="001A3A05" w:rsidRPr="00244434" w:rsidRDefault="001A3A05" w:rsidP="001A3A05">
      <w:pPr>
        <w:shd w:val="clear" w:color="auto" w:fill="FFFFFF"/>
        <w:spacing w:after="0"/>
        <w:ind w:left="9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3.1.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1.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sagatavot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zinātnisk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ās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publikācij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as 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un iesniegt tās 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anonīmi recenzēt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o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s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zinātniskajos žurnālos vai konferenču ziņojumu izdevumos, kuri indeksēti datubāzē SCOPUS vai </w:t>
      </w:r>
      <w:r w:rsidRPr="00C63DED">
        <w:rPr>
          <w:rFonts w:ascii="Times New Roman" w:eastAsia="Times New Roman" w:hAnsi="Times New Roman"/>
          <w:i/>
          <w:iCs/>
          <w:color w:val="414142"/>
          <w:sz w:val="24"/>
          <w:szCs w:val="24"/>
          <w:lang w:eastAsia="lv-LV"/>
        </w:rPr>
        <w:t>Web of Science Core Collection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 vai iekļauti datubāzē ERIH+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(trīs publikācijas)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,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vai</w:t>
      </w:r>
      <w:r w:rsidRPr="00244434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 recenzēt</w:t>
      </w:r>
      <w:r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>u</w:t>
      </w:r>
      <w:r w:rsidRPr="00244434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 zinātnisk</w:t>
      </w:r>
      <w:r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o </w:t>
      </w:r>
      <w:r w:rsidRPr="00244434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>monogrāfij</w:t>
      </w:r>
      <w:r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>u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;</w:t>
      </w:r>
    </w:p>
    <w:p w:rsidR="001A3A05" w:rsidRPr="00C63DED" w:rsidRDefault="001A3A05" w:rsidP="001A3A05">
      <w:pPr>
        <w:shd w:val="clear" w:color="auto" w:fill="FFFFFF"/>
        <w:spacing w:after="0"/>
        <w:ind w:left="9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3.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1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.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2.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uzstā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ties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ar referātu starptautiskajās zinātniskajās konferencēs Latvijā un ārvalstīs;</w:t>
      </w:r>
    </w:p>
    <w:p w:rsidR="001A3A05" w:rsidRDefault="001A3A05" w:rsidP="001A3A05">
      <w:pPr>
        <w:shd w:val="clear" w:color="auto" w:fill="FFFFFF"/>
        <w:spacing w:after="0"/>
        <w:ind w:left="9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3.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1.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3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piedalīties</w:t>
      </w:r>
      <w:r>
        <w:rPr>
          <w:rFonts w:ascii="Times New Roman" w:hAnsi="Times New Roman"/>
          <w:sz w:val="24"/>
          <w:szCs w:val="24"/>
        </w:rPr>
        <w:t xml:space="preserve"> Daugavpils Universitātes un mācību centra “LatinSoft” projekta “Learn Russian in the European Union”;</w:t>
      </w:r>
    </w:p>
    <w:p w:rsidR="001A3A05" w:rsidRPr="00C63DED" w:rsidRDefault="001A3A05" w:rsidP="001A3A05">
      <w:pPr>
        <w:shd w:val="clear" w:color="auto" w:fill="FFFFFF"/>
        <w:spacing w:after="0"/>
        <w:ind w:left="9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3.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1.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4</w:t>
      </w:r>
      <w:r w:rsidRPr="001D2B41">
        <w:rPr>
          <w:rFonts w:ascii="Times New Roman" w:eastAsia="Times New Roman" w:hAnsi="Times New Roman"/>
          <w:sz w:val="24"/>
          <w:szCs w:val="24"/>
          <w:lang w:eastAsia="lv-LV"/>
        </w:rPr>
        <w:t>. celt zinātnisko kvalifikāciju ārvalstu augstskolās un zinātniskajās institūcijās (vismaz viena);</w:t>
      </w:r>
    </w:p>
    <w:p w:rsidR="001A3A05" w:rsidRPr="00C63DED" w:rsidRDefault="001A3A05" w:rsidP="001A3A05">
      <w:pPr>
        <w:pStyle w:val="tv213"/>
        <w:spacing w:before="0" w:beforeAutospacing="0" w:after="0" w:afterAutospacing="0" w:line="276" w:lineRule="auto"/>
        <w:jc w:val="both"/>
        <w:rPr>
          <w:b/>
          <w:color w:val="414142"/>
        </w:rPr>
      </w:pPr>
      <w:r w:rsidRPr="00244434">
        <w:t xml:space="preserve">   </w:t>
      </w:r>
      <w:r w:rsidRPr="005809DD">
        <w:rPr>
          <w:color w:val="414142"/>
        </w:rPr>
        <w:t>3.2.</w:t>
      </w:r>
      <w:r w:rsidRPr="00F01ABE">
        <w:rPr>
          <w:b/>
          <w:color w:val="414142"/>
        </w:rPr>
        <w:t xml:space="preserve"> </w:t>
      </w:r>
      <w:r>
        <w:rPr>
          <w:b/>
          <w:color w:val="414142"/>
        </w:rPr>
        <w:t>akadēm</w:t>
      </w:r>
      <w:r w:rsidRPr="00C63DED">
        <w:rPr>
          <w:b/>
          <w:color w:val="414142"/>
        </w:rPr>
        <w:t>isk</w:t>
      </w:r>
      <w:r>
        <w:rPr>
          <w:b/>
          <w:color w:val="414142"/>
        </w:rPr>
        <w:t>aj</w:t>
      </w:r>
      <w:r w:rsidRPr="00F01ABE">
        <w:rPr>
          <w:b/>
          <w:color w:val="414142"/>
        </w:rPr>
        <w:t>ā</w:t>
      </w:r>
      <w:r w:rsidRPr="00C63DED">
        <w:rPr>
          <w:b/>
          <w:color w:val="414142"/>
        </w:rPr>
        <w:t xml:space="preserve"> </w:t>
      </w:r>
      <w:r>
        <w:rPr>
          <w:b/>
          <w:color w:val="414142"/>
        </w:rPr>
        <w:t>darbībā</w:t>
      </w:r>
      <w:r w:rsidRPr="00C63DED">
        <w:rPr>
          <w:b/>
          <w:color w:val="414142"/>
        </w:rPr>
        <w:t>:</w:t>
      </w:r>
    </w:p>
    <w:p w:rsidR="001A3A05" w:rsidRDefault="001A3A05" w:rsidP="001A3A05">
      <w:pPr>
        <w:shd w:val="clear" w:color="auto" w:fill="FFFFFF"/>
        <w:spacing w:after="0"/>
        <w:ind w:left="9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3.2.1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vadīt 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maģistra darbu 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izstrādi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(vismaz viens 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aizstāvēt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s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maģistra 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darbs)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;</w:t>
      </w:r>
    </w:p>
    <w:p w:rsidR="001A3A05" w:rsidRPr="00C63DED" w:rsidRDefault="001A3A05" w:rsidP="001A3A05">
      <w:pPr>
        <w:shd w:val="clear" w:color="auto" w:fill="FFFFFF"/>
        <w:spacing w:after="0"/>
        <w:ind w:left="9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3.2.2.vadīt bakalau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ra darbu 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izstrādi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(vismaz viens 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aizstāvēt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s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bakalaura 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darbs)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;</w:t>
      </w:r>
    </w:p>
    <w:p w:rsidR="001A3A05" w:rsidRDefault="001A3A05" w:rsidP="001A3A05">
      <w:pPr>
        <w:shd w:val="clear" w:color="auto" w:fill="FFFFFF"/>
        <w:spacing w:after="0"/>
        <w:ind w:left="9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3.2.3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. vadī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t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nodarbīb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as maģistra studiju programmā;</w:t>
      </w:r>
    </w:p>
    <w:p w:rsidR="001A3A05" w:rsidRPr="007D6865" w:rsidRDefault="001A3A05" w:rsidP="001A3A05">
      <w:pPr>
        <w:shd w:val="clear" w:color="auto" w:fill="FFFFFF"/>
        <w:spacing w:after="0"/>
        <w:ind w:left="900"/>
        <w:jc w:val="both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3.2.4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. vadī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t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nodarbīb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as bakalaura studiju programmā;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</w:t>
      </w:r>
    </w:p>
    <w:p w:rsidR="001A3A05" w:rsidRPr="00BA48C8" w:rsidRDefault="001A3A05" w:rsidP="001A3A05">
      <w:pPr>
        <w:pStyle w:val="HTMLPreformatted"/>
        <w:shd w:val="clear" w:color="auto" w:fill="F8F9FA"/>
        <w:spacing w:line="276" w:lineRule="auto"/>
        <w:rPr>
          <w:rFonts w:ascii="inherit" w:hAnsi="inherit"/>
          <w:color w:val="202124"/>
          <w:sz w:val="42"/>
          <w:szCs w:val="42"/>
          <w:lang w:val="en-US"/>
        </w:rPr>
      </w:pPr>
      <w:r>
        <w:rPr>
          <w:rFonts w:ascii="Times New Roman" w:hAnsi="Times New Roman" w:cs="Times New Roman"/>
          <w:color w:val="414142"/>
          <w:sz w:val="24"/>
          <w:szCs w:val="24"/>
          <w:lang w:val="lv-LV" w:eastAsia="lv-LV"/>
        </w:rPr>
        <w:t xml:space="preserve">               </w:t>
      </w:r>
      <w:r w:rsidRPr="00BA48C8">
        <w:rPr>
          <w:rFonts w:ascii="Times New Roman" w:hAnsi="Times New Roman" w:cs="Times New Roman"/>
          <w:color w:val="414142"/>
          <w:sz w:val="24"/>
          <w:szCs w:val="24"/>
          <w:lang w:val="en-US" w:eastAsia="lv-LV"/>
        </w:rPr>
        <w:t xml:space="preserve">3.2.5. </w:t>
      </w:r>
      <w:proofErr w:type="gramStart"/>
      <w:r w:rsidRPr="00BA48C8">
        <w:rPr>
          <w:rFonts w:ascii="Times New Roman" w:hAnsi="Times New Roman" w:cs="Times New Roman"/>
          <w:color w:val="414142"/>
          <w:sz w:val="24"/>
          <w:szCs w:val="24"/>
          <w:lang w:val="en-US" w:eastAsia="lv-LV"/>
        </w:rPr>
        <w:t>vadīt</w:t>
      </w:r>
      <w:proofErr w:type="gramEnd"/>
      <w:r w:rsidRPr="00BA48C8">
        <w:rPr>
          <w:rFonts w:ascii="Times New Roman" w:hAnsi="Times New Roman" w:cs="Times New Roman"/>
          <w:color w:val="414142"/>
          <w:sz w:val="24"/>
          <w:szCs w:val="24"/>
          <w:lang w:val="en-US" w:eastAsia="lv-LV"/>
        </w:rPr>
        <w:t xml:space="preserve"> nodarbības ārvalstu studentiem </w:t>
      </w:r>
      <w:r w:rsidRPr="00BA48C8">
        <w:rPr>
          <w:rFonts w:ascii="Times New Roman" w:hAnsi="Times New Roman" w:cs="Times New Roman"/>
          <w:color w:val="414142"/>
          <w:sz w:val="22"/>
          <w:szCs w:val="22"/>
          <w:lang w:val="en-US" w:eastAsia="lv-LV"/>
        </w:rPr>
        <w:t xml:space="preserve">Latvijā, </w:t>
      </w:r>
      <w:r w:rsidRPr="00DC72A9">
        <w:rPr>
          <w:rFonts w:ascii="Times New Roman" w:hAnsi="Times New Roman" w:cs="Times New Roman"/>
          <w:sz w:val="24"/>
          <w:szCs w:val="24"/>
          <w:lang w:val="lv-LV"/>
        </w:rPr>
        <w:t>tostarp angļu valodā</w:t>
      </w:r>
      <w:r w:rsidRPr="00BA48C8">
        <w:rPr>
          <w:rFonts w:ascii="Times New Roman" w:hAnsi="Times New Roman" w:cs="Times New Roman"/>
          <w:color w:val="FF0000"/>
          <w:sz w:val="24"/>
          <w:szCs w:val="24"/>
          <w:lang w:val="en-US" w:eastAsia="lv-LV"/>
        </w:rPr>
        <w:t>;</w:t>
      </w:r>
    </w:p>
    <w:p w:rsidR="001A3A05" w:rsidRPr="00C63DED" w:rsidRDefault="001A3A05" w:rsidP="001A3A05">
      <w:pPr>
        <w:shd w:val="clear" w:color="auto" w:fill="FFFFFF"/>
        <w:spacing w:after="0"/>
        <w:ind w:left="90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3.2.6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paaugstinā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t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pedagoģisk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o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kvalifikācij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u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Latvijas un ārvalstu augstskolās vai zinātniskajās institūcijās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(vismaz viena)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;</w:t>
      </w:r>
    </w:p>
    <w:p w:rsidR="001A3A05" w:rsidRPr="00244434" w:rsidRDefault="001A3A05" w:rsidP="001A3A0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5809D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3.3.</w:t>
      </w:r>
      <w:r w:rsidRPr="00244434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</w:t>
      </w:r>
      <w:r w:rsidRPr="00F01ABE">
        <w:rPr>
          <w:rFonts w:ascii="Times New Roman" w:eastAsia="Times New Roman" w:hAnsi="Times New Roman"/>
          <w:b/>
          <w:color w:val="414142"/>
          <w:sz w:val="24"/>
          <w:szCs w:val="24"/>
          <w:lang w:eastAsia="lv-LV"/>
        </w:rPr>
        <w:t>organizatorisk</w:t>
      </w:r>
      <w:r>
        <w:rPr>
          <w:rFonts w:ascii="Times New Roman" w:eastAsia="Times New Roman" w:hAnsi="Times New Roman"/>
          <w:b/>
          <w:color w:val="414142"/>
          <w:sz w:val="24"/>
          <w:szCs w:val="24"/>
          <w:lang w:eastAsia="lv-LV"/>
        </w:rPr>
        <w:t>aj</w:t>
      </w:r>
      <w:r w:rsidRPr="00F01ABE">
        <w:rPr>
          <w:rFonts w:ascii="Times New Roman" w:eastAsia="Times New Roman" w:hAnsi="Times New Roman"/>
          <w:b/>
          <w:color w:val="414142"/>
          <w:sz w:val="24"/>
          <w:szCs w:val="24"/>
          <w:lang w:eastAsia="lv-LV"/>
        </w:rPr>
        <w:t>ā darbīb</w:t>
      </w:r>
      <w:r>
        <w:rPr>
          <w:rFonts w:ascii="Times New Roman" w:eastAsia="Times New Roman" w:hAnsi="Times New Roman"/>
          <w:b/>
          <w:color w:val="414142"/>
          <w:sz w:val="24"/>
          <w:szCs w:val="24"/>
          <w:lang w:eastAsia="lv-LV"/>
        </w:rPr>
        <w:t>ā</w:t>
      </w:r>
      <w:r w:rsidRPr="00F01ABE">
        <w:rPr>
          <w:rFonts w:ascii="Times New Roman" w:eastAsia="Times New Roman" w:hAnsi="Times New Roman"/>
          <w:b/>
          <w:color w:val="414142"/>
          <w:sz w:val="24"/>
          <w:szCs w:val="24"/>
          <w:lang w:eastAsia="lv-LV"/>
        </w:rPr>
        <w:t>:</w:t>
      </w:r>
    </w:p>
    <w:p w:rsidR="001A3A05" w:rsidRDefault="001A3A05" w:rsidP="001A3A05">
      <w:pPr>
        <w:pStyle w:val="tv213"/>
        <w:shd w:val="clear" w:color="auto" w:fill="FFFFFF"/>
        <w:spacing w:before="0" w:beforeAutospacing="0" w:after="0" w:afterAutospacing="0" w:line="276" w:lineRule="auto"/>
        <w:ind w:left="600"/>
        <w:jc w:val="both"/>
        <w:rPr>
          <w:color w:val="414142"/>
        </w:rPr>
      </w:pPr>
      <w:r w:rsidRPr="00244434">
        <w:rPr>
          <w:color w:val="414142"/>
        </w:rPr>
        <w:t xml:space="preserve">    </w:t>
      </w:r>
      <w:r>
        <w:rPr>
          <w:color w:val="414142"/>
        </w:rPr>
        <w:t>3.3.1</w:t>
      </w:r>
      <w:r w:rsidRPr="00244434">
        <w:rPr>
          <w:color w:val="414142"/>
        </w:rPr>
        <w:t xml:space="preserve">. </w:t>
      </w:r>
      <w:r>
        <w:rPr>
          <w:color w:val="414142"/>
        </w:rPr>
        <w:t>piedalīties</w:t>
      </w:r>
      <w:r w:rsidRPr="00244434">
        <w:rPr>
          <w:color w:val="414142"/>
        </w:rPr>
        <w:t xml:space="preserve"> pētniecības un attīstības projektu</w:t>
      </w:r>
      <w:r>
        <w:rPr>
          <w:color w:val="414142"/>
        </w:rPr>
        <w:t xml:space="preserve"> realizēšanā</w:t>
      </w:r>
      <w:r w:rsidRPr="00244434">
        <w:rPr>
          <w:color w:val="414142"/>
        </w:rPr>
        <w:t xml:space="preserve"> </w:t>
      </w:r>
    </w:p>
    <w:p w:rsidR="001A3A05" w:rsidRPr="00244434" w:rsidRDefault="001A3A05" w:rsidP="001A3A05">
      <w:pPr>
        <w:pStyle w:val="tv213"/>
        <w:shd w:val="clear" w:color="auto" w:fill="FFFFFF"/>
        <w:spacing w:before="0" w:beforeAutospacing="0" w:after="0" w:afterAutospacing="0" w:line="276" w:lineRule="auto"/>
        <w:ind w:left="600"/>
        <w:jc w:val="both"/>
        <w:rPr>
          <w:color w:val="414142"/>
        </w:rPr>
      </w:pPr>
      <w:r>
        <w:rPr>
          <w:color w:val="414142"/>
        </w:rPr>
        <w:t xml:space="preserve"> </w:t>
      </w:r>
      <w:r>
        <w:rPr>
          <w:color w:val="414142"/>
        </w:rPr>
        <w:t xml:space="preserve">   </w:t>
      </w:r>
      <w:r w:rsidRPr="00244434">
        <w:rPr>
          <w:color w:val="414142"/>
        </w:rPr>
        <w:t>3.3.</w:t>
      </w:r>
      <w:r>
        <w:rPr>
          <w:color w:val="414142"/>
        </w:rPr>
        <w:t>2</w:t>
      </w:r>
      <w:r w:rsidRPr="00244434">
        <w:rPr>
          <w:color w:val="414142"/>
        </w:rPr>
        <w:t>. līdzda</w:t>
      </w:r>
      <w:r>
        <w:rPr>
          <w:color w:val="414142"/>
        </w:rPr>
        <w:t>rboties</w:t>
      </w:r>
      <w:r w:rsidRPr="00244434">
        <w:rPr>
          <w:color w:val="414142"/>
        </w:rPr>
        <w:t xml:space="preserve"> starptautisko   zinātnisko konferenču </w:t>
      </w:r>
      <w:r w:rsidRPr="00BA48C8">
        <w:t>Rīcības vai Zinātniskajās komitejās,</w:t>
      </w:r>
      <w:r w:rsidRPr="00F93F71">
        <w:rPr>
          <w:color w:val="00B0F0"/>
        </w:rPr>
        <w:t xml:space="preserve"> </w:t>
      </w:r>
      <w:r w:rsidRPr="00244434">
        <w:rPr>
          <w:color w:val="414142"/>
        </w:rPr>
        <w:t>līdzda</w:t>
      </w:r>
      <w:r>
        <w:rPr>
          <w:color w:val="414142"/>
        </w:rPr>
        <w:t>rboties starptautisko</w:t>
      </w:r>
      <w:r w:rsidRPr="00244434">
        <w:rPr>
          <w:color w:val="414142"/>
        </w:rPr>
        <w:t xml:space="preserve"> zinātnisko konferenču organizēšanā;</w:t>
      </w:r>
    </w:p>
    <w:p w:rsidR="001A3A05" w:rsidRPr="00244434" w:rsidRDefault="001A3A05" w:rsidP="001A3A05">
      <w:pPr>
        <w:pStyle w:val="tv213"/>
        <w:shd w:val="clear" w:color="auto" w:fill="FFFFFF"/>
        <w:spacing w:before="0" w:beforeAutospacing="0" w:after="0" w:afterAutospacing="0" w:line="276" w:lineRule="auto"/>
        <w:ind w:left="600"/>
        <w:jc w:val="both"/>
        <w:rPr>
          <w:color w:val="414142"/>
        </w:rPr>
      </w:pPr>
      <w:r>
        <w:t xml:space="preserve"> </w:t>
      </w:r>
      <w:r>
        <w:rPr>
          <w:color w:val="414142"/>
        </w:rPr>
        <w:t xml:space="preserve">   </w:t>
      </w:r>
      <w:r w:rsidRPr="00244434">
        <w:rPr>
          <w:color w:val="414142"/>
        </w:rPr>
        <w:t>3.3.</w:t>
      </w:r>
      <w:r>
        <w:rPr>
          <w:color w:val="414142"/>
        </w:rPr>
        <w:t>3</w:t>
      </w:r>
      <w:r w:rsidRPr="00244434">
        <w:rPr>
          <w:color w:val="414142"/>
        </w:rPr>
        <w:t xml:space="preserve">. </w:t>
      </w:r>
      <w:r>
        <w:rPr>
          <w:color w:val="414142"/>
        </w:rPr>
        <w:t xml:space="preserve">piedalīties  </w:t>
      </w:r>
      <w:r w:rsidRPr="00244434">
        <w:rPr>
          <w:color w:val="414142"/>
        </w:rPr>
        <w:t>nacionāla un starptautiska mēroga zinātnisko, akadēmisko konkursu, festivālu un citu    līdzvērtīgu p</w:t>
      </w:r>
      <w:r>
        <w:rPr>
          <w:color w:val="414142"/>
        </w:rPr>
        <w:t xml:space="preserve">asākumu, </w:t>
      </w:r>
      <w:r w:rsidRPr="00EC1520">
        <w:rPr>
          <w:color w:val="414142"/>
        </w:rPr>
        <w:t>kas ir saistīti ar krievu filoloģijas, krievu valodas kā diasporas valodas un kā svešvalodas, krievu kultūras diasporā popularizēšanu</w:t>
      </w:r>
      <w:r>
        <w:rPr>
          <w:color w:val="414142"/>
        </w:rPr>
        <w:t xml:space="preserve"> realizēšanā;</w:t>
      </w:r>
    </w:p>
    <w:p w:rsidR="001A3A05" w:rsidRDefault="001A3A05" w:rsidP="001A3A05">
      <w:pPr>
        <w:pStyle w:val="tv213"/>
        <w:spacing w:before="0" w:beforeAutospacing="0" w:after="0" w:afterAutospacing="0" w:line="276" w:lineRule="auto"/>
        <w:jc w:val="both"/>
      </w:pPr>
      <w:r w:rsidRPr="00244434">
        <w:rPr>
          <w:color w:val="414142"/>
        </w:rPr>
        <w:t xml:space="preserve">   </w:t>
      </w:r>
      <w:r>
        <w:rPr>
          <w:color w:val="414142"/>
        </w:rPr>
        <w:t xml:space="preserve">         </w:t>
      </w:r>
      <w:r w:rsidRPr="00244434">
        <w:rPr>
          <w:color w:val="414142"/>
        </w:rPr>
        <w:t xml:space="preserve"> </w:t>
      </w:r>
      <w:r>
        <w:rPr>
          <w:color w:val="414142"/>
        </w:rPr>
        <w:t>3.3.4</w:t>
      </w:r>
      <w:r w:rsidRPr="00244434">
        <w:rPr>
          <w:color w:val="414142"/>
        </w:rPr>
        <w:t xml:space="preserve">.  </w:t>
      </w:r>
      <w:r w:rsidRPr="00F01ABE">
        <w:rPr>
          <w:bCs/>
          <w:iCs/>
        </w:rPr>
        <w:t xml:space="preserve">Humanitārās fakultātes </w:t>
      </w:r>
      <w:r>
        <w:rPr>
          <w:bCs/>
          <w:iCs/>
        </w:rPr>
        <w:t xml:space="preserve">Rusistikas un slāvistikas </w:t>
      </w:r>
      <w:r w:rsidRPr="00F01ABE">
        <w:rPr>
          <w:bCs/>
          <w:iCs/>
        </w:rPr>
        <w:t xml:space="preserve">katedras </w:t>
      </w:r>
      <w:r>
        <w:rPr>
          <w:bCs/>
          <w:iCs/>
        </w:rPr>
        <w:t>docenta</w:t>
      </w:r>
    </w:p>
    <w:p w:rsidR="001A3A05" w:rsidRDefault="001A3A05" w:rsidP="001A3A05">
      <w:pPr>
        <w:pStyle w:val="tv213"/>
        <w:spacing w:before="0" w:beforeAutospacing="0" w:after="0" w:afterAutospacing="0" w:line="276" w:lineRule="auto"/>
        <w:jc w:val="both"/>
        <w:rPr>
          <w:b/>
        </w:rPr>
      </w:pPr>
      <w:r w:rsidRPr="00F01ABE">
        <w:rPr>
          <w:b/>
        </w:rPr>
        <w:t xml:space="preserve">docējamie studiju kursi </w:t>
      </w:r>
    </w:p>
    <w:p w:rsidR="001A3A05" w:rsidRDefault="001A3A05" w:rsidP="001A3A05">
      <w:pPr>
        <w:pStyle w:val="tv213"/>
        <w:spacing w:before="0" w:beforeAutospacing="0" w:after="0" w:afterAutospacing="0" w:line="27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4078"/>
        <w:gridCol w:w="851"/>
        <w:gridCol w:w="1134"/>
        <w:gridCol w:w="880"/>
      </w:tblGrid>
      <w:tr w:rsidR="001A3A05" w:rsidRPr="008C551D" w:rsidTr="003A0A6C">
        <w:tc>
          <w:tcPr>
            <w:tcW w:w="2267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eastAsia="Times New Roman" w:hAnsi="Times New Roman"/>
                <w:sz w:val="24"/>
                <w:szCs w:val="24"/>
              </w:rPr>
              <w:t>Studiju</w:t>
            </w:r>
          </w:p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eastAsia="Times New Roman" w:hAnsi="Times New Roman"/>
                <w:sz w:val="24"/>
                <w:szCs w:val="24"/>
              </w:rPr>
              <w:t>programma</w:t>
            </w:r>
          </w:p>
        </w:tc>
        <w:tc>
          <w:tcPr>
            <w:tcW w:w="4078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eastAsia="Times New Roman" w:hAnsi="Times New Roman"/>
                <w:sz w:val="24"/>
                <w:szCs w:val="24"/>
              </w:rPr>
              <w:t>Studiju kursa nosaukums</w:t>
            </w:r>
          </w:p>
        </w:tc>
        <w:tc>
          <w:tcPr>
            <w:tcW w:w="851" w:type="dxa"/>
          </w:tcPr>
          <w:p w:rsidR="001A3A05" w:rsidRPr="008C551D" w:rsidRDefault="001A3A05" w:rsidP="003A0A6C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eastAsia="Times New Roman" w:hAnsi="Times New Roman"/>
                <w:sz w:val="24"/>
                <w:szCs w:val="24"/>
              </w:rPr>
              <w:t>KP</w:t>
            </w:r>
          </w:p>
        </w:tc>
        <w:tc>
          <w:tcPr>
            <w:tcW w:w="1134" w:type="dxa"/>
          </w:tcPr>
          <w:p w:rsidR="001A3A05" w:rsidRPr="008C551D" w:rsidRDefault="001A3A05" w:rsidP="003A0A6C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eastAsia="Times New Roman" w:hAnsi="Times New Roman"/>
                <w:sz w:val="24"/>
                <w:szCs w:val="24"/>
              </w:rPr>
              <w:t>Kontakt-stundas</w:t>
            </w:r>
          </w:p>
        </w:tc>
        <w:tc>
          <w:tcPr>
            <w:tcW w:w="880" w:type="dxa"/>
          </w:tcPr>
          <w:p w:rsidR="001A3A05" w:rsidRPr="008C551D" w:rsidRDefault="001A3A05" w:rsidP="003A0A6C">
            <w:pPr>
              <w:spacing w:after="0"/>
              <w:ind w:left="3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eastAsia="Times New Roman" w:hAnsi="Times New Roman"/>
                <w:sz w:val="24"/>
                <w:szCs w:val="24"/>
              </w:rPr>
              <w:t xml:space="preserve">Sadaļa </w:t>
            </w:r>
          </w:p>
          <w:p w:rsidR="001A3A05" w:rsidRPr="008C551D" w:rsidRDefault="001A3A05" w:rsidP="003A0A6C">
            <w:pPr>
              <w:spacing w:after="0"/>
              <w:ind w:left="3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eastAsia="Times New Roman" w:hAnsi="Times New Roman"/>
                <w:sz w:val="24"/>
                <w:szCs w:val="24"/>
              </w:rPr>
              <w:t>(A, B, C)</w:t>
            </w:r>
          </w:p>
        </w:tc>
      </w:tr>
      <w:tr w:rsidR="001A3A05" w:rsidRPr="008C551D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A05" w:rsidRPr="008C551D" w:rsidRDefault="001A3A05" w:rsidP="003A0A6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PMSP “Starpkultūru attiecības”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A05" w:rsidRPr="008C551D" w:rsidRDefault="001A3A05" w:rsidP="003A0A6C">
            <w:pPr>
              <w:pStyle w:val="Heading1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Soci6001 Etnopolitika</w:t>
            </w:r>
          </w:p>
        </w:tc>
        <w:tc>
          <w:tcPr>
            <w:tcW w:w="851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A3A05" w:rsidRPr="008C551D" w:rsidTr="003A0A6C">
        <w:trPr>
          <w:trHeight w:val="1245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3A05" w:rsidRPr="008C551D" w:rsidRDefault="001A3A05" w:rsidP="003A0A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PMSP “Starpkultūru attiecības”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3A05" w:rsidRPr="008C551D" w:rsidRDefault="001A3A05" w:rsidP="003A0A6C">
            <w:pPr>
              <w:pStyle w:val="Heading1"/>
              <w:jc w:val="left"/>
              <w:rPr>
                <w:b w:val="0"/>
                <w:color w:val="000000" w:themeColor="text1"/>
                <w:lang w:val="en-US"/>
              </w:rPr>
            </w:pPr>
            <w:r>
              <w:rPr>
                <w:b w:val="0"/>
                <w:color w:val="000000" w:themeColor="text1"/>
                <w:lang w:val="en-US"/>
              </w:rPr>
              <w:t>KomZ6002 Komunikācijas teorija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A05" w:rsidRPr="008C551D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A05" w:rsidRPr="008C551D" w:rsidRDefault="001A3A05" w:rsidP="003A0A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hAnsi="Times New Roman"/>
                <w:sz w:val="24"/>
                <w:szCs w:val="24"/>
                <w:lang w:val="en-US"/>
              </w:rPr>
              <w:t>ABSP Austrumeiropas kultūras un biznesa sakari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A05" w:rsidRPr="002B0F24" w:rsidRDefault="001A3A05" w:rsidP="003A0A6C">
            <w:pPr>
              <w:rPr>
                <w:rFonts w:ascii="Times New Roman" w:eastAsia="Times New Roman" w:hAnsi="Times New Roman"/>
                <w:color w:val="3366FF"/>
                <w:sz w:val="24"/>
                <w:szCs w:val="24"/>
                <w:lang w:val="en-US"/>
              </w:rPr>
            </w:pPr>
            <w:r w:rsidRPr="002B0F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Vēst1139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Postpadomju kultūras studijas</w:t>
            </w:r>
          </w:p>
        </w:tc>
        <w:tc>
          <w:tcPr>
            <w:tcW w:w="851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1A3A05" w:rsidRPr="008C551D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A05" w:rsidRPr="008C551D" w:rsidRDefault="001A3A05" w:rsidP="003A0A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A05" w:rsidRPr="008C551D" w:rsidRDefault="001A3A05" w:rsidP="003A0A6C">
            <w:pPr>
              <w:rPr>
                <w:rFonts w:ascii="Times New Roman" w:eastAsia="Times New Roman" w:hAnsi="Times New Roman"/>
                <w:color w:val="3366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51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A05" w:rsidRPr="008C551D" w:rsidTr="003A0A6C">
        <w:trPr>
          <w:trHeight w:val="1372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3A05" w:rsidRPr="008C551D" w:rsidRDefault="001A3A05" w:rsidP="003A0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hAnsi="Times New Roman"/>
                <w:sz w:val="24"/>
                <w:szCs w:val="24"/>
                <w:lang w:val="en-US"/>
              </w:rPr>
              <w:t>ABSP Austrumeiropas kultūras un biznesa sakari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3A05" w:rsidRPr="008C551D" w:rsidRDefault="001A3A05" w:rsidP="003A0A6C">
            <w:pPr>
              <w:rPr>
                <w:rStyle w:val="Hyperlink"/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LitZ1060 </w:t>
            </w:r>
            <w:r>
              <w:rPr>
                <w:rStyle w:val="Hyperlink"/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Ievads krievu literatūrā un kultūrā</w:t>
            </w:r>
          </w:p>
          <w:p w:rsidR="001A3A05" w:rsidRPr="002B0F24" w:rsidRDefault="001A3A05" w:rsidP="003A0A6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1A3A05" w:rsidRPr="008C551D" w:rsidRDefault="001A3A05" w:rsidP="003A0A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1A3A05" w:rsidRPr="008C551D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A05" w:rsidRPr="008C551D" w:rsidRDefault="001A3A05" w:rsidP="003A0A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C551D">
              <w:rPr>
                <w:rFonts w:ascii="Times New Roman" w:hAnsi="Times New Roman"/>
                <w:sz w:val="24"/>
                <w:szCs w:val="24"/>
                <w:lang w:val="en-US"/>
              </w:rPr>
              <w:t>ABSP Austrumeiropas kultūras un biznesa sakari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A05" w:rsidRDefault="001A3A05" w:rsidP="003A0A6C">
            <w:pPr>
              <w:rPr>
                <w:rStyle w:val="Hyperlink"/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C55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4" w:tgtFrame="_blank" w:history="1">
              <w:r w:rsidRPr="008C551D">
                <w:rPr>
                  <w:rStyle w:val="Hyperlink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Vēst4008 Mākslas vēsture (Latvija, Lietuva, Polija, Krievija, Baltkrievija): literatūra</w:t>
              </w:r>
            </w:hyperlink>
          </w:p>
          <w:p w:rsidR="001A3A05" w:rsidRPr="008C551D" w:rsidRDefault="001A3A05" w:rsidP="003A0A6C">
            <w:pPr>
              <w:rPr>
                <w:rFonts w:ascii="Times New Roman" w:eastAsia="Times New Roman" w:hAnsi="Times New Roman"/>
                <w:color w:val="3366FF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851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A3A05" w:rsidRPr="008C551D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A05" w:rsidRPr="008C551D" w:rsidRDefault="001A3A05" w:rsidP="003A0A6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51D">
              <w:rPr>
                <w:rFonts w:ascii="Times New Roman" w:hAnsi="Times New Roman"/>
                <w:sz w:val="24"/>
                <w:szCs w:val="24"/>
                <w:lang w:val="en-US"/>
              </w:rPr>
              <w:t>ABSP Austrumeiropas kultūras un biznesa sakari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A05" w:rsidRPr="008C551D" w:rsidRDefault="001A3A05" w:rsidP="003A0A6C">
            <w:pPr>
              <w:pStyle w:val="Heading1"/>
              <w:jc w:val="left"/>
              <w:rPr>
                <w:b w:val="0"/>
                <w:lang w:val="en-US"/>
              </w:rPr>
            </w:pPr>
            <w:r w:rsidRPr="008C551D">
              <w:rPr>
                <w:rStyle w:val="FontStyle15"/>
                <w:color w:val="000000" w:themeColor="text1"/>
                <w:lang w:eastAsia="lv-LV"/>
              </w:rPr>
              <w:t xml:space="preserve">MākZ3394 Mākslas zinātnes pamati: literatūra </w:t>
            </w:r>
          </w:p>
        </w:tc>
        <w:tc>
          <w:tcPr>
            <w:tcW w:w="851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1A3A05" w:rsidRPr="008C551D" w:rsidRDefault="001A3A05" w:rsidP="003A0A6C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51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</w:tbl>
    <w:p w:rsidR="001A3A05" w:rsidRPr="008C551D" w:rsidRDefault="001A3A05" w:rsidP="001A3A05">
      <w:pPr>
        <w:pStyle w:val="tv213"/>
        <w:spacing w:before="0" w:beforeAutospacing="0" w:after="0" w:afterAutospacing="0" w:line="276" w:lineRule="auto"/>
        <w:jc w:val="both"/>
      </w:pPr>
    </w:p>
    <w:p w:rsidR="001A3A05" w:rsidRPr="008C551D" w:rsidRDefault="001A3A05" w:rsidP="001A3A05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1A3A05" w:rsidRPr="00244434" w:rsidRDefault="001A3A05" w:rsidP="001A3A05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  <w:r w:rsidRPr="00244434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1A3A05" w:rsidRDefault="001A3A05" w:rsidP="001A3A05">
      <w:pPr>
        <w:pStyle w:val="tv213"/>
        <w:spacing w:before="0" w:beforeAutospacing="0" w:after="0" w:afterAutospacing="0" w:line="276" w:lineRule="auto"/>
        <w:jc w:val="both"/>
        <w:rPr>
          <w:color w:val="222222"/>
        </w:rPr>
      </w:pPr>
      <w:r w:rsidRPr="00244434">
        <w:rPr>
          <w:color w:val="222222"/>
        </w:rPr>
        <w:t xml:space="preserve">1. Par </w:t>
      </w:r>
      <w:r>
        <w:rPr>
          <w:color w:val="222222"/>
        </w:rPr>
        <w:t xml:space="preserve">docentu </w:t>
      </w:r>
      <w:r w:rsidRPr="00244434">
        <w:rPr>
          <w:color w:val="222222"/>
        </w:rPr>
        <w:t xml:space="preserve">var ievēlēt personu ar doktora grādu </w:t>
      </w:r>
      <w:r>
        <w:rPr>
          <w:color w:val="222222"/>
        </w:rPr>
        <w:t>valodniecības un literatūrzinātnes nozarē (PhD).</w:t>
      </w:r>
    </w:p>
    <w:p w:rsidR="001A3A05" w:rsidRPr="00244434" w:rsidRDefault="001A3A05" w:rsidP="001A3A05">
      <w:pPr>
        <w:pStyle w:val="tv213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2. Angļu valodas prasmes C1 līmenī, krievu valodas p</w:t>
      </w:r>
      <w:bookmarkStart w:id="0" w:name="_GoBack"/>
      <w:bookmarkEnd w:id="0"/>
      <w:r>
        <w:rPr>
          <w:color w:val="222222"/>
        </w:rPr>
        <w:t>rasmes C2 līmenī.</w:t>
      </w:r>
    </w:p>
    <w:sectPr w:rsidR="001A3A05" w:rsidRPr="00244434" w:rsidSect="001A3A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5"/>
    <w:rsid w:val="001A3A05"/>
    <w:rsid w:val="003004F5"/>
    <w:rsid w:val="008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C2E35"/>
  <w15:chartTrackingRefBased/>
  <w15:docId w15:val="{710F54B4-2748-4D1D-9107-3BF352EA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4F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00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4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300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1A3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A3A05"/>
    <w:rPr>
      <w:color w:val="0000FF"/>
      <w:u w:val="single"/>
    </w:rPr>
  </w:style>
  <w:style w:type="character" w:customStyle="1" w:styleId="FontStyle15">
    <w:name w:val="Font Style15"/>
    <w:basedOn w:val="DefaultParagraphFont"/>
    <w:uiPriority w:val="99"/>
    <w:rsid w:val="001A3A05"/>
    <w:rPr>
      <w:rFonts w:ascii="Times New Roman" w:hAnsi="Times New Roman" w:cs="Times New Roman"/>
      <w:b/>
      <w:bCs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3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3A0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is.lu.lv/du/kursa_apraksts_pub/DVES4008/1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2194</Words>
  <Characters>1252</Characters>
  <Application>Microsoft Office Word</Application>
  <DocSecurity>0</DocSecurity>
  <Lines>10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2022-03-08T13:30:00Z</dcterms:created>
  <dcterms:modified xsi:type="dcterms:W3CDTF">2022-03-08T13:36:00Z</dcterms:modified>
</cp:coreProperties>
</file>