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330" w:rsidRPr="000C3E01" w:rsidRDefault="00B2415F" w:rsidP="004C5330">
      <w:pPr>
        <w:pStyle w:val="Heading1"/>
        <w:rPr>
          <w:iCs/>
        </w:rPr>
      </w:pPr>
      <w:r>
        <w:rPr>
          <w:iCs/>
        </w:rPr>
        <w:t>Humanitārās</w:t>
      </w:r>
      <w:r w:rsidR="004C5330">
        <w:rPr>
          <w:iCs/>
        </w:rPr>
        <w:t xml:space="preserve"> fakultātes</w:t>
      </w:r>
    </w:p>
    <w:p w:rsidR="004C5330" w:rsidRPr="000C3E01" w:rsidRDefault="00B2415F" w:rsidP="004C5330">
      <w:pPr>
        <w:pStyle w:val="Heading1"/>
        <w:rPr>
          <w:iCs/>
        </w:rPr>
      </w:pPr>
      <w:r>
        <w:rPr>
          <w:iCs/>
        </w:rPr>
        <w:t>Angļu filoloģijas un translatoloģijas</w:t>
      </w:r>
      <w:r w:rsidR="004C5330">
        <w:rPr>
          <w:iCs/>
        </w:rPr>
        <w:t xml:space="preserve"> katedras</w:t>
      </w:r>
    </w:p>
    <w:p w:rsidR="004C5330" w:rsidRPr="000C3E01" w:rsidRDefault="004C5330" w:rsidP="004C5330">
      <w:pPr>
        <w:spacing w:after="0"/>
        <w:jc w:val="center"/>
        <w:rPr>
          <w:rFonts w:ascii="Times New Roman" w:hAnsi="Times New Roman"/>
          <w:b/>
          <w:sz w:val="24"/>
          <w:szCs w:val="24"/>
        </w:rPr>
      </w:pPr>
      <w:r>
        <w:rPr>
          <w:rFonts w:ascii="Times New Roman" w:hAnsi="Times New Roman"/>
          <w:b/>
          <w:sz w:val="24"/>
          <w:szCs w:val="24"/>
        </w:rPr>
        <w:t>LEKTORS</w:t>
      </w:r>
    </w:p>
    <w:p w:rsidR="004C5330" w:rsidRDefault="004C5330" w:rsidP="004C5330">
      <w:pPr>
        <w:spacing w:after="0"/>
      </w:pPr>
    </w:p>
    <w:p w:rsidR="008A33D6" w:rsidRDefault="008A33D6" w:rsidP="008A33D6">
      <w:pPr>
        <w:spacing w:after="0"/>
        <w:jc w:val="center"/>
      </w:pPr>
      <w:r w:rsidRPr="00C71A13">
        <w:rPr>
          <w:rFonts w:ascii="Times New Roman" w:hAnsi="Times New Roman"/>
          <w:b/>
          <w:sz w:val="24"/>
          <w:szCs w:val="24"/>
        </w:rPr>
        <w:t>Galvenie uzdevumi un pienākumi</w:t>
      </w:r>
    </w:p>
    <w:p w:rsidR="008A33D6" w:rsidRPr="00C71A13" w:rsidRDefault="008A33D6" w:rsidP="008A33D6">
      <w:pPr>
        <w:spacing w:after="0" w:line="240" w:lineRule="auto"/>
        <w:ind w:left="360"/>
        <w:jc w:val="both"/>
        <w:rPr>
          <w:rFonts w:ascii="Times New Roman" w:hAnsi="Times New Roman"/>
          <w:b/>
          <w:sz w:val="24"/>
          <w:szCs w:val="24"/>
        </w:rPr>
      </w:pPr>
      <w:r>
        <w:rPr>
          <w:rFonts w:ascii="Times New Roman" w:hAnsi="Times New Roman"/>
          <w:color w:val="222222"/>
          <w:sz w:val="24"/>
          <w:szCs w:val="24"/>
        </w:rPr>
        <w:t xml:space="preserve">1. </w:t>
      </w:r>
      <w:r w:rsidRPr="00C71A13">
        <w:rPr>
          <w:rFonts w:ascii="Times New Roman" w:hAnsi="Times New Roman"/>
          <w:color w:val="222222"/>
          <w:sz w:val="24"/>
          <w:szCs w:val="24"/>
        </w:rPr>
        <w:t>Lektora galvenais uzdevums ir sekmēt studiju un pētniecības darba brīvību, veicināt atklātumu Daugavpils Universitātes (turpmāk DU) pārvaldē un tās lietu kārtošanā. Lektoram amata pienākumi jāpilda tā, lai DU spētu īstenot savus stratēģiskos attīstības uzdevumus un sasniegt izvirzītos mērķus.</w:t>
      </w:r>
    </w:p>
    <w:p w:rsidR="008A33D6" w:rsidRPr="008A33D6" w:rsidRDefault="008A33D6" w:rsidP="008A33D6">
      <w:pPr>
        <w:pStyle w:val="ListParagraph"/>
        <w:numPr>
          <w:ilvl w:val="0"/>
          <w:numId w:val="2"/>
        </w:numPr>
        <w:spacing w:after="0" w:line="240" w:lineRule="auto"/>
        <w:jc w:val="both"/>
        <w:rPr>
          <w:rFonts w:ascii="Times New Roman" w:hAnsi="Times New Roman"/>
          <w:b/>
          <w:sz w:val="24"/>
          <w:szCs w:val="24"/>
        </w:rPr>
      </w:pPr>
      <w:r w:rsidRPr="008A33D6">
        <w:rPr>
          <w:rFonts w:ascii="Times New Roman" w:hAnsi="Times New Roman"/>
          <w:color w:val="222222"/>
          <w:sz w:val="24"/>
          <w:szCs w:val="24"/>
        </w:rPr>
        <w:t>Lektora galvenie pienākumi ir:</w:t>
      </w:r>
    </w:p>
    <w:p w:rsidR="008A33D6" w:rsidRPr="008A33D6" w:rsidRDefault="008A33D6" w:rsidP="008A33D6">
      <w:pPr>
        <w:pStyle w:val="ListParagraph"/>
        <w:numPr>
          <w:ilvl w:val="1"/>
          <w:numId w:val="2"/>
        </w:numPr>
        <w:spacing w:after="0" w:line="240" w:lineRule="auto"/>
        <w:jc w:val="both"/>
        <w:rPr>
          <w:rFonts w:ascii="Times New Roman" w:hAnsi="Times New Roman"/>
          <w:b/>
          <w:sz w:val="24"/>
          <w:szCs w:val="24"/>
        </w:rPr>
      </w:pPr>
      <w:r>
        <w:rPr>
          <w:rFonts w:ascii="Times New Roman" w:hAnsi="Times New Roman"/>
          <w:b/>
          <w:color w:val="222222"/>
          <w:sz w:val="24"/>
          <w:szCs w:val="24"/>
        </w:rPr>
        <w:t xml:space="preserve"> </w:t>
      </w:r>
      <w:r w:rsidRPr="008A33D6">
        <w:rPr>
          <w:rFonts w:ascii="Times New Roman" w:hAnsi="Times New Roman"/>
          <w:b/>
          <w:color w:val="222222"/>
          <w:sz w:val="24"/>
          <w:szCs w:val="24"/>
        </w:rPr>
        <w:t>zinātnes jomā</w:t>
      </w:r>
      <w:r w:rsidRPr="008A33D6">
        <w:rPr>
          <w:rFonts w:ascii="Times New Roman" w:hAnsi="Times New Roman"/>
          <w:color w:val="222222"/>
          <w:sz w:val="24"/>
          <w:szCs w:val="24"/>
        </w:rPr>
        <w:t xml:space="preserve">: </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hAnsi="Times New Roman"/>
          <w:color w:val="222222"/>
          <w:sz w:val="24"/>
          <w:szCs w:val="24"/>
        </w:rPr>
        <w:t xml:space="preserve">veikt pētniecības darbu valodniecības nozarē: salīdzināmās un sastatāmās valodniecības vai lietišķās valodniecības apakšnozarē </w:t>
      </w:r>
      <w:r w:rsidRPr="008A33D6">
        <w:rPr>
          <w:rFonts w:ascii="Times New Roman" w:hAnsi="Times New Roman"/>
          <w:sz w:val="24"/>
          <w:szCs w:val="24"/>
        </w:rPr>
        <w:t>un svešvalodu mācīšanas metodikā</w:t>
      </w:r>
      <w:r w:rsidRPr="008A33D6">
        <w:rPr>
          <w:rFonts w:ascii="Times New Roman" w:hAnsi="Times New Roman"/>
          <w:color w:val="222222"/>
          <w:sz w:val="24"/>
          <w:szCs w:val="24"/>
        </w:rPr>
        <w:t xml:space="preserve">; </w:t>
      </w:r>
      <w:r w:rsidRPr="008A33D6">
        <w:rPr>
          <w:rFonts w:ascii="Times New Roman" w:hAnsi="Times New Roman"/>
          <w:bCs/>
          <w:sz w:val="24"/>
          <w:szCs w:val="24"/>
        </w:rPr>
        <w:t>starpdisciplinārie pētījumi valodniecībā; kognitīvās lingvistikas jautājumu izpēte; mūsdienu valodu un kultūr</w:t>
      </w:r>
      <w:r>
        <w:rPr>
          <w:rFonts w:ascii="Times New Roman" w:hAnsi="Times New Roman"/>
          <w:bCs/>
          <w:sz w:val="24"/>
          <w:szCs w:val="24"/>
        </w:rPr>
        <w:t>u mijiedarbības izpēte;</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hAnsi="Times New Roman"/>
          <w:sz w:val="24"/>
          <w:szCs w:val="24"/>
        </w:rPr>
        <w:t>kalendārā gada laikā publicēt/apstiprināt publicēšanai vismaz 1 rakstu zinātniskajā izdevumā, kas indeksēts Web of Science un/vai SCOPUS datu bāzēs ar ietekmes faktoru zem vidējā nozarē</w:t>
      </w:r>
      <w:r w:rsidRPr="008A33D6">
        <w:rPr>
          <w:rFonts w:ascii="Times New Roman" w:eastAsia="Times New Roman" w:hAnsi="Times New Roman"/>
          <w:sz w:val="24"/>
          <w:szCs w:val="24"/>
          <w:lang w:eastAsia="lv-LV"/>
        </w:rPr>
        <w:t xml:space="preserve"> saskaņā ar “Daugavpils Universitātes akadēmiskā personāla zinātniskā darba efektivitātes vērtēšanas kārtības”</w:t>
      </w:r>
      <w:r>
        <w:rPr>
          <w:rFonts w:ascii="Times New Roman" w:hAnsi="Times New Roman"/>
          <w:sz w:val="24"/>
          <w:szCs w:val="24"/>
        </w:rPr>
        <w:t xml:space="preserve"> 3.4. punktu;</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eastAsia="Times New Roman" w:hAnsi="Times New Roman"/>
          <w:sz w:val="24"/>
          <w:szCs w:val="24"/>
        </w:rPr>
        <w:t>piedalīties Horizon 2020, ES struktūrfondu u.c. zinātnisko projektu un līgumdarbu ar komersantiem sagatavošanā un iesniegšanā;</w:t>
      </w:r>
      <w:r w:rsidRPr="008A33D6">
        <w:rPr>
          <w:rFonts w:ascii="Times New Roman" w:hAnsi="Times New Roman"/>
          <w:sz w:val="24"/>
          <w:szCs w:val="24"/>
        </w:rPr>
        <w:t xml:space="preserve"> </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eastAsia="Times New Roman" w:hAnsi="Times New Roman"/>
          <w:sz w:val="24"/>
          <w:szCs w:val="24"/>
        </w:rPr>
        <w:t>kalendāra gada laikā piedalīties ar referātu (mutiska prezentācija vai stenda referāts) vismaz vienā starptautiskajā zinātniskajā  konferencē/kongresā, publicējot tēzes;</w:t>
      </w:r>
      <w:r w:rsidRPr="008A33D6">
        <w:rPr>
          <w:rFonts w:ascii="Times New Roman" w:hAnsi="Times New Roman"/>
          <w:sz w:val="24"/>
          <w:szCs w:val="24"/>
        </w:rPr>
        <w:t xml:space="preserve"> </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eastAsia="Times New Roman" w:hAnsi="Times New Roman"/>
          <w:sz w:val="24"/>
          <w:szCs w:val="24"/>
        </w:rPr>
        <w:t>sekot attiecīgās zinātnes nozares/apakšnozares  attīstībai, novitātēm un mūsdienu tendencēm, integrēt tās studiju procesā, nodrošinot zinātnes un studiju mijiedarbību;</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eastAsia="Times New Roman" w:hAnsi="Times New Roman"/>
          <w:sz w:val="24"/>
          <w:szCs w:val="24"/>
        </w:rPr>
        <w:t>veicināt starptautisko sadarbību zinātnē, nodrošinot DU starptautisku atpazīstamību (ārvalstu zinātnieku iesaiste DU darbībā, vieslekcijas, meistarklases u.t.t. ārvalstīs, iesaistīšanās starptautiskos projektos, ekspertīzē, zinātniskajās organizācijās, u.c.);</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eastAsia="Times New Roman" w:hAnsi="Times New Roman"/>
          <w:sz w:val="24"/>
          <w:szCs w:val="24"/>
        </w:rPr>
        <w:t>kalendārā gada laikā piedalīties/organizēt vismaz vienu zinātnes popularizēšanas pasākumu, pārstāvot DU;</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sidRPr="008A33D6">
        <w:rPr>
          <w:rFonts w:ascii="Times New Roman" w:hAnsi="Times New Roman"/>
          <w:sz w:val="24"/>
          <w:szCs w:val="24"/>
        </w:rPr>
        <w:t>piedalīties DU Eiropas Sociālā fonda projektā Nr. 8.2.1.0/18/I/005 “Daugavpils Universitātes studiju virziena “Izglītība, pedagoģija un sports” modernizācija Latvijas izglītības sistēmas ilgtspējīgai attīstībai”;</w:t>
      </w:r>
    </w:p>
    <w:p w:rsidR="008A33D6" w:rsidRPr="008A33D6" w:rsidRDefault="008A33D6" w:rsidP="008A33D6">
      <w:pPr>
        <w:pStyle w:val="ListParagraph"/>
        <w:numPr>
          <w:ilvl w:val="2"/>
          <w:numId w:val="2"/>
        </w:numPr>
        <w:spacing w:after="0" w:line="240" w:lineRule="auto"/>
        <w:jc w:val="both"/>
        <w:rPr>
          <w:rFonts w:ascii="Times New Roman" w:hAnsi="Times New Roman"/>
          <w:sz w:val="24"/>
          <w:szCs w:val="24"/>
        </w:rPr>
      </w:pPr>
      <w:r>
        <w:rPr>
          <w:rFonts w:ascii="Times New Roman" w:hAnsi="Times New Roman"/>
          <w:sz w:val="24"/>
          <w:szCs w:val="24"/>
        </w:rPr>
        <w:t>p</w:t>
      </w:r>
      <w:r w:rsidRPr="008A33D6">
        <w:rPr>
          <w:rFonts w:ascii="Times New Roman" w:hAnsi="Times New Roman"/>
          <w:sz w:val="24"/>
          <w:szCs w:val="24"/>
        </w:rPr>
        <w:t>iedalīties ES programmā “Erasmus +”.</w:t>
      </w:r>
    </w:p>
    <w:p w:rsidR="008A33D6" w:rsidRDefault="008A33D6" w:rsidP="008A33D6">
      <w:pPr>
        <w:spacing w:after="0" w:line="240" w:lineRule="auto"/>
        <w:ind w:left="360"/>
        <w:jc w:val="both"/>
        <w:rPr>
          <w:rFonts w:ascii="Times New Roman" w:hAnsi="Times New Roman"/>
          <w:b/>
          <w:color w:val="222222"/>
          <w:sz w:val="24"/>
          <w:szCs w:val="24"/>
        </w:rPr>
      </w:pPr>
    </w:p>
    <w:p w:rsidR="008A33D6" w:rsidRPr="008A33D6" w:rsidRDefault="008A33D6" w:rsidP="008A33D6">
      <w:pPr>
        <w:spacing w:after="0" w:line="240" w:lineRule="auto"/>
        <w:ind w:left="360"/>
        <w:jc w:val="both"/>
        <w:rPr>
          <w:rFonts w:ascii="Times New Roman" w:hAnsi="Times New Roman"/>
          <w:b/>
          <w:sz w:val="24"/>
          <w:szCs w:val="24"/>
        </w:rPr>
      </w:pPr>
      <w:r>
        <w:rPr>
          <w:rFonts w:ascii="Times New Roman" w:hAnsi="Times New Roman"/>
          <w:b/>
          <w:color w:val="222222"/>
          <w:sz w:val="24"/>
          <w:szCs w:val="24"/>
        </w:rPr>
        <w:t>2.2.</w:t>
      </w:r>
      <w:r w:rsidRPr="008A33D6">
        <w:rPr>
          <w:rFonts w:ascii="Times New Roman" w:hAnsi="Times New Roman"/>
          <w:b/>
          <w:color w:val="222222"/>
          <w:sz w:val="24"/>
          <w:szCs w:val="24"/>
        </w:rPr>
        <w:t xml:space="preserve"> akadēmiskajā darbībā:</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color w:val="222222"/>
          <w:sz w:val="24"/>
          <w:szCs w:val="24"/>
        </w:rPr>
        <w:t xml:space="preserve">lasīt lekcijas; vadīt seminārus, praktiskās nodarbības, organizēt pārbaudījumus DU īstenotajās studiju programmās ABSP </w:t>
      </w:r>
      <w:r w:rsidRPr="009877C8">
        <w:rPr>
          <w:rFonts w:ascii="Times New Roman" w:hAnsi="Times New Roman"/>
          <w:i/>
          <w:color w:val="222222"/>
          <w:sz w:val="24"/>
          <w:szCs w:val="24"/>
        </w:rPr>
        <w:t>Filoloģija</w:t>
      </w:r>
      <w:r w:rsidRPr="009877C8">
        <w:rPr>
          <w:rFonts w:ascii="Times New Roman" w:hAnsi="Times New Roman"/>
          <w:color w:val="222222"/>
          <w:sz w:val="24"/>
          <w:szCs w:val="24"/>
        </w:rPr>
        <w:t xml:space="preserve">, AMSP </w:t>
      </w:r>
      <w:r w:rsidRPr="009877C8">
        <w:rPr>
          <w:rFonts w:ascii="Times New Roman" w:hAnsi="Times New Roman"/>
          <w:i/>
          <w:color w:val="222222"/>
          <w:sz w:val="24"/>
          <w:szCs w:val="24"/>
        </w:rPr>
        <w:t>Filoloģija</w:t>
      </w:r>
      <w:r w:rsidRPr="009877C8">
        <w:rPr>
          <w:rFonts w:ascii="Times New Roman" w:hAnsi="Times New Roman"/>
          <w:color w:val="222222"/>
          <w:sz w:val="24"/>
          <w:szCs w:val="24"/>
        </w:rPr>
        <w:t xml:space="preserve">, 2.līm. PSP </w:t>
      </w:r>
      <w:r w:rsidRPr="009877C8">
        <w:rPr>
          <w:rFonts w:ascii="Times New Roman" w:hAnsi="Times New Roman"/>
          <w:i/>
          <w:color w:val="222222"/>
          <w:sz w:val="24"/>
          <w:szCs w:val="24"/>
        </w:rPr>
        <w:t>Skolotājs</w:t>
      </w:r>
      <w:r w:rsidRPr="009877C8">
        <w:rPr>
          <w:rFonts w:ascii="Times New Roman" w:hAnsi="Times New Roman"/>
          <w:color w:val="222222"/>
          <w:sz w:val="24"/>
          <w:szCs w:val="24"/>
        </w:rPr>
        <w:t xml:space="preserve">; PMSP </w:t>
      </w:r>
      <w:r w:rsidRPr="009877C8">
        <w:rPr>
          <w:rFonts w:ascii="Times New Roman" w:hAnsi="Times New Roman"/>
          <w:i/>
          <w:color w:val="222222"/>
          <w:sz w:val="24"/>
          <w:szCs w:val="24"/>
        </w:rPr>
        <w:t xml:space="preserve">Vidējās izglītības skolotājs; </w:t>
      </w:r>
      <w:r w:rsidRPr="009877C8">
        <w:rPr>
          <w:rFonts w:ascii="Times New Roman" w:hAnsi="Times New Roman"/>
          <w:color w:val="222222"/>
          <w:sz w:val="24"/>
          <w:szCs w:val="24"/>
        </w:rPr>
        <w:t>PBSP</w:t>
      </w:r>
      <w:r w:rsidRPr="009877C8">
        <w:rPr>
          <w:rFonts w:ascii="Times New Roman" w:hAnsi="Times New Roman"/>
          <w:i/>
          <w:color w:val="222222"/>
          <w:sz w:val="24"/>
          <w:szCs w:val="24"/>
        </w:rPr>
        <w:t xml:space="preserve"> Sākumizglītības skolotājs</w:t>
      </w:r>
      <w:bookmarkStart w:id="0" w:name="_Hlk130200827"/>
      <w:r w:rsidR="009877C8">
        <w:rPr>
          <w:rFonts w:ascii="Times New Roman" w:hAnsi="Times New Roman"/>
          <w:color w:val="222222"/>
          <w:sz w:val="24"/>
          <w:szCs w:val="24"/>
        </w:rPr>
        <w:t>;</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 xml:space="preserve">vadīt studiju darbu izstrādi ABSP </w:t>
      </w:r>
      <w:r w:rsidRPr="009877C8">
        <w:rPr>
          <w:rFonts w:ascii="Times New Roman" w:hAnsi="Times New Roman"/>
          <w:i/>
          <w:sz w:val="24"/>
          <w:szCs w:val="24"/>
        </w:rPr>
        <w:t>Filoloģija;</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 xml:space="preserve">vadīt un recenzēt bakalaura darbus ABSP </w:t>
      </w:r>
      <w:r w:rsidRPr="009877C8">
        <w:rPr>
          <w:rFonts w:ascii="Times New Roman" w:hAnsi="Times New Roman"/>
          <w:i/>
          <w:sz w:val="24"/>
          <w:szCs w:val="24"/>
        </w:rPr>
        <w:t>Filoloģija;</w:t>
      </w:r>
    </w:p>
    <w:p w:rsidR="008A33D6" w:rsidRPr="009877C8" w:rsidRDefault="009877C8" w:rsidP="009877C8">
      <w:pPr>
        <w:pStyle w:val="ListParagraph"/>
        <w:numPr>
          <w:ilvl w:val="2"/>
          <w:numId w:val="3"/>
        </w:numPr>
        <w:spacing w:after="0" w:line="240" w:lineRule="auto"/>
        <w:jc w:val="both"/>
        <w:rPr>
          <w:rFonts w:ascii="Times New Roman" w:hAnsi="Times New Roman"/>
          <w:sz w:val="24"/>
          <w:szCs w:val="24"/>
        </w:rPr>
      </w:pPr>
      <w:r>
        <w:rPr>
          <w:rFonts w:ascii="Times New Roman" w:hAnsi="Times New Roman"/>
          <w:sz w:val="24"/>
          <w:szCs w:val="24"/>
        </w:rPr>
        <w:t>vadīt un recenzēt maģistra darbus</w:t>
      </w:r>
      <w:r w:rsidR="008A33D6" w:rsidRPr="009877C8">
        <w:rPr>
          <w:rFonts w:ascii="Times New Roman" w:hAnsi="Times New Roman"/>
          <w:sz w:val="24"/>
          <w:szCs w:val="24"/>
        </w:rPr>
        <w:t xml:space="preserve"> AMSP </w:t>
      </w:r>
      <w:r w:rsidR="008A33D6" w:rsidRPr="009877C8">
        <w:rPr>
          <w:rFonts w:ascii="Times New Roman" w:hAnsi="Times New Roman"/>
          <w:i/>
          <w:sz w:val="24"/>
          <w:szCs w:val="24"/>
        </w:rPr>
        <w:t>Filoloģija;</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 xml:space="preserve">vadīt diplomdarbu izstrādi 2.līm.PSP </w:t>
      </w:r>
      <w:r w:rsidRPr="009877C8">
        <w:rPr>
          <w:rFonts w:ascii="Times New Roman" w:hAnsi="Times New Roman"/>
          <w:i/>
          <w:sz w:val="24"/>
          <w:szCs w:val="24"/>
        </w:rPr>
        <w:t>Skolotājs</w:t>
      </w:r>
      <w:r w:rsidRPr="009877C8">
        <w:rPr>
          <w:rFonts w:ascii="Times New Roman" w:hAnsi="Times New Roman"/>
          <w:sz w:val="24"/>
          <w:szCs w:val="24"/>
        </w:rPr>
        <w:t>;</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 xml:space="preserve">vadīt pedagoģisko praksi 2.līm.PSP </w:t>
      </w:r>
      <w:r w:rsidRPr="009877C8">
        <w:rPr>
          <w:rFonts w:ascii="Times New Roman" w:hAnsi="Times New Roman"/>
          <w:i/>
          <w:sz w:val="24"/>
          <w:szCs w:val="24"/>
        </w:rPr>
        <w:t>Skolotājs;</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izstrādāt jaunus studiju kursus un studiju programmu moduļus, balstoties uz kompetenču pieeju izglītībā</w:t>
      </w:r>
      <w:bookmarkEnd w:id="0"/>
      <w:r w:rsidRPr="009877C8">
        <w:rPr>
          <w:rFonts w:ascii="Times New Roman" w:hAnsi="Times New Roman"/>
          <w:color w:val="222222"/>
          <w:sz w:val="24"/>
          <w:szCs w:val="24"/>
        </w:rPr>
        <w:t>;</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sagatavot mācību līdzekļus, tai skaitā mācību līdzekļus e-vidē;</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darbs iestājeksāmenu un noslēguma pārbaudījumu eksāmenu svešvalodā komisijās bakalaura un maģistra līmeņa studiju programmās;</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 xml:space="preserve">veicināt ABSP Filoloģija attīstību un piesaistīt sadarbības partnerus, attīstīt starptautiskos sakarus un organizēt studējošo darbu; </w:t>
      </w:r>
    </w:p>
    <w:p w:rsidR="008A33D6" w:rsidRPr="009877C8" w:rsidRDefault="009877C8"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lastRenderedPageBreak/>
        <w:t>i</w:t>
      </w:r>
      <w:r w:rsidR="008A33D6" w:rsidRPr="009877C8">
        <w:rPr>
          <w:rFonts w:ascii="Times New Roman" w:hAnsi="Times New Roman"/>
          <w:sz w:val="24"/>
          <w:szCs w:val="24"/>
        </w:rPr>
        <w:t>evērot akadēmiska godīguma principus, veicinot godprātīgu un atbildīgu attieksmi pret studiju procesu, zinātnisko darbību, objektivitāti, atbildību, savstarpēju cieņu un uzticēšanos un izslēdzot maldināšanu un krāpšanos;</w:t>
      </w:r>
    </w:p>
    <w:p w:rsidR="008A33D6" w:rsidRPr="009877C8" w:rsidRDefault="008A33D6" w:rsidP="009877C8">
      <w:pPr>
        <w:pStyle w:val="ListParagraph"/>
        <w:numPr>
          <w:ilvl w:val="2"/>
          <w:numId w:val="3"/>
        </w:numPr>
        <w:spacing w:after="0" w:line="240" w:lineRule="auto"/>
        <w:jc w:val="both"/>
        <w:rPr>
          <w:rFonts w:ascii="Times New Roman" w:hAnsi="Times New Roman"/>
          <w:sz w:val="24"/>
          <w:szCs w:val="24"/>
        </w:rPr>
      </w:pPr>
      <w:r w:rsidRPr="009877C8">
        <w:rPr>
          <w:rFonts w:ascii="Times New Roman" w:hAnsi="Times New Roman"/>
          <w:sz w:val="24"/>
          <w:szCs w:val="24"/>
        </w:rPr>
        <w:t>Angļu filoloģijas un translatoloģijas katedras lektora docējamie studiju kursi studiju programmās, studiju kursu sagatavošana</w:t>
      </w:r>
      <w:r w:rsidR="009877C8">
        <w:rPr>
          <w:rFonts w:ascii="Times New Roman" w:hAnsi="Times New Roman"/>
          <w:sz w:val="24"/>
          <w:szCs w:val="24"/>
        </w:rPr>
        <w:t>:</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5245"/>
        <w:gridCol w:w="992"/>
        <w:gridCol w:w="1134"/>
      </w:tblGrid>
      <w:tr w:rsidR="008A33D6" w:rsidRPr="00793ED5" w:rsidTr="001D4DE2">
        <w:tc>
          <w:tcPr>
            <w:tcW w:w="2376"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Studiju</w:t>
            </w:r>
          </w:p>
          <w:p w:rsidR="008A33D6" w:rsidRPr="00793ED5" w:rsidRDefault="008A33D6" w:rsidP="001D4DE2">
            <w:pPr>
              <w:pStyle w:val="BodyText"/>
              <w:ind w:left="34"/>
              <w:jc w:val="center"/>
              <w:rPr>
                <w:rFonts w:ascii="Times New Roman" w:hAnsi="Times New Roman"/>
              </w:rPr>
            </w:pPr>
            <w:r w:rsidRPr="00793ED5">
              <w:rPr>
                <w:rFonts w:ascii="Times New Roman" w:hAnsi="Times New Roman"/>
              </w:rPr>
              <w:t>programma</w:t>
            </w:r>
          </w:p>
        </w:tc>
        <w:tc>
          <w:tcPr>
            <w:tcW w:w="5245"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Studiju kursa nosaukums</w:t>
            </w:r>
          </w:p>
        </w:tc>
        <w:tc>
          <w:tcPr>
            <w:tcW w:w="992" w:type="dxa"/>
          </w:tcPr>
          <w:p w:rsidR="008A33D6" w:rsidRPr="00793ED5" w:rsidRDefault="008A33D6" w:rsidP="001D4DE2">
            <w:pPr>
              <w:pStyle w:val="BodyText"/>
              <w:ind w:right="-108"/>
              <w:jc w:val="center"/>
              <w:rPr>
                <w:rFonts w:ascii="Times New Roman" w:hAnsi="Times New Roman"/>
              </w:rPr>
            </w:pPr>
            <w:r w:rsidRPr="00793ED5">
              <w:rPr>
                <w:rFonts w:ascii="Times New Roman" w:hAnsi="Times New Roman"/>
              </w:rPr>
              <w:t>KP</w:t>
            </w:r>
          </w:p>
        </w:tc>
        <w:tc>
          <w:tcPr>
            <w:tcW w:w="1134" w:type="dxa"/>
          </w:tcPr>
          <w:p w:rsidR="008A33D6" w:rsidRPr="00793ED5" w:rsidRDefault="008A33D6" w:rsidP="001D4DE2">
            <w:pPr>
              <w:pStyle w:val="BodyText"/>
              <w:ind w:right="-108"/>
              <w:jc w:val="center"/>
              <w:rPr>
                <w:rFonts w:ascii="Times New Roman" w:hAnsi="Times New Roman"/>
              </w:rPr>
            </w:pPr>
            <w:r w:rsidRPr="00793ED5">
              <w:rPr>
                <w:rFonts w:ascii="Times New Roman" w:hAnsi="Times New Roman"/>
              </w:rPr>
              <w:t>Kontakt-stundas</w:t>
            </w:r>
          </w:p>
        </w:tc>
      </w:tr>
      <w:tr w:rsidR="008A33D6" w:rsidRPr="00793ED5" w:rsidTr="001D4DE2">
        <w:tc>
          <w:tcPr>
            <w:tcW w:w="2376" w:type="dxa"/>
            <w:vMerge w:val="restart"/>
          </w:tcPr>
          <w:p w:rsidR="008A33D6" w:rsidRPr="00793ED5" w:rsidRDefault="008A33D6" w:rsidP="001D4DE2">
            <w:pPr>
              <w:pStyle w:val="BodyText"/>
              <w:rPr>
                <w:rFonts w:ascii="Times New Roman" w:hAnsi="Times New Roman"/>
              </w:rPr>
            </w:pPr>
            <w:r w:rsidRPr="00793ED5">
              <w:rPr>
                <w:rFonts w:ascii="Times New Roman" w:hAnsi="Times New Roman"/>
              </w:rPr>
              <w:t xml:space="preserve">AMSP </w:t>
            </w:r>
            <w:r w:rsidRPr="00793ED5">
              <w:rPr>
                <w:rFonts w:ascii="Times New Roman" w:hAnsi="Times New Roman"/>
                <w:i/>
              </w:rPr>
              <w:t>Filoloģija</w:t>
            </w:r>
          </w:p>
          <w:p w:rsidR="008A33D6" w:rsidRPr="00793ED5" w:rsidRDefault="008A33D6" w:rsidP="001D4DE2">
            <w:pPr>
              <w:pStyle w:val="BodyText"/>
              <w:ind w:left="34"/>
              <w:rPr>
                <w:rFonts w:ascii="Times New Roman" w:hAnsi="Times New Roman"/>
              </w:rPr>
            </w:pPr>
          </w:p>
          <w:p w:rsidR="008A33D6" w:rsidRPr="00793ED5" w:rsidRDefault="008A33D6" w:rsidP="001D4DE2">
            <w:pPr>
              <w:pStyle w:val="BodyText"/>
              <w:ind w:left="34"/>
              <w:rPr>
                <w:rFonts w:ascii="Times New Roman" w:hAnsi="Times New Roman"/>
              </w:rPr>
            </w:pPr>
          </w:p>
        </w:tc>
        <w:tc>
          <w:tcPr>
            <w:tcW w:w="5245" w:type="dxa"/>
          </w:tcPr>
          <w:p w:rsidR="008A33D6" w:rsidRPr="00793ED5" w:rsidRDefault="008A33D6" w:rsidP="001D4DE2">
            <w:pPr>
              <w:pStyle w:val="BodyText"/>
              <w:ind w:left="34"/>
              <w:rPr>
                <w:rFonts w:ascii="Times New Roman" w:hAnsi="Times New Roman"/>
                <w:highlight w:val="yellow"/>
              </w:rPr>
            </w:pPr>
            <w:r w:rsidRPr="00793ED5">
              <w:rPr>
                <w:rFonts w:ascii="Times New Roman" w:hAnsi="Times New Roman"/>
                <w:bCs/>
              </w:rPr>
              <w:t>Valo6147 Maģistra darba seminārs valodniecībā V</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c>
          <w:tcPr>
            <w:tcW w:w="2376" w:type="dxa"/>
            <w:vMerge/>
          </w:tcPr>
          <w:p w:rsidR="008A33D6" w:rsidRPr="00793ED5" w:rsidRDefault="008A33D6" w:rsidP="001D4DE2">
            <w:pPr>
              <w:pStyle w:val="BodyText"/>
              <w:ind w:left="34"/>
              <w:rPr>
                <w:rFonts w:ascii="Times New Roman" w:hAnsi="Times New Roman"/>
              </w:rPr>
            </w:pPr>
          </w:p>
        </w:tc>
        <w:tc>
          <w:tcPr>
            <w:tcW w:w="5245" w:type="dxa"/>
          </w:tcPr>
          <w:p w:rsidR="008A33D6" w:rsidRPr="00793ED5" w:rsidRDefault="008A33D6" w:rsidP="001D4DE2">
            <w:pPr>
              <w:pStyle w:val="BodyText"/>
              <w:ind w:left="34"/>
              <w:rPr>
                <w:rFonts w:ascii="Times New Roman" w:hAnsi="Times New Roman"/>
                <w:highlight w:val="yellow"/>
              </w:rPr>
            </w:pPr>
            <w:r w:rsidRPr="00793ED5">
              <w:rPr>
                <w:rFonts w:ascii="Times New Roman" w:hAnsi="Times New Roman"/>
              </w:rPr>
              <w:t>Filo6098 Izziņa un komunikācija</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c>
          <w:tcPr>
            <w:tcW w:w="2376" w:type="dxa"/>
            <w:vMerge/>
          </w:tcPr>
          <w:p w:rsidR="008A33D6" w:rsidRPr="00793ED5" w:rsidRDefault="008A33D6" w:rsidP="001D4DE2">
            <w:pPr>
              <w:pStyle w:val="BodyText"/>
              <w:ind w:left="34"/>
              <w:rPr>
                <w:rFonts w:ascii="Times New Roman" w:hAnsi="Times New Roman"/>
              </w:rPr>
            </w:pPr>
          </w:p>
        </w:tc>
        <w:tc>
          <w:tcPr>
            <w:tcW w:w="5245" w:type="dxa"/>
          </w:tcPr>
          <w:p w:rsidR="008A33D6" w:rsidRPr="00793ED5" w:rsidRDefault="008A33D6" w:rsidP="001D4DE2">
            <w:pPr>
              <w:pStyle w:val="BodyText"/>
              <w:ind w:left="34"/>
              <w:rPr>
                <w:rFonts w:ascii="Times New Roman" w:hAnsi="Times New Roman"/>
                <w:bCs/>
                <w:highlight w:val="yellow"/>
              </w:rPr>
            </w:pPr>
            <w:r w:rsidRPr="00793ED5">
              <w:rPr>
                <w:rFonts w:ascii="Times New Roman" w:hAnsi="Times New Roman"/>
                <w:bCs/>
              </w:rPr>
              <w:t>Valo5032 Maģistra darba seminārs valodniecībā IV</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c>
          <w:tcPr>
            <w:tcW w:w="2376" w:type="dxa"/>
            <w:vMerge/>
          </w:tcPr>
          <w:p w:rsidR="008A33D6" w:rsidRPr="00793ED5" w:rsidRDefault="008A33D6" w:rsidP="001D4DE2">
            <w:pPr>
              <w:pStyle w:val="BodyText"/>
              <w:ind w:left="34"/>
              <w:rPr>
                <w:rFonts w:ascii="Times New Roman" w:hAnsi="Times New Roman"/>
              </w:rPr>
            </w:pPr>
          </w:p>
        </w:tc>
        <w:tc>
          <w:tcPr>
            <w:tcW w:w="5245" w:type="dxa"/>
          </w:tcPr>
          <w:p w:rsidR="008A33D6" w:rsidRPr="00793ED5" w:rsidRDefault="008A33D6" w:rsidP="001D4DE2">
            <w:pPr>
              <w:pStyle w:val="BodyText"/>
              <w:ind w:left="34"/>
              <w:rPr>
                <w:rFonts w:ascii="Times New Roman" w:hAnsi="Times New Roman"/>
                <w:highlight w:val="yellow"/>
              </w:rPr>
            </w:pPr>
            <w:r w:rsidRPr="00793ED5">
              <w:rPr>
                <w:rFonts w:ascii="Times New Roman" w:hAnsi="Times New Roman"/>
              </w:rPr>
              <w:t>Valo6011 Derivācijas semantiskie aspekti</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c>
          <w:tcPr>
            <w:tcW w:w="2376" w:type="dxa"/>
            <w:vMerge/>
          </w:tcPr>
          <w:p w:rsidR="008A33D6" w:rsidRPr="00793ED5" w:rsidRDefault="008A33D6" w:rsidP="001D4DE2">
            <w:pPr>
              <w:pStyle w:val="BodyText"/>
              <w:ind w:left="34"/>
              <w:rPr>
                <w:rFonts w:ascii="Times New Roman" w:hAnsi="Times New Roman"/>
              </w:rPr>
            </w:pPr>
          </w:p>
        </w:tc>
        <w:tc>
          <w:tcPr>
            <w:tcW w:w="5245" w:type="dxa"/>
          </w:tcPr>
          <w:p w:rsidR="008A33D6" w:rsidRPr="00793ED5" w:rsidRDefault="008A33D6" w:rsidP="001D4DE2">
            <w:pPr>
              <w:pStyle w:val="BodyText"/>
              <w:ind w:left="34"/>
              <w:rPr>
                <w:rFonts w:ascii="Times New Roman" w:hAnsi="Times New Roman"/>
              </w:rPr>
            </w:pPr>
            <w:r w:rsidRPr="00793ED5">
              <w:rPr>
                <w:rFonts w:ascii="Times New Roman" w:hAnsi="Times New Roman"/>
              </w:rPr>
              <w:t>Valo6018 Semantika</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c>
          <w:tcPr>
            <w:tcW w:w="2376" w:type="dxa"/>
            <w:vMerge w:val="restart"/>
          </w:tcPr>
          <w:p w:rsidR="008A33D6" w:rsidRPr="00793ED5" w:rsidRDefault="008A33D6" w:rsidP="001D4DE2">
            <w:pPr>
              <w:pStyle w:val="BodyText"/>
              <w:ind w:left="34"/>
              <w:rPr>
                <w:rFonts w:ascii="Times New Roman" w:hAnsi="Times New Roman"/>
              </w:rPr>
            </w:pPr>
            <w:r w:rsidRPr="00793ED5">
              <w:rPr>
                <w:rFonts w:ascii="Times New Roman" w:hAnsi="Times New Roman"/>
              </w:rPr>
              <w:t xml:space="preserve">ABSP </w:t>
            </w:r>
            <w:r w:rsidRPr="00793ED5">
              <w:rPr>
                <w:rFonts w:ascii="Times New Roman" w:hAnsi="Times New Roman"/>
                <w:i/>
              </w:rPr>
              <w:t>Filoloģija (angļu filoloģija)</w:t>
            </w:r>
          </w:p>
        </w:tc>
        <w:tc>
          <w:tcPr>
            <w:tcW w:w="5245"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 xml:space="preserve">Valo2257 Mūsdienu angļu valodas lietojums: leksikoloģija un frazeoloģija I </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rPr>
          <w:trHeight w:val="669"/>
        </w:trPr>
        <w:tc>
          <w:tcPr>
            <w:tcW w:w="2376" w:type="dxa"/>
            <w:vMerge/>
          </w:tcPr>
          <w:p w:rsidR="008A33D6" w:rsidRPr="00793ED5" w:rsidRDefault="008A33D6" w:rsidP="001D4DE2">
            <w:pPr>
              <w:pStyle w:val="BodyText"/>
              <w:ind w:left="34"/>
              <w:rPr>
                <w:rFonts w:ascii="Times New Roman" w:hAnsi="Times New Roman"/>
              </w:rPr>
            </w:pPr>
          </w:p>
        </w:tc>
        <w:tc>
          <w:tcPr>
            <w:tcW w:w="5245" w:type="dxa"/>
          </w:tcPr>
          <w:p w:rsidR="008A33D6" w:rsidRPr="00793ED5" w:rsidRDefault="008A33D6" w:rsidP="001D4DE2">
            <w:pPr>
              <w:pStyle w:val="BodyText"/>
              <w:ind w:left="34"/>
              <w:rPr>
                <w:rFonts w:ascii="Times New Roman" w:hAnsi="Times New Roman"/>
              </w:rPr>
            </w:pPr>
            <w:r w:rsidRPr="00793ED5">
              <w:rPr>
                <w:rFonts w:ascii="Times New Roman" w:hAnsi="Times New Roman"/>
                <w:bCs/>
              </w:rPr>
              <w:t>Normatīvā gramatika (angļu valoda) I, II, III, IV</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8</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128</w:t>
            </w:r>
          </w:p>
        </w:tc>
      </w:tr>
      <w:tr w:rsidR="008A33D6" w:rsidRPr="00793ED5" w:rsidTr="001D4DE2">
        <w:tc>
          <w:tcPr>
            <w:tcW w:w="2376" w:type="dxa"/>
            <w:vMerge w:val="restart"/>
          </w:tcPr>
          <w:p w:rsidR="008A33D6" w:rsidRPr="00793ED5" w:rsidRDefault="008A33D6" w:rsidP="001D4DE2">
            <w:pPr>
              <w:pStyle w:val="BodyText"/>
              <w:ind w:left="34"/>
              <w:rPr>
                <w:rFonts w:ascii="Times New Roman" w:hAnsi="Times New Roman"/>
              </w:rPr>
            </w:pPr>
            <w:r w:rsidRPr="00793ED5">
              <w:rPr>
                <w:rFonts w:ascii="Times New Roman" w:hAnsi="Times New Roman"/>
                <w:bCs/>
              </w:rPr>
              <w:t xml:space="preserve">2.līm.PSP </w:t>
            </w:r>
            <w:r w:rsidRPr="00793ED5">
              <w:rPr>
                <w:rFonts w:ascii="Times New Roman" w:hAnsi="Times New Roman"/>
                <w:bCs/>
                <w:i/>
              </w:rPr>
              <w:t>Skolotājs</w:t>
            </w:r>
          </w:p>
        </w:tc>
        <w:tc>
          <w:tcPr>
            <w:tcW w:w="5245"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Izgl4020 Svešvalodas un otrās valodas mācību metodika: angļu valodas un latviešu valodas kā otrās svešvalodas mācību metodika</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48</w:t>
            </w:r>
          </w:p>
        </w:tc>
      </w:tr>
      <w:tr w:rsidR="008A33D6" w:rsidRPr="00793ED5" w:rsidTr="001D4DE2">
        <w:tc>
          <w:tcPr>
            <w:tcW w:w="2376" w:type="dxa"/>
            <w:vMerge/>
          </w:tcPr>
          <w:p w:rsidR="008A33D6" w:rsidRPr="00793ED5" w:rsidRDefault="008A33D6" w:rsidP="001D4DE2">
            <w:pPr>
              <w:pStyle w:val="BodyText"/>
              <w:ind w:left="34"/>
              <w:rPr>
                <w:rFonts w:ascii="Times New Roman" w:hAnsi="Times New Roman"/>
                <w:bCs/>
              </w:rPr>
            </w:pPr>
          </w:p>
        </w:tc>
        <w:tc>
          <w:tcPr>
            <w:tcW w:w="5245"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 xml:space="preserve">Izgl4024 Svešvalodas un otrās valodas mācību metodika: angļu valodas un franču valodas mācību metodika </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48</w:t>
            </w:r>
          </w:p>
        </w:tc>
      </w:tr>
      <w:tr w:rsidR="008A33D6" w:rsidRPr="00793ED5" w:rsidTr="001D4DE2">
        <w:tc>
          <w:tcPr>
            <w:tcW w:w="2376" w:type="dxa"/>
            <w:vMerge w:val="restart"/>
          </w:tcPr>
          <w:p w:rsidR="008A33D6" w:rsidRPr="00793ED5" w:rsidRDefault="008A33D6" w:rsidP="001D4DE2">
            <w:pPr>
              <w:pStyle w:val="BodyText"/>
              <w:ind w:left="34"/>
              <w:rPr>
                <w:rFonts w:ascii="Times New Roman" w:hAnsi="Times New Roman"/>
                <w:bCs/>
              </w:rPr>
            </w:pPr>
            <w:r w:rsidRPr="00793ED5">
              <w:rPr>
                <w:rFonts w:ascii="Times New Roman" w:hAnsi="Times New Roman"/>
                <w:bCs/>
              </w:rPr>
              <w:t xml:space="preserve">PMSP </w:t>
            </w:r>
            <w:r w:rsidRPr="00793ED5">
              <w:rPr>
                <w:rFonts w:ascii="Times New Roman" w:hAnsi="Times New Roman"/>
                <w:bCs/>
                <w:i/>
              </w:rPr>
              <w:t>Vidējās izglītības skolotājs</w:t>
            </w:r>
          </w:p>
        </w:tc>
        <w:tc>
          <w:tcPr>
            <w:tcW w:w="5245"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 xml:space="preserve">PedaP025 Angļu valodas mācību metodikas vēsture </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c>
          <w:tcPr>
            <w:tcW w:w="2376" w:type="dxa"/>
            <w:vMerge/>
          </w:tcPr>
          <w:p w:rsidR="008A33D6" w:rsidRPr="00793ED5" w:rsidRDefault="008A33D6" w:rsidP="001D4DE2">
            <w:pPr>
              <w:pStyle w:val="BodyText"/>
              <w:ind w:left="34"/>
              <w:rPr>
                <w:rFonts w:ascii="Times New Roman" w:hAnsi="Times New Roman"/>
                <w:bCs/>
              </w:rPr>
            </w:pPr>
          </w:p>
        </w:tc>
        <w:tc>
          <w:tcPr>
            <w:tcW w:w="5245"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PedaP077 Skolēnu radošo un pētniecisko darbu metodoloģija</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r w:rsidR="008A33D6" w:rsidRPr="00793ED5" w:rsidTr="001D4DE2">
        <w:tc>
          <w:tcPr>
            <w:tcW w:w="2376"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 xml:space="preserve">PBSP </w:t>
            </w:r>
            <w:r w:rsidRPr="00793ED5">
              <w:rPr>
                <w:rFonts w:ascii="Times New Roman" w:hAnsi="Times New Roman"/>
                <w:bCs/>
                <w:i/>
              </w:rPr>
              <w:t>Sākumizglītības skolotājs</w:t>
            </w:r>
          </w:p>
        </w:tc>
        <w:tc>
          <w:tcPr>
            <w:tcW w:w="5245"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 xml:space="preserve">Leksikoloģija un frazeoloģija skolotājiem (angļu valoda) </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1</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16</w:t>
            </w:r>
          </w:p>
        </w:tc>
      </w:tr>
      <w:tr w:rsidR="008A33D6" w:rsidRPr="00793ED5" w:rsidTr="001D4DE2">
        <w:tc>
          <w:tcPr>
            <w:tcW w:w="2376" w:type="dxa"/>
          </w:tcPr>
          <w:p w:rsidR="008A33D6" w:rsidRPr="00793ED5" w:rsidRDefault="008A33D6" w:rsidP="001D4DE2">
            <w:pPr>
              <w:pStyle w:val="BodyText"/>
              <w:ind w:left="34"/>
              <w:rPr>
                <w:rFonts w:ascii="Times New Roman" w:hAnsi="Times New Roman"/>
                <w:bCs/>
                <w:i/>
              </w:rPr>
            </w:pPr>
            <w:r w:rsidRPr="00793ED5">
              <w:rPr>
                <w:rFonts w:ascii="Times New Roman" w:hAnsi="Times New Roman"/>
                <w:bCs/>
              </w:rPr>
              <w:t xml:space="preserve">1. līm. PSP </w:t>
            </w:r>
            <w:r w:rsidRPr="00793ED5">
              <w:rPr>
                <w:rFonts w:ascii="Times New Roman" w:hAnsi="Times New Roman"/>
                <w:bCs/>
                <w:i/>
              </w:rPr>
              <w:t>Civilā drošība un aizsardzība</w:t>
            </w:r>
          </w:p>
        </w:tc>
        <w:tc>
          <w:tcPr>
            <w:tcW w:w="5245" w:type="dxa"/>
          </w:tcPr>
          <w:p w:rsidR="008A33D6" w:rsidRPr="00793ED5" w:rsidRDefault="008A33D6" w:rsidP="001D4DE2">
            <w:pPr>
              <w:pStyle w:val="BodyText"/>
              <w:ind w:left="34"/>
              <w:rPr>
                <w:rFonts w:ascii="Times New Roman" w:hAnsi="Times New Roman"/>
                <w:bCs/>
              </w:rPr>
            </w:pPr>
            <w:r w:rsidRPr="00793ED5">
              <w:rPr>
                <w:rFonts w:ascii="Times New Roman" w:hAnsi="Times New Roman"/>
                <w:bCs/>
              </w:rPr>
              <w:t>ValoP122, ValoP123 Svešvalodas (angļu) profesionālā terminoloģija I, II</w:t>
            </w:r>
          </w:p>
        </w:tc>
        <w:tc>
          <w:tcPr>
            <w:tcW w:w="992"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2</w:t>
            </w:r>
          </w:p>
        </w:tc>
        <w:tc>
          <w:tcPr>
            <w:tcW w:w="1134" w:type="dxa"/>
          </w:tcPr>
          <w:p w:rsidR="008A33D6" w:rsidRPr="00793ED5" w:rsidRDefault="008A33D6" w:rsidP="001D4DE2">
            <w:pPr>
              <w:pStyle w:val="BodyText"/>
              <w:ind w:left="34"/>
              <w:jc w:val="center"/>
              <w:rPr>
                <w:rFonts w:ascii="Times New Roman" w:hAnsi="Times New Roman"/>
              </w:rPr>
            </w:pPr>
            <w:r w:rsidRPr="00793ED5">
              <w:rPr>
                <w:rFonts w:ascii="Times New Roman" w:hAnsi="Times New Roman"/>
              </w:rPr>
              <w:t>32</w:t>
            </w:r>
          </w:p>
        </w:tc>
      </w:tr>
    </w:tbl>
    <w:p w:rsidR="008A33D6" w:rsidRPr="00793ED5" w:rsidRDefault="008A33D6" w:rsidP="008A33D6">
      <w:pPr>
        <w:spacing w:after="0" w:line="240" w:lineRule="auto"/>
        <w:ind w:left="1080"/>
        <w:jc w:val="both"/>
        <w:rPr>
          <w:rFonts w:ascii="Times New Roman" w:hAnsi="Times New Roman"/>
          <w:sz w:val="24"/>
          <w:szCs w:val="24"/>
        </w:rPr>
      </w:pPr>
    </w:p>
    <w:p w:rsidR="008A33D6" w:rsidRPr="00C71A13" w:rsidRDefault="008A33D6" w:rsidP="00F833CA">
      <w:pPr>
        <w:spacing w:before="240" w:after="120" w:line="240" w:lineRule="auto"/>
        <w:ind w:left="540"/>
        <w:jc w:val="center"/>
        <w:rPr>
          <w:rFonts w:ascii="Times New Roman" w:hAnsi="Times New Roman"/>
          <w:b/>
          <w:sz w:val="24"/>
          <w:szCs w:val="24"/>
        </w:rPr>
      </w:pPr>
      <w:r w:rsidRPr="00C71A13">
        <w:rPr>
          <w:rFonts w:ascii="Times New Roman" w:hAnsi="Times New Roman"/>
          <w:b/>
          <w:sz w:val="24"/>
          <w:szCs w:val="24"/>
        </w:rPr>
        <w:t>Amata pienākumu veikšanai nepieciešamā izglītība, zināšanas un prasmes</w:t>
      </w:r>
    </w:p>
    <w:p w:rsidR="008A33D6" w:rsidRPr="00C71A13" w:rsidRDefault="00F833CA" w:rsidP="00F833CA">
      <w:pPr>
        <w:spacing w:after="0" w:line="240" w:lineRule="auto"/>
        <w:jc w:val="both"/>
        <w:rPr>
          <w:rFonts w:ascii="Times New Roman" w:hAnsi="Times New Roman"/>
          <w:b/>
          <w:sz w:val="24"/>
          <w:szCs w:val="24"/>
        </w:rPr>
      </w:pPr>
      <w:r>
        <w:rPr>
          <w:rFonts w:ascii="Times New Roman" w:hAnsi="Times New Roman"/>
          <w:color w:val="222222"/>
          <w:sz w:val="24"/>
          <w:szCs w:val="24"/>
        </w:rPr>
        <w:t xml:space="preserve">1. </w:t>
      </w:r>
      <w:r w:rsidR="008A33D6" w:rsidRPr="00C71A13">
        <w:rPr>
          <w:rFonts w:ascii="Times New Roman" w:hAnsi="Times New Roman"/>
          <w:color w:val="222222"/>
          <w:sz w:val="24"/>
          <w:szCs w:val="24"/>
        </w:rPr>
        <w:t>Lektora amatā var ievēlēt personas ar doktora vai maģistra grādu valodniecības nozarē: salīdzināmās un sastatāmās valodniecības vai lietišķās valodniecības apakšnozarē.</w:t>
      </w:r>
    </w:p>
    <w:p w:rsidR="008A33D6" w:rsidRPr="00C71A13" w:rsidRDefault="00F833CA" w:rsidP="00F833CA">
      <w:pPr>
        <w:spacing w:after="0" w:line="240" w:lineRule="auto"/>
        <w:jc w:val="both"/>
        <w:rPr>
          <w:rFonts w:ascii="Times New Roman" w:hAnsi="Times New Roman"/>
          <w:b/>
          <w:sz w:val="24"/>
          <w:szCs w:val="24"/>
        </w:rPr>
      </w:pPr>
      <w:r>
        <w:rPr>
          <w:rFonts w:ascii="Times New Roman" w:hAnsi="Times New Roman"/>
          <w:color w:val="222222"/>
          <w:sz w:val="24"/>
          <w:szCs w:val="24"/>
        </w:rPr>
        <w:t xml:space="preserve">2. </w:t>
      </w:r>
      <w:r w:rsidR="008A33D6" w:rsidRPr="00C71A13">
        <w:rPr>
          <w:rFonts w:ascii="Times New Roman" w:hAnsi="Times New Roman"/>
          <w:color w:val="222222"/>
          <w:sz w:val="24"/>
          <w:szCs w:val="24"/>
        </w:rPr>
        <w:t>Ievērojot nepieciešamību studējošajiem apgūt praktiskās iemaņas un zināšanas, profesionālo studiju profila priekšmetos lektora amatā ar augstāko izglītību, bet ar pasniedzamajam priekšmetam atbilstošu vismaz 5 gadu praktiskā darba stāžu, var ievēlēt akadēmisko personālu bez zinātniskā grāda.</w:t>
      </w:r>
    </w:p>
    <w:p w:rsidR="008A33D6" w:rsidRPr="00C71A13" w:rsidRDefault="00F833CA" w:rsidP="00F833CA">
      <w:pPr>
        <w:spacing w:after="0" w:line="240" w:lineRule="auto"/>
        <w:jc w:val="both"/>
        <w:rPr>
          <w:rFonts w:ascii="Times New Roman" w:hAnsi="Times New Roman"/>
          <w:b/>
          <w:sz w:val="24"/>
          <w:szCs w:val="24"/>
        </w:rPr>
      </w:pPr>
      <w:r>
        <w:rPr>
          <w:rFonts w:ascii="Times New Roman" w:hAnsi="Times New Roman"/>
          <w:color w:val="222222"/>
          <w:sz w:val="24"/>
          <w:szCs w:val="24"/>
        </w:rPr>
        <w:t xml:space="preserve">3. </w:t>
      </w:r>
      <w:r w:rsidR="008A33D6" w:rsidRPr="00C71A13">
        <w:rPr>
          <w:rFonts w:ascii="Times New Roman" w:hAnsi="Times New Roman"/>
          <w:color w:val="222222"/>
          <w:sz w:val="24"/>
          <w:szCs w:val="24"/>
        </w:rPr>
        <w:t>Angļu valodas pr</w:t>
      </w:r>
      <w:bookmarkStart w:id="1" w:name="_GoBack"/>
      <w:bookmarkEnd w:id="1"/>
      <w:r w:rsidR="008A33D6" w:rsidRPr="00C71A13">
        <w:rPr>
          <w:rFonts w:ascii="Times New Roman" w:hAnsi="Times New Roman"/>
          <w:color w:val="222222"/>
          <w:sz w:val="24"/>
          <w:szCs w:val="24"/>
        </w:rPr>
        <w:t>asme C1 līmenī.</w:t>
      </w:r>
    </w:p>
    <w:sectPr w:rsidR="008A33D6" w:rsidRPr="00C71A13" w:rsidSect="0087338F">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7A48AE"/>
    <w:multiLevelType w:val="multilevel"/>
    <w:tmpl w:val="B964B206"/>
    <w:lvl w:ilvl="0">
      <w:start w:val="1"/>
      <w:numFmt w:val="decimal"/>
      <w:lvlText w:val="%1."/>
      <w:lvlJc w:val="left"/>
      <w:pPr>
        <w:ind w:left="720" w:hanging="360"/>
      </w:pPr>
    </w:lvl>
    <w:lvl w:ilvl="1">
      <w:start w:val="1"/>
      <w:numFmt w:val="decimal"/>
      <w:isLgl/>
      <w:lvlText w:val="%1.%2."/>
      <w:lvlJc w:val="left"/>
      <w:pPr>
        <w:ind w:left="780" w:hanging="4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D6C7E82"/>
    <w:multiLevelType w:val="multilevel"/>
    <w:tmpl w:val="252C5A46"/>
    <w:lvl w:ilvl="0">
      <w:start w:val="2"/>
      <w:numFmt w:val="decimal"/>
      <w:lvlText w:val="%1."/>
      <w:lvlJc w:val="left"/>
      <w:pPr>
        <w:ind w:left="540" w:hanging="540"/>
      </w:pPr>
      <w:rPr>
        <w:rFonts w:hint="default"/>
        <w:color w:val="222222"/>
      </w:rPr>
    </w:lvl>
    <w:lvl w:ilvl="1">
      <w:start w:val="2"/>
      <w:numFmt w:val="decimal"/>
      <w:lvlText w:val="%1.%2."/>
      <w:lvlJc w:val="left"/>
      <w:pPr>
        <w:ind w:left="720" w:hanging="540"/>
      </w:pPr>
      <w:rPr>
        <w:rFonts w:hint="default"/>
        <w:color w:val="222222"/>
      </w:rPr>
    </w:lvl>
    <w:lvl w:ilvl="2">
      <w:start w:val="1"/>
      <w:numFmt w:val="decimal"/>
      <w:lvlText w:val="%1.%2.%3."/>
      <w:lvlJc w:val="left"/>
      <w:pPr>
        <w:ind w:left="1080" w:hanging="720"/>
      </w:pPr>
      <w:rPr>
        <w:rFonts w:hint="default"/>
        <w:color w:val="222222"/>
      </w:rPr>
    </w:lvl>
    <w:lvl w:ilvl="3">
      <w:start w:val="1"/>
      <w:numFmt w:val="decimal"/>
      <w:lvlText w:val="%1.%2.%3.%4."/>
      <w:lvlJc w:val="left"/>
      <w:pPr>
        <w:ind w:left="1260" w:hanging="720"/>
      </w:pPr>
      <w:rPr>
        <w:rFonts w:hint="default"/>
        <w:color w:val="222222"/>
      </w:rPr>
    </w:lvl>
    <w:lvl w:ilvl="4">
      <w:start w:val="1"/>
      <w:numFmt w:val="decimal"/>
      <w:lvlText w:val="%1.%2.%3.%4.%5."/>
      <w:lvlJc w:val="left"/>
      <w:pPr>
        <w:ind w:left="1800" w:hanging="1080"/>
      </w:pPr>
      <w:rPr>
        <w:rFonts w:hint="default"/>
        <w:color w:val="222222"/>
      </w:rPr>
    </w:lvl>
    <w:lvl w:ilvl="5">
      <w:start w:val="1"/>
      <w:numFmt w:val="decimal"/>
      <w:lvlText w:val="%1.%2.%3.%4.%5.%6."/>
      <w:lvlJc w:val="left"/>
      <w:pPr>
        <w:ind w:left="1980" w:hanging="1080"/>
      </w:pPr>
      <w:rPr>
        <w:rFonts w:hint="default"/>
        <w:color w:val="222222"/>
      </w:rPr>
    </w:lvl>
    <w:lvl w:ilvl="6">
      <w:start w:val="1"/>
      <w:numFmt w:val="decimal"/>
      <w:lvlText w:val="%1.%2.%3.%4.%5.%6.%7."/>
      <w:lvlJc w:val="left"/>
      <w:pPr>
        <w:ind w:left="2520" w:hanging="1440"/>
      </w:pPr>
      <w:rPr>
        <w:rFonts w:hint="default"/>
        <w:color w:val="222222"/>
      </w:rPr>
    </w:lvl>
    <w:lvl w:ilvl="7">
      <w:start w:val="1"/>
      <w:numFmt w:val="decimal"/>
      <w:lvlText w:val="%1.%2.%3.%4.%5.%6.%7.%8."/>
      <w:lvlJc w:val="left"/>
      <w:pPr>
        <w:ind w:left="2700" w:hanging="1440"/>
      </w:pPr>
      <w:rPr>
        <w:rFonts w:hint="default"/>
        <w:color w:val="222222"/>
      </w:rPr>
    </w:lvl>
    <w:lvl w:ilvl="8">
      <w:start w:val="1"/>
      <w:numFmt w:val="decimal"/>
      <w:lvlText w:val="%1.%2.%3.%4.%5.%6.%7.%8.%9."/>
      <w:lvlJc w:val="left"/>
      <w:pPr>
        <w:ind w:left="3240" w:hanging="1800"/>
      </w:pPr>
      <w:rPr>
        <w:rFonts w:hint="default"/>
        <w:color w:val="222222"/>
      </w:rPr>
    </w:lvl>
  </w:abstractNum>
  <w:abstractNum w:abstractNumId="2" w15:restartNumberingAfterBreak="0">
    <w:nsid w:val="67A615E0"/>
    <w:multiLevelType w:val="multilevel"/>
    <w:tmpl w:val="EDB4D5C8"/>
    <w:lvl w:ilvl="0">
      <w:start w:val="2"/>
      <w:numFmt w:val="decimal"/>
      <w:lvlText w:val="%1."/>
      <w:lvlJc w:val="left"/>
      <w:pPr>
        <w:ind w:left="720" w:hanging="360"/>
      </w:pPr>
      <w:rPr>
        <w:rFonts w:hint="default"/>
        <w:b w:val="0"/>
        <w:color w:val="222222"/>
      </w:rPr>
    </w:lvl>
    <w:lvl w:ilvl="1">
      <w:start w:val="1"/>
      <w:numFmt w:val="decimal"/>
      <w:isLgl/>
      <w:lvlText w:val="%1.%2."/>
      <w:lvlJc w:val="left"/>
      <w:pPr>
        <w:ind w:left="720" w:hanging="360"/>
      </w:pPr>
      <w:rPr>
        <w:rFonts w:hint="default"/>
        <w:color w:val="222222"/>
      </w:rPr>
    </w:lvl>
    <w:lvl w:ilvl="2">
      <w:start w:val="1"/>
      <w:numFmt w:val="decimal"/>
      <w:isLgl/>
      <w:lvlText w:val="%1.%2.%3."/>
      <w:lvlJc w:val="left"/>
      <w:pPr>
        <w:ind w:left="1080" w:hanging="720"/>
      </w:pPr>
      <w:rPr>
        <w:rFonts w:hint="default"/>
        <w:color w:val="222222"/>
      </w:rPr>
    </w:lvl>
    <w:lvl w:ilvl="3">
      <w:start w:val="1"/>
      <w:numFmt w:val="decimal"/>
      <w:isLgl/>
      <w:lvlText w:val="%1.%2.%3.%4."/>
      <w:lvlJc w:val="left"/>
      <w:pPr>
        <w:ind w:left="1080" w:hanging="72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440" w:hanging="1080"/>
      </w:pPr>
      <w:rPr>
        <w:rFonts w:hint="default"/>
        <w:color w:val="222222"/>
      </w:rPr>
    </w:lvl>
    <w:lvl w:ilvl="6">
      <w:start w:val="1"/>
      <w:numFmt w:val="decimal"/>
      <w:isLgl/>
      <w:lvlText w:val="%1.%2.%3.%4.%5.%6.%7."/>
      <w:lvlJc w:val="left"/>
      <w:pPr>
        <w:ind w:left="1800" w:hanging="1440"/>
      </w:pPr>
      <w:rPr>
        <w:rFonts w:hint="default"/>
        <w:color w:val="222222"/>
      </w:rPr>
    </w:lvl>
    <w:lvl w:ilvl="7">
      <w:start w:val="1"/>
      <w:numFmt w:val="decimal"/>
      <w:isLgl/>
      <w:lvlText w:val="%1.%2.%3.%4.%5.%6.%7.%8."/>
      <w:lvlJc w:val="left"/>
      <w:pPr>
        <w:ind w:left="1800" w:hanging="1440"/>
      </w:pPr>
      <w:rPr>
        <w:rFonts w:hint="default"/>
        <w:color w:val="222222"/>
      </w:rPr>
    </w:lvl>
    <w:lvl w:ilvl="8">
      <w:start w:val="1"/>
      <w:numFmt w:val="decimal"/>
      <w:isLgl/>
      <w:lvlText w:val="%1.%2.%3.%4.%5.%6.%7.%8.%9."/>
      <w:lvlJc w:val="left"/>
      <w:pPr>
        <w:ind w:left="2160" w:hanging="1800"/>
      </w:pPr>
      <w:rPr>
        <w:rFonts w:hint="default"/>
        <w:color w:val="222222"/>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30"/>
    <w:rsid w:val="004320DC"/>
    <w:rsid w:val="004C5330"/>
    <w:rsid w:val="008A33D6"/>
    <w:rsid w:val="009877C8"/>
    <w:rsid w:val="00B2415F"/>
    <w:rsid w:val="00F833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7D961"/>
  <w15:chartTrackingRefBased/>
  <w15:docId w15:val="{7BB88C75-DAD1-4337-A7C2-DF6AC7649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5330"/>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C5330"/>
    <w:pPr>
      <w:keepNext/>
      <w:spacing w:after="0" w:line="24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5330"/>
    <w:rPr>
      <w:rFonts w:ascii="Times New Roman" w:eastAsia="Times New Roman" w:hAnsi="Times New Roman" w:cs="Times New Roman"/>
      <w:b/>
      <w:bCs/>
      <w:sz w:val="24"/>
      <w:szCs w:val="24"/>
    </w:rPr>
  </w:style>
  <w:style w:type="paragraph" w:customStyle="1" w:styleId="tvhtml">
    <w:name w:val="tv_html"/>
    <w:basedOn w:val="Normal"/>
    <w:rsid w:val="004C5330"/>
    <w:pPr>
      <w:spacing w:before="100" w:beforeAutospacing="1" w:after="100" w:afterAutospacing="1" w:line="240" w:lineRule="auto"/>
    </w:pPr>
    <w:rPr>
      <w:rFonts w:ascii="Times New Roman" w:eastAsia="Times New Roman" w:hAnsi="Times New Roman"/>
      <w:sz w:val="24"/>
      <w:szCs w:val="24"/>
      <w:lang w:eastAsia="lv-LV"/>
    </w:rPr>
  </w:style>
  <w:style w:type="paragraph" w:styleId="BodyText2">
    <w:name w:val="Body Text 2"/>
    <w:basedOn w:val="Normal"/>
    <w:link w:val="BodyText2Char"/>
    <w:semiHidden/>
    <w:rsid w:val="004C5330"/>
    <w:pPr>
      <w:spacing w:after="0" w:line="240" w:lineRule="auto"/>
      <w:jc w:val="both"/>
    </w:pPr>
    <w:rPr>
      <w:rFonts w:ascii="Times New Roman" w:eastAsia="Times New Roman" w:hAnsi="Times New Roman"/>
      <w:sz w:val="28"/>
      <w:szCs w:val="24"/>
    </w:rPr>
  </w:style>
  <w:style w:type="character" w:customStyle="1" w:styleId="BodyText2Char">
    <w:name w:val="Body Text 2 Char"/>
    <w:basedOn w:val="DefaultParagraphFont"/>
    <w:link w:val="BodyText2"/>
    <w:semiHidden/>
    <w:rsid w:val="004C5330"/>
    <w:rPr>
      <w:rFonts w:ascii="Times New Roman" w:eastAsia="Times New Roman" w:hAnsi="Times New Roman" w:cs="Times New Roman"/>
      <w:sz w:val="28"/>
      <w:szCs w:val="24"/>
    </w:rPr>
  </w:style>
  <w:style w:type="paragraph" w:styleId="BodyText">
    <w:name w:val="Body Text"/>
    <w:basedOn w:val="Normal"/>
    <w:link w:val="BodyTextChar"/>
    <w:uiPriority w:val="99"/>
    <w:semiHidden/>
    <w:unhideWhenUsed/>
    <w:rsid w:val="004C5330"/>
    <w:pPr>
      <w:spacing w:after="120"/>
    </w:pPr>
  </w:style>
  <w:style w:type="character" w:customStyle="1" w:styleId="BodyTextChar">
    <w:name w:val="Body Text Char"/>
    <w:basedOn w:val="DefaultParagraphFont"/>
    <w:link w:val="BodyText"/>
    <w:uiPriority w:val="99"/>
    <w:semiHidden/>
    <w:rsid w:val="004C5330"/>
    <w:rPr>
      <w:rFonts w:ascii="Calibri" w:eastAsia="Calibri" w:hAnsi="Calibri" w:cs="Times New Roman"/>
    </w:rPr>
  </w:style>
  <w:style w:type="paragraph" w:styleId="ListParagraph">
    <w:name w:val="List Paragraph"/>
    <w:basedOn w:val="Normal"/>
    <w:uiPriority w:val="34"/>
    <w:qFormat/>
    <w:rsid w:val="008A33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3256</Words>
  <Characters>1856</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2023-04-12T11:30:00Z</dcterms:created>
  <dcterms:modified xsi:type="dcterms:W3CDTF">2023-04-13T08:24:00Z</dcterms:modified>
</cp:coreProperties>
</file>